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36C5C" w:rsidRDefault="00C352AF" w:rsidP="00D36C5C">
      <w:pPr>
        <w:numPr>
          <w:ilvl w:val="1"/>
          <w:numId w:val="0"/>
        </w:numPr>
        <w:spacing w:before="120" w:after="120"/>
        <w:ind w:firstLine="709"/>
        <w:jc w:val="center"/>
        <w:rPr>
          <w:rFonts w:asciiTheme="majorHAnsi" w:eastAsiaTheme="majorEastAsia" w:hAnsiTheme="majorHAnsi" w:cstheme="majorBidi"/>
          <w:b/>
          <w:iCs/>
          <w:spacing w:val="15"/>
        </w:rPr>
      </w:pPr>
      <w:r>
        <w:rPr>
          <w:rFonts w:asciiTheme="majorHAnsi" w:eastAsiaTheme="majorEastAsia" w:hAnsiTheme="majorHAnsi" w:cstheme="majorBidi"/>
          <w:b/>
          <w:iCs/>
          <w:noProof/>
          <w:spacing w:val="15"/>
        </w:rPr>
        <w:drawing>
          <wp:anchor distT="0" distB="0" distL="114300" distR="114300" simplePos="0" relativeHeight="251658752" behindDoc="1" locked="0" layoutInCell="1" allowOverlap="1" wp14:anchorId="733D7989" wp14:editId="186C8285">
            <wp:simplePos x="0" y="0"/>
            <wp:positionH relativeFrom="column">
              <wp:posOffset>-412794</wp:posOffset>
            </wp:positionH>
            <wp:positionV relativeFrom="paragraph">
              <wp:posOffset>-47641</wp:posOffset>
            </wp:positionV>
            <wp:extent cx="7309485" cy="10494335"/>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10592" cy="10495924"/>
                    </a:xfrm>
                    <a:prstGeom prst="rect">
                      <a:avLst/>
                    </a:prstGeom>
                    <a:noFill/>
                  </pic:spPr>
                </pic:pic>
              </a:graphicData>
            </a:graphic>
            <wp14:sizeRelH relativeFrom="page">
              <wp14:pctWidth>0</wp14:pctWidth>
            </wp14:sizeRelH>
            <wp14:sizeRelV relativeFrom="page">
              <wp14:pctHeight>0</wp14:pctHeight>
            </wp14:sizeRelV>
          </wp:anchor>
        </w:drawing>
      </w:r>
    </w:p>
    <w:p w:rsidR="00D36C5C" w:rsidRPr="00D36C5C" w:rsidRDefault="00D36C5C" w:rsidP="00D36C5C">
      <w:pPr>
        <w:numPr>
          <w:ilvl w:val="1"/>
          <w:numId w:val="0"/>
        </w:numPr>
        <w:spacing w:before="120" w:after="120"/>
        <w:ind w:firstLine="709"/>
        <w:jc w:val="center"/>
        <w:rPr>
          <w:rFonts w:asciiTheme="majorHAnsi" w:eastAsiaTheme="majorEastAsia" w:hAnsiTheme="majorHAnsi" w:cstheme="majorBidi"/>
          <w:b/>
          <w:iCs/>
          <w:spacing w:val="15"/>
        </w:rPr>
      </w:pPr>
    </w:p>
    <w:p w:rsidR="0092273D" w:rsidRDefault="0092273D" w:rsidP="001A3D71">
      <w:pPr>
        <w:numPr>
          <w:ilvl w:val="1"/>
          <w:numId w:val="0"/>
        </w:numPr>
        <w:spacing w:before="120" w:after="120"/>
        <w:ind w:left="-567"/>
        <w:jc w:val="center"/>
        <w:rPr>
          <w:rFonts w:asciiTheme="majorHAnsi" w:eastAsiaTheme="majorEastAsia" w:hAnsiTheme="majorHAnsi" w:cstheme="majorBidi"/>
          <w:b/>
          <w:iCs/>
          <w:noProof/>
          <w:spacing w:val="15"/>
        </w:rPr>
      </w:pPr>
    </w:p>
    <w:p w:rsidR="0092273D" w:rsidRDefault="0092273D" w:rsidP="001A3D71">
      <w:pPr>
        <w:numPr>
          <w:ilvl w:val="1"/>
          <w:numId w:val="0"/>
        </w:numPr>
        <w:spacing w:before="120" w:after="120"/>
        <w:ind w:left="-567"/>
        <w:jc w:val="center"/>
        <w:rPr>
          <w:rFonts w:asciiTheme="majorHAnsi" w:eastAsiaTheme="majorEastAsia" w:hAnsiTheme="majorHAnsi" w:cstheme="majorBidi"/>
          <w:b/>
          <w:iCs/>
          <w:noProof/>
          <w:spacing w:val="15"/>
        </w:rPr>
      </w:pPr>
    </w:p>
    <w:p w:rsidR="00D36C5C" w:rsidRPr="00D36C5C" w:rsidRDefault="00D36C5C" w:rsidP="001A3D71">
      <w:pPr>
        <w:numPr>
          <w:ilvl w:val="1"/>
          <w:numId w:val="0"/>
        </w:numPr>
        <w:spacing w:before="120" w:after="120"/>
        <w:ind w:left="-567"/>
        <w:jc w:val="center"/>
        <w:rPr>
          <w:rFonts w:asciiTheme="majorHAnsi" w:eastAsiaTheme="majorEastAsia" w:hAnsiTheme="majorHAnsi" w:cstheme="majorBidi"/>
          <w:b/>
          <w:iCs/>
          <w:spacing w:val="15"/>
        </w:rPr>
      </w:pPr>
    </w:p>
    <w:p w:rsidR="00D36C5C" w:rsidRDefault="00D36C5C" w:rsidP="00D36C5C">
      <w:pPr>
        <w:spacing w:before="840" w:after="120"/>
        <w:ind w:left="3261"/>
        <w:jc w:val="center"/>
        <w:rPr>
          <w:b/>
          <w:color w:val="1D1B11" w:themeColor="background2" w:themeShade="1A"/>
          <w:spacing w:val="10"/>
        </w:rPr>
      </w:pPr>
    </w:p>
    <w:p w:rsidR="00D36C5C" w:rsidRDefault="00D36C5C" w:rsidP="00D36C5C">
      <w:pPr>
        <w:spacing w:before="120" w:after="100" w:afterAutospacing="1"/>
        <w:ind w:left="3261"/>
        <w:jc w:val="center"/>
        <w:rPr>
          <w:b/>
          <w:color w:val="1D1B11" w:themeColor="background2" w:themeShade="1A"/>
        </w:rPr>
      </w:pPr>
    </w:p>
    <w:p w:rsidR="001A3D71" w:rsidRDefault="001A3D71" w:rsidP="00D36C5C">
      <w:pPr>
        <w:spacing w:before="120" w:after="100" w:afterAutospacing="1"/>
        <w:ind w:left="3261"/>
        <w:jc w:val="center"/>
        <w:rPr>
          <w:b/>
          <w:color w:val="1D1B11" w:themeColor="background2" w:themeShade="1A"/>
        </w:rPr>
      </w:pPr>
    </w:p>
    <w:p w:rsidR="001A3D71" w:rsidRPr="007107B8" w:rsidRDefault="001A3D71" w:rsidP="00D36C5C">
      <w:pPr>
        <w:spacing w:before="120" w:after="100" w:afterAutospacing="1"/>
        <w:ind w:left="3261"/>
        <w:jc w:val="center"/>
        <w:rPr>
          <w:b/>
          <w:color w:val="1D1B11" w:themeColor="background2" w:themeShade="1A"/>
        </w:rPr>
      </w:pPr>
    </w:p>
    <w:p w:rsidR="001A3D71" w:rsidRDefault="001A3D71" w:rsidP="001A3D71">
      <w:pPr>
        <w:spacing w:before="100" w:beforeAutospacing="1" w:after="120"/>
        <w:jc w:val="center"/>
        <w:rPr>
          <w:b/>
          <w:sz w:val="32"/>
          <w:szCs w:val="32"/>
        </w:rPr>
      </w:pPr>
    </w:p>
    <w:p w:rsidR="00FA3E22" w:rsidRPr="00FA3E22" w:rsidRDefault="00FA3E22" w:rsidP="00FA3E22">
      <w:pPr>
        <w:spacing w:before="100" w:beforeAutospacing="1" w:after="120"/>
        <w:jc w:val="center"/>
        <w:rPr>
          <w:b/>
          <w:sz w:val="32"/>
          <w:szCs w:val="32"/>
        </w:rPr>
      </w:pPr>
      <w:r w:rsidRPr="00FA3E22">
        <w:rPr>
          <w:b/>
          <w:sz w:val="32"/>
          <w:szCs w:val="32"/>
        </w:rPr>
        <w:t xml:space="preserve">ОТЧЕТ № </w:t>
      </w:r>
      <w:r w:rsidR="00B2010D">
        <w:rPr>
          <w:b/>
          <w:sz w:val="32"/>
          <w:szCs w:val="32"/>
        </w:rPr>
        <w:t>18</w:t>
      </w:r>
      <w:r w:rsidR="00E4634B" w:rsidRPr="00E4634B">
        <w:rPr>
          <w:b/>
          <w:sz w:val="32"/>
          <w:szCs w:val="32"/>
        </w:rPr>
        <w:t>/недв-08-17</w:t>
      </w:r>
    </w:p>
    <w:p w:rsidR="00FA3E22" w:rsidRPr="00FA3E22" w:rsidRDefault="00FA3E22" w:rsidP="00FA3E22">
      <w:pPr>
        <w:spacing w:before="100" w:beforeAutospacing="1" w:after="120"/>
        <w:jc w:val="center"/>
        <w:rPr>
          <w:b/>
          <w:sz w:val="32"/>
          <w:szCs w:val="32"/>
        </w:rPr>
      </w:pPr>
    </w:p>
    <w:p w:rsidR="00FA3E22" w:rsidRPr="00FA3E22" w:rsidRDefault="00FA3E22" w:rsidP="00FA3E22">
      <w:pPr>
        <w:spacing w:before="100" w:beforeAutospacing="1" w:after="120"/>
        <w:jc w:val="center"/>
        <w:rPr>
          <w:b/>
          <w:sz w:val="32"/>
          <w:szCs w:val="32"/>
        </w:rPr>
      </w:pPr>
      <w:r w:rsidRPr="00FA3E22">
        <w:rPr>
          <w:b/>
          <w:sz w:val="32"/>
          <w:szCs w:val="32"/>
        </w:rPr>
        <w:t xml:space="preserve">Об оценке объектов </w:t>
      </w:r>
      <w:r w:rsidR="00E4634B">
        <w:rPr>
          <w:b/>
          <w:sz w:val="32"/>
          <w:szCs w:val="32"/>
        </w:rPr>
        <w:t>недвижимости</w:t>
      </w:r>
      <w:r w:rsidRPr="00FA3E22">
        <w:rPr>
          <w:b/>
          <w:sz w:val="32"/>
          <w:szCs w:val="32"/>
        </w:rPr>
        <w:t xml:space="preserve"> – </w:t>
      </w:r>
      <w:r w:rsidR="00E4634B" w:rsidRPr="00E4634B">
        <w:rPr>
          <w:b/>
          <w:sz w:val="32"/>
          <w:szCs w:val="32"/>
        </w:rPr>
        <w:t xml:space="preserve">объектов капитального строительства, принадлежащих </w:t>
      </w:r>
      <w:r w:rsidR="00077CDB" w:rsidRPr="00077CDB">
        <w:rPr>
          <w:b/>
          <w:sz w:val="32"/>
          <w:szCs w:val="32"/>
        </w:rPr>
        <w:t>Лауте Игорю В</w:t>
      </w:r>
      <w:r w:rsidR="004F632A">
        <w:rPr>
          <w:b/>
          <w:sz w:val="32"/>
          <w:szCs w:val="32"/>
        </w:rPr>
        <w:t>икторовичу</w:t>
      </w:r>
    </w:p>
    <w:p w:rsidR="00FA3E22" w:rsidRPr="00FA3E22" w:rsidRDefault="00FA3E22" w:rsidP="00FA3E22">
      <w:pPr>
        <w:spacing w:before="100" w:beforeAutospacing="1" w:after="120"/>
        <w:jc w:val="center"/>
        <w:rPr>
          <w:b/>
          <w:sz w:val="32"/>
          <w:szCs w:val="32"/>
        </w:rPr>
      </w:pPr>
    </w:p>
    <w:p w:rsidR="0092273D" w:rsidRPr="00FA3E22" w:rsidRDefault="0092273D" w:rsidP="00FA3E22">
      <w:pPr>
        <w:spacing w:before="100" w:beforeAutospacing="1" w:after="120"/>
        <w:jc w:val="center"/>
        <w:rPr>
          <w:b/>
          <w:sz w:val="32"/>
          <w:szCs w:val="32"/>
        </w:rPr>
      </w:pPr>
    </w:p>
    <w:p w:rsidR="00FA3E22" w:rsidRPr="00FA3E22" w:rsidRDefault="00FA3E22" w:rsidP="00FA3E22">
      <w:pPr>
        <w:spacing w:before="100" w:beforeAutospacing="1" w:after="120"/>
        <w:jc w:val="center"/>
        <w:rPr>
          <w:b/>
          <w:sz w:val="32"/>
          <w:szCs w:val="32"/>
        </w:rPr>
      </w:pPr>
      <w:r w:rsidRPr="00FA3E22">
        <w:rPr>
          <w:b/>
          <w:sz w:val="32"/>
          <w:szCs w:val="32"/>
        </w:rPr>
        <w:t xml:space="preserve">Дата оценки: </w:t>
      </w:r>
      <w:r w:rsidR="0042153E">
        <w:rPr>
          <w:b/>
          <w:sz w:val="32"/>
          <w:szCs w:val="32"/>
        </w:rPr>
        <w:t>2</w:t>
      </w:r>
      <w:r w:rsidR="00E4634B">
        <w:rPr>
          <w:b/>
          <w:sz w:val="32"/>
          <w:szCs w:val="32"/>
        </w:rPr>
        <w:t>1</w:t>
      </w:r>
      <w:r w:rsidR="00AA5274">
        <w:rPr>
          <w:b/>
          <w:sz w:val="32"/>
          <w:szCs w:val="32"/>
        </w:rPr>
        <w:t xml:space="preserve"> </w:t>
      </w:r>
      <w:r w:rsidR="00E4634B">
        <w:rPr>
          <w:b/>
          <w:sz w:val="32"/>
          <w:szCs w:val="32"/>
        </w:rPr>
        <w:t>августа</w:t>
      </w:r>
      <w:r w:rsidR="0042153E">
        <w:rPr>
          <w:b/>
          <w:sz w:val="32"/>
          <w:szCs w:val="32"/>
        </w:rPr>
        <w:t xml:space="preserve"> </w:t>
      </w:r>
      <w:r w:rsidRPr="00FA3E22">
        <w:rPr>
          <w:b/>
          <w:sz w:val="32"/>
          <w:szCs w:val="32"/>
        </w:rPr>
        <w:t>201</w:t>
      </w:r>
      <w:r w:rsidR="00E4634B">
        <w:rPr>
          <w:b/>
          <w:sz w:val="32"/>
          <w:szCs w:val="32"/>
        </w:rPr>
        <w:t>7</w:t>
      </w:r>
      <w:r w:rsidRPr="00FA3E22">
        <w:rPr>
          <w:b/>
          <w:sz w:val="32"/>
          <w:szCs w:val="32"/>
        </w:rPr>
        <w:t xml:space="preserve"> года</w:t>
      </w:r>
    </w:p>
    <w:p w:rsidR="00FA3E22" w:rsidRPr="00FA3E22" w:rsidRDefault="00FA3E22" w:rsidP="00FA3E22">
      <w:pPr>
        <w:spacing w:before="100" w:beforeAutospacing="1" w:after="120"/>
        <w:jc w:val="center"/>
        <w:rPr>
          <w:b/>
          <w:sz w:val="32"/>
          <w:szCs w:val="32"/>
        </w:rPr>
      </w:pPr>
      <w:r w:rsidRPr="00FA3E22">
        <w:rPr>
          <w:b/>
          <w:sz w:val="32"/>
          <w:szCs w:val="32"/>
        </w:rPr>
        <w:t xml:space="preserve">Дата составления Отчета: </w:t>
      </w:r>
      <w:r w:rsidR="00AA5274">
        <w:rPr>
          <w:b/>
          <w:sz w:val="32"/>
          <w:szCs w:val="32"/>
        </w:rPr>
        <w:t>2</w:t>
      </w:r>
      <w:r w:rsidR="00E4634B">
        <w:rPr>
          <w:b/>
          <w:sz w:val="32"/>
          <w:szCs w:val="32"/>
        </w:rPr>
        <w:t>5</w:t>
      </w:r>
      <w:r w:rsidR="00AA5274">
        <w:rPr>
          <w:b/>
          <w:sz w:val="32"/>
          <w:szCs w:val="32"/>
        </w:rPr>
        <w:t xml:space="preserve"> </w:t>
      </w:r>
      <w:r w:rsidR="00E4634B" w:rsidRPr="00E4634B">
        <w:rPr>
          <w:b/>
          <w:sz w:val="32"/>
          <w:szCs w:val="32"/>
        </w:rPr>
        <w:t xml:space="preserve">августа 2017 </w:t>
      </w:r>
      <w:r w:rsidRPr="00FA3E22">
        <w:rPr>
          <w:b/>
          <w:sz w:val="32"/>
          <w:szCs w:val="32"/>
        </w:rPr>
        <w:t>года</w:t>
      </w:r>
    </w:p>
    <w:p w:rsidR="001A3D71" w:rsidRDefault="001A3D71" w:rsidP="007107B8">
      <w:pPr>
        <w:spacing w:before="100" w:beforeAutospacing="1" w:after="120"/>
        <w:jc w:val="center"/>
        <w:rPr>
          <w:b/>
          <w:sz w:val="28"/>
          <w:szCs w:val="28"/>
        </w:rPr>
      </w:pPr>
    </w:p>
    <w:p w:rsidR="001A3D71" w:rsidRDefault="001A3D71" w:rsidP="007107B8">
      <w:pPr>
        <w:spacing w:before="100" w:beforeAutospacing="1" w:after="120"/>
        <w:jc w:val="center"/>
        <w:rPr>
          <w:b/>
          <w:sz w:val="28"/>
          <w:szCs w:val="28"/>
        </w:rPr>
      </w:pPr>
    </w:p>
    <w:p w:rsidR="001A3D71" w:rsidRDefault="001A3D71" w:rsidP="007107B8">
      <w:pPr>
        <w:spacing w:before="100" w:beforeAutospacing="1" w:after="120"/>
        <w:jc w:val="center"/>
        <w:rPr>
          <w:b/>
          <w:sz w:val="28"/>
          <w:szCs w:val="28"/>
        </w:rPr>
      </w:pPr>
    </w:p>
    <w:p w:rsidR="001A3D71" w:rsidRDefault="001A3D71" w:rsidP="007107B8">
      <w:pPr>
        <w:spacing w:before="100" w:beforeAutospacing="1" w:after="120"/>
        <w:jc w:val="center"/>
        <w:rPr>
          <w:b/>
          <w:sz w:val="28"/>
          <w:szCs w:val="28"/>
        </w:rPr>
      </w:pPr>
    </w:p>
    <w:p w:rsidR="001A3D71" w:rsidRDefault="001A3D71" w:rsidP="007107B8">
      <w:pPr>
        <w:spacing w:before="100" w:beforeAutospacing="1" w:after="120"/>
        <w:jc w:val="center"/>
        <w:rPr>
          <w:b/>
          <w:sz w:val="28"/>
          <w:szCs w:val="28"/>
        </w:rPr>
      </w:pPr>
    </w:p>
    <w:p w:rsidR="001A3D71" w:rsidRDefault="001A3D71" w:rsidP="007107B8">
      <w:pPr>
        <w:spacing w:before="100" w:beforeAutospacing="1" w:after="120"/>
        <w:jc w:val="center"/>
        <w:rPr>
          <w:b/>
          <w:sz w:val="28"/>
          <w:szCs w:val="28"/>
        </w:rPr>
      </w:pPr>
    </w:p>
    <w:p w:rsidR="001A3D71" w:rsidRPr="007107B8" w:rsidRDefault="001A3D71" w:rsidP="007107B8">
      <w:pPr>
        <w:spacing w:before="100" w:beforeAutospacing="1" w:after="120"/>
        <w:jc w:val="center"/>
        <w:rPr>
          <w:b/>
          <w:sz w:val="28"/>
          <w:szCs w:val="28"/>
        </w:rPr>
      </w:pPr>
    </w:p>
    <w:p w:rsidR="00FA3E22" w:rsidRDefault="00FA3E22" w:rsidP="00D36C5C">
      <w:pPr>
        <w:jc w:val="center"/>
        <w:rPr>
          <w:b/>
        </w:rPr>
      </w:pPr>
    </w:p>
    <w:p w:rsidR="00FA3E22" w:rsidRDefault="00FA3E22" w:rsidP="00D36C5C">
      <w:pPr>
        <w:jc w:val="center"/>
        <w:rPr>
          <w:b/>
        </w:rPr>
      </w:pPr>
    </w:p>
    <w:p w:rsidR="00FA3E22" w:rsidRDefault="00FA3E22" w:rsidP="00D36C5C">
      <w:pPr>
        <w:jc w:val="center"/>
        <w:rPr>
          <w:b/>
        </w:rPr>
      </w:pPr>
    </w:p>
    <w:p w:rsidR="00FA3E22" w:rsidRDefault="00FA3E22" w:rsidP="00D36C5C">
      <w:pPr>
        <w:jc w:val="center"/>
        <w:rPr>
          <w:b/>
        </w:rPr>
      </w:pPr>
    </w:p>
    <w:p w:rsidR="00D36C5C" w:rsidRPr="00D36C5C" w:rsidRDefault="00D36C5C" w:rsidP="00D36C5C">
      <w:pPr>
        <w:jc w:val="center"/>
        <w:rPr>
          <w:b/>
        </w:rPr>
      </w:pPr>
      <w:r w:rsidRPr="00D36C5C">
        <w:rPr>
          <w:b/>
        </w:rPr>
        <w:t>ОГЛАВЛЕНИЕ</w:t>
      </w:r>
    </w:p>
    <w:p w:rsidR="00D36C5C" w:rsidRPr="00C16A2D" w:rsidRDefault="00D36C5C" w:rsidP="008303F0">
      <w:pPr>
        <w:pStyle w:val="24"/>
      </w:pPr>
      <w:r w:rsidRPr="005433F9">
        <w:t>Сопроводительное письмо</w:t>
      </w:r>
      <w:r w:rsidR="00CD71FA" w:rsidRPr="00C16A2D">
        <w:tab/>
      </w:r>
      <w:r w:rsidRPr="00C16A2D">
        <w:t>3</w:t>
      </w:r>
    </w:p>
    <w:sdt>
      <w:sdtPr>
        <w:rPr>
          <w:lang w:bidi="ar-SA"/>
        </w:rPr>
        <w:id w:val="1237358023"/>
        <w:docPartObj>
          <w:docPartGallery w:val="Table of Contents"/>
          <w:docPartUnique/>
        </w:docPartObj>
      </w:sdtPr>
      <w:sdtEndPr/>
      <w:sdtContent>
        <w:p w:rsidR="007478E8" w:rsidRDefault="008303F0" w:rsidP="008303F0">
          <w:pPr>
            <w:pStyle w:val="24"/>
          </w:pPr>
          <w:r>
            <w:t xml:space="preserve">1. </w:t>
          </w:r>
          <w:r w:rsidR="00E872AB" w:rsidRPr="007478E8">
            <w:t>Задание на оценку в соответствии с требованиями федеральных  стандартов оценки</w:t>
          </w:r>
          <w:r w:rsidR="005433F9" w:rsidRPr="007478E8">
            <w:t>……………………</w:t>
          </w:r>
          <w:r w:rsidR="007478E8">
            <w:t>……..</w:t>
          </w:r>
          <w:r w:rsidR="005433F9" w:rsidRPr="007478E8">
            <w:t>..</w:t>
          </w:r>
          <w:r w:rsidR="00E872AB" w:rsidRPr="007478E8">
            <w:t>5</w:t>
          </w:r>
        </w:p>
        <w:p w:rsidR="00E872AB" w:rsidRPr="007478E8" w:rsidRDefault="00E872AB" w:rsidP="008303F0">
          <w:pPr>
            <w:pStyle w:val="24"/>
            <w:numPr>
              <w:ilvl w:val="1"/>
              <w:numId w:val="12"/>
            </w:numPr>
            <w:rPr>
              <w:rStyle w:val="af0"/>
              <w:color w:val="auto"/>
              <w:u w:val="none"/>
            </w:rPr>
          </w:pPr>
          <w:r w:rsidRPr="007478E8">
            <w:rPr>
              <w:rStyle w:val="af0"/>
              <w:color w:val="auto"/>
              <w:u w:val="none"/>
            </w:rPr>
            <w:t>Объект</w:t>
          </w:r>
          <w:r w:rsidR="007478E8" w:rsidRPr="007478E8">
            <w:rPr>
              <w:rStyle w:val="af0"/>
              <w:color w:val="auto"/>
              <w:u w:val="none"/>
            </w:rPr>
            <w:t xml:space="preserve"> оценки………………………………………………………………</w:t>
          </w:r>
          <w:r w:rsidRPr="007478E8">
            <w:rPr>
              <w:rStyle w:val="af0"/>
              <w:color w:val="auto"/>
              <w:u w:val="none"/>
            </w:rPr>
            <w:t>..………………………………………………………</w:t>
          </w:r>
          <w:r w:rsidR="007478E8">
            <w:rPr>
              <w:rStyle w:val="af0"/>
              <w:color w:val="auto"/>
              <w:u w:val="none"/>
            </w:rPr>
            <w:t>…..</w:t>
          </w:r>
          <w:r w:rsidR="005433F9" w:rsidRPr="007478E8">
            <w:rPr>
              <w:rStyle w:val="af0"/>
              <w:color w:val="auto"/>
              <w:u w:val="none"/>
            </w:rPr>
            <w:t>……………...</w:t>
          </w:r>
          <w:r w:rsidRPr="007478E8">
            <w:rPr>
              <w:rStyle w:val="af0"/>
              <w:color w:val="auto"/>
              <w:u w:val="none"/>
            </w:rPr>
            <w:t>….5</w:t>
          </w:r>
        </w:p>
        <w:p w:rsidR="008303F0" w:rsidRDefault="00EB544D" w:rsidP="008303F0">
          <w:pPr>
            <w:pStyle w:val="24"/>
            <w:rPr>
              <w:rFonts w:asciiTheme="minorHAnsi" w:eastAsiaTheme="minorEastAsia" w:hAnsiTheme="minorHAnsi" w:cstheme="minorBidi"/>
              <w:sz w:val="22"/>
              <w:szCs w:val="22"/>
              <w:lang w:bidi="ar-SA"/>
            </w:rPr>
          </w:pPr>
          <w:r w:rsidRPr="007478E8">
            <w:fldChar w:fldCharType="begin"/>
          </w:r>
          <w:r w:rsidR="00D36C5C" w:rsidRPr="007478E8">
            <w:instrText xml:space="preserve"> TOC \o "1-3" \h \z \u </w:instrText>
          </w:r>
          <w:r w:rsidRPr="007478E8">
            <w:fldChar w:fldCharType="separate"/>
          </w:r>
          <w:hyperlink w:anchor="_Toc491763273" w:history="1">
            <w:r w:rsidR="008303F0" w:rsidRPr="00ED2763">
              <w:rPr>
                <w:rStyle w:val="af0"/>
                <w:smallCaps/>
              </w:rPr>
              <w:t>1.2.</w:t>
            </w:r>
            <w:r w:rsidR="008303F0" w:rsidRPr="00ED2763">
              <w:rPr>
                <w:rStyle w:val="af0"/>
              </w:rPr>
              <w:t>Права на объект оценки, учитываемые при определении стоимости объекта оценки</w:t>
            </w:r>
            <w:r w:rsidR="008303F0">
              <w:rPr>
                <w:webHidden/>
              </w:rPr>
              <w:tab/>
            </w:r>
            <w:r w:rsidR="008303F0">
              <w:rPr>
                <w:webHidden/>
              </w:rPr>
              <w:fldChar w:fldCharType="begin"/>
            </w:r>
            <w:r w:rsidR="008303F0">
              <w:rPr>
                <w:webHidden/>
              </w:rPr>
              <w:instrText xml:space="preserve"> PAGEREF _Toc491763273 \h </w:instrText>
            </w:r>
            <w:r w:rsidR="008303F0">
              <w:rPr>
                <w:webHidden/>
              </w:rPr>
            </w:r>
            <w:r w:rsidR="008303F0">
              <w:rPr>
                <w:webHidden/>
              </w:rPr>
              <w:fldChar w:fldCharType="separate"/>
            </w:r>
            <w:r w:rsidR="008303F0">
              <w:rPr>
                <w:webHidden/>
              </w:rPr>
              <w:t>6</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74" w:history="1">
            <w:r w:rsidR="008303F0" w:rsidRPr="00ED2763">
              <w:rPr>
                <w:rStyle w:val="af0"/>
              </w:rPr>
              <w:t>1.3.Цель оценки:</w:t>
            </w:r>
            <w:r w:rsidR="008303F0">
              <w:rPr>
                <w:webHidden/>
              </w:rPr>
              <w:tab/>
            </w:r>
            <w:r w:rsidR="008303F0">
              <w:rPr>
                <w:webHidden/>
              </w:rPr>
              <w:fldChar w:fldCharType="begin"/>
            </w:r>
            <w:r w:rsidR="008303F0">
              <w:rPr>
                <w:webHidden/>
              </w:rPr>
              <w:instrText xml:space="preserve"> PAGEREF _Toc491763274 \h </w:instrText>
            </w:r>
            <w:r w:rsidR="008303F0">
              <w:rPr>
                <w:webHidden/>
              </w:rPr>
            </w:r>
            <w:r w:rsidR="008303F0">
              <w:rPr>
                <w:webHidden/>
              </w:rPr>
              <w:fldChar w:fldCharType="separate"/>
            </w:r>
            <w:r w:rsidR="008303F0">
              <w:rPr>
                <w:webHidden/>
              </w:rPr>
              <w:t>7</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75" w:history="1">
            <w:r w:rsidR="008303F0" w:rsidRPr="00ED2763">
              <w:rPr>
                <w:rStyle w:val="af0"/>
              </w:rPr>
              <w:t>1.4.Предполагаемое  использование  результатов оценки и связанные с этим ограничения.</w:t>
            </w:r>
            <w:r w:rsidR="008303F0">
              <w:rPr>
                <w:webHidden/>
              </w:rPr>
              <w:tab/>
            </w:r>
            <w:r w:rsidR="008303F0">
              <w:rPr>
                <w:webHidden/>
              </w:rPr>
              <w:fldChar w:fldCharType="begin"/>
            </w:r>
            <w:r w:rsidR="008303F0">
              <w:rPr>
                <w:webHidden/>
              </w:rPr>
              <w:instrText xml:space="preserve"> PAGEREF _Toc491763275 \h </w:instrText>
            </w:r>
            <w:r w:rsidR="008303F0">
              <w:rPr>
                <w:webHidden/>
              </w:rPr>
            </w:r>
            <w:r w:rsidR="008303F0">
              <w:rPr>
                <w:webHidden/>
              </w:rPr>
              <w:fldChar w:fldCharType="separate"/>
            </w:r>
            <w:r w:rsidR="008303F0">
              <w:rPr>
                <w:webHidden/>
              </w:rPr>
              <w:t>7</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76" w:history="1">
            <w:r w:rsidR="008303F0" w:rsidRPr="00ED2763">
              <w:rPr>
                <w:rStyle w:val="af0"/>
              </w:rPr>
              <w:t>1.5.Вид стоимости:</w:t>
            </w:r>
            <w:r w:rsidR="008303F0">
              <w:rPr>
                <w:webHidden/>
              </w:rPr>
              <w:tab/>
            </w:r>
            <w:r w:rsidR="008303F0">
              <w:rPr>
                <w:webHidden/>
              </w:rPr>
              <w:fldChar w:fldCharType="begin"/>
            </w:r>
            <w:r w:rsidR="008303F0">
              <w:rPr>
                <w:webHidden/>
              </w:rPr>
              <w:instrText xml:space="preserve"> PAGEREF _Toc491763276 \h </w:instrText>
            </w:r>
            <w:r w:rsidR="008303F0">
              <w:rPr>
                <w:webHidden/>
              </w:rPr>
            </w:r>
            <w:r w:rsidR="008303F0">
              <w:rPr>
                <w:webHidden/>
              </w:rPr>
              <w:fldChar w:fldCharType="separate"/>
            </w:r>
            <w:r w:rsidR="008303F0">
              <w:rPr>
                <w:webHidden/>
              </w:rPr>
              <w:t>7</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77" w:history="1">
            <w:r w:rsidR="008303F0" w:rsidRPr="00ED2763">
              <w:rPr>
                <w:rStyle w:val="af0"/>
              </w:rPr>
              <w:t>1.6.Дата оценки:</w:t>
            </w:r>
            <w:r w:rsidR="008303F0">
              <w:rPr>
                <w:webHidden/>
              </w:rPr>
              <w:tab/>
            </w:r>
            <w:r w:rsidR="008303F0">
              <w:rPr>
                <w:webHidden/>
              </w:rPr>
              <w:fldChar w:fldCharType="begin"/>
            </w:r>
            <w:r w:rsidR="008303F0">
              <w:rPr>
                <w:webHidden/>
              </w:rPr>
              <w:instrText xml:space="preserve"> PAGEREF _Toc491763277 \h </w:instrText>
            </w:r>
            <w:r w:rsidR="008303F0">
              <w:rPr>
                <w:webHidden/>
              </w:rPr>
            </w:r>
            <w:r w:rsidR="008303F0">
              <w:rPr>
                <w:webHidden/>
              </w:rPr>
              <w:fldChar w:fldCharType="separate"/>
            </w:r>
            <w:r w:rsidR="008303F0">
              <w:rPr>
                <w:webHidden/>
              </w:rPr>
              <w:t>7</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78" w:history="1">
            <w:r w:rsidR="008303F0" w:rsidRPr="00ED2763">
              <w:rPr>
                <w:rStyle w:val="af0"/>
              </w:rPr>
              <w:t>1.7.Сведенья об осмотре объекта оценки</w:t>
            </w:r>
            <w:r w:rsidR="008303F0">
              <w:rPr>
                <w:webHidden/>
              </w:rPr>
              <w:tab/>
            </w:r>
            <w:r w:rsidR="008303F0">
              <w:rPr>
                <w:webHidden/>
              </w:rPr>
              <w:fldChar w:fldCharType="begin"/>
            </w:r>
            <w:r w:rsidR="008303F0">
              <w:rPr>
                <w:webHidden/>
              </w:rPr>
              <w:instrText xml:space="preserve"> PAGEREF _Toc491763278 \h </w:instrText>
            </w:r>
            <w:r w:rsidR="008303F0">
              <w:rPr>
                <w:webHidden/>
              </w:rPr>
            </w:r>
            <w:r w:rsidR="008303F0">
              <w:rPr>
                <w:webHidden/>
              </w:rPr>
              <w:fldChar w:fldCharType="separate"/>
            </w:r>
            <w:r w:rsidR="008303F0">
              <w:rPr>
                <w:webHidden/>
              </w:rPr>
              <w:t>7</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79" w:history="1">
            <w:r w:rsidR="008303F0" w:rsidRPr="00ED2763">
              <w:rPr>
                <w:rStyle w:val="af0"/>
              </w:rPr>
              <w:t>1.8.Срок проведения оценки:</w:t>
            </w:r>
            <w:r w:rsidR="008303F0">
              <w:rPr>
                <w:webHidden/>
              </w:rPr>
              <w:tab/>
            </w:r>
            <w:r w:rsidR="008303F0">
              <w:rPr>
                <w:webHidden/>
              </w:rPr>
              <w:fldChar w:fldCharType="begin"/>
            </w:r>
            <w:r w:rsidR="008303F0">
              <w:rPr>
                <w:webHidden/>
              </w:rPr>
              <w:instrText xml:space="preserve"> PAGEREF _Toc491763279 \h </w:instrText>
            </w:r>
            <w:r w:rsidR="008303F0">
              <w:rPr>
                <w:webHidden/>
              </w:rPr>
            </w:r>
            <w:r w:rsidR="008303F0">
              <w:rPr>
                <w:webHidden/>
              </w:rPr>
              <w:fldChar w:fldCharType="separate"/>
            </w:r>
            <w:r w:rsidR="008303F0">
              <w:rPr>
                <w:webHidden/>
              </w:rPr>
              <w:t>7</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80" w:history="1">
            <w:r w:rsidR="008303F0" w:rsidRPr="00ED2763">
              <w:rPr>
                <w:rStyle w:val="af0"/>
              </w:rPr>
              <w:t>1.9.Допущения и ограничения, на которых должна основываться оценка.</w:t>
            </w:r>
            <w:r w:rsidR="008303F0">
              <w:rPr>
                <w:webHidden/>
              </w:rPr>
              <w:tab/>
            </w:r>
            <w:r w:rsidR="008303F0">
              <w:rPr>
                <w:webHidden/>
              </w:rPr>
              <w:fldChar w:fldCharType="begin"/>
            </w:r>
            <w:r w:rsidR="008303F0">
              <w:rPr>
                <w:webHidden/>
              </w:rPr>
              <w:instrText xml:space="preserve"> PAGEREF _Toc491763280 \h </w:instrText>
            </w:r>
            <w:r w:rsidR="008303F0">
              <w:rPr>
                <w:webHidden/>
              </w:rPr>
            </w:r>
            <w:r w:rsidR="008303F0">
              <w:rPr>
                <w:webHidden/>
              </w:rPr>
              <w:fldChar w:fldCharType="separate"/>
            </w:r>
            <w:r w:rsidR="008303F0">
              <w:rPr>
                <w:webHidden/>
              </w:rPr>
              <w:t>7</w:t>
            </w:r>
            <w:r w:rsidR="008303F0">
              <w:rPr>
                <w:webHidden/>
              </w:rPr>
              <w:fldChar w:fldCharType="end"/>
            </w:r>
          </w:hyperlink>
        </w:p>
        <w:p w:rsidR="008303F0" w:rsidRDefault="004D0594" w:rsidP="008303F0">
          <w:pPr>
            <w:pStyle w:val="24"/>
            <w:rPr>
              <w:rStyle w:val="af0"/>
            </w:rPr>
          </w:pPr>
          <w:hyperlink w:anchor="_Toc491763281" w:history="1">
            <w:r w:rsidR="008303F0" w:rsidRPr="00ED2763">
              <w:rPr>
                <w:rStyle w:val="af0"/>
              </w:rPr>
              <w:t>1.10.</w:t>
            </w:r>
            <w:r w:rsidR="008303F0">
              <w:rPr>
                <w:rFonts w:asciiTheme="minorHAnsi" w:eastAsiaTheme="minorEastAsia" w:hAnsiTheme="minorHAnsi" w:cstheme="minorBidi"/>
                <w:sz w:val="22"/>
                <w:szCs w:val="22"/>
                <w:lang w:bidi="ar-SA"/>
              </w:rPr>
              <w:tab/>
            </w:r>
            <w:r w:rsidR="008303F0" w:rsidRPr="00ED2763">
              <w:rPr>
                <w:rStyle w:val="af0"/>
              </w:rPr>
              <w:t>Иная информация, предусмотренная федеральными стандартами оценки (в том числе степень детализации работ по осмотру и период проведения осмотра объекта оценки)</w:t>
            </w:r>
            <w:r w:rsidR="008303F0">
              <w:rPr>
                <w:webHidden/>
              </w:rPr>
              <w:tab/>
            </w:r>
            <w:r w:rsidR="008303F0">
              <w:rPr>
                <w:webHidden/>
              </w:rPr>
              <w:fldChar w:fldCharType="begin"/>
            </w:r>
            <w:r w:rsidR="008303F0">
              <w:rPr>
                <w:webHidden/>
              </w:rPr>
              <w:instrText xml:space="preserve"> PAGEREF _Toc491763281 \h </w:instrText>
            </w:r>
            <w:r w:rsidR="008303F0">
              <w:rPr>
                <w:webHidden/>
              </w:rPr>
            </w:r>
            <w:r w:rsidR="008303F0">
              <w:rPr>
                <w:webHidden/>
              </w:rPr>
              <w:fldChar w:fldCharType="separate"/>
            </w:r>
            <w:r w:rsidR="008303F0">
              <w:rPr>
                <w:webHidden/>
              </w:rPr>
              <w:t>10</w:t>
            </w:r>
            <w:r w:rsidR="008303F0">
              <w:rPr>
                <w:webHidden/>
              </w:rPr>
              <w:fldChar w:fldCharType="end"/>
            </w:r>
          </w:hyperlink>
        </w:p>
        <w:p w:rsidR="008303F0" w:rsidRPr="008303F0" w:rsidRDefault="008303F0" w:rsidP="008303F0">
          <w:pPr>
            <w:spacing w:line="360" w:lineRule="auto"/>
            <w:rPr>
              <w:rStyle w:val="af0"/>
              <w:rFonts w:asciiTheme="majorHAnsi" w:eastAsiaTheme="majorEastAsia" w:hAnsiTheme="majorHAnsi" w:cstheme="majorBidi"/>
              <w:b/>
              <w:bCs/>
              <w:noProof/>
              <w:color w:val="auto"/>
              <w:sz w:val="20"/>
              <w:szCs w:val="20"/>
              <w:u w:val="none"/>
              <w:lang w:bidi="en-US"/>
            </w:rPr>
          </w:pPr>
          <w:r w:rsidRPr="008303F0">
            <w:rPr>
              <w:rStyle w:val="af0"/>
              <w:rFonts w:asciiTheme="majorHAnsi" w:eastAsiaTheme="majorEastAsia" w:hAnsiTheme="majorHAnsi" w:cstheme="majorBidi"/>
              <w:b/>
              <w:bCs/>
              <w:noProof/>
              <w:color w:val="auto"/>
              <w:sz w:val="20"/>
              <w:szCs w:val="20"/>
              <w:u w:val="none"/>
              <w:lang w:bidi="en-US"/>
            </w:rPr>
            <w:t>2. Применяемые стандарты оценки………………………………………………………………………………………………………………....1</w:t>
          </w:r>
          <w:r>
            <w:rPr>
              <w:rStyle w:val="af0"/>
              <w:rFonts w:asciiTheme="majorHAnsi" w:eastAsiaTheme="majorEastAsia" w:hAnsiTheme="majorHAnsi" w:cstheme="majorBidi"/>
              <w:b/>
              <w:bCs/>
              <w:noProof/>
              <w:color w:val="auto"/>
              <w:sz w:val="20"/>
              <w:szCs w:val="20"/>
              <w:u w:val="none"/>
              <w:lang w:bidi="en-US"/>
            </w:rPr>
            <w:t>3</w:t>
          </w:r>
        </w:p>
        <w:p w:rsidR="008303F0" w:rsidRPr="008303F0" w:rsidRDefault="008303F0" w:rsidP="008303F0">
          <w:pPr>
            <w:spacing w:line="360" w:lineRule="auto"/>
            <w:rPr>
              <w:rFonts w:asciiTheme="majorHAnsi" w:eastAsiaTheme="majorEastAsia" w:hAnsiTheme="majorHAnsi" w:cstheme="majorBidi"/>
              <w:b/>
              <w:bCs/>
              <w:noProof/>
              <w:sz w:val="20"/>
              <w:szCs w:val="20"/>
              <w:lang w:bidi="en-US"/>
            </w:rPr>
          </w:pPr>
          <w:r w:rsidRPr="008303F0">
            <w:rPr>
              <w:rStyle w:val="af0"/>
              <w:rFonts w:asciiTheme="majorHAnsi" w:eastAsiaTheme="majorEastAsia" w:hAnsiTheme="majorHAnsi" w:cstheme="majorBidi"/>
              <w:b/>
              <w:bCs/>
              <w:noProof/>
              <w:color w:val="auto"/>
              <w:sz w:val="20"/>
              <w:szCs w:val="20"/>
              <w:u w:val="none"/>
              <w:lang w:bidi="en-US"/>
            </w:rPr>
            <w:t xml:space="preserve">3. </w:t>
          </w:r>
          <w:r w:rsidRPr="008303F0">
            <w:rPr>
              <w:rFonts w:asciiTheme="majorHAnsi" w:eastAsiaTheme="majorEastAsia" w:hAnsiTheme="majorHAnsi" w:cstheme="majorBidi"/>
              <w:b/>
              <w:bCs/>
              <w:noProof/>
              <w:sz w:val="20"/>
              <w:szCs w:val="20"/>
              <w:lang w:bidi="en-US"/>
            </w:rPr>
            <w:t>Принятые при проведении оценки объекта оценки допущения………………………………..………………………………1</w:t>
          </w:r>
          <w:r>
            <w:rPr>
              <w:rFonts w:asciiTheme="majorHAnsi" w:eastAsiaTheme="majorEastAsia" w:hAnsiTheme="majorHAnsi" w:cstheme="majorBidi"/>
              <w:b/>
              <w:bCs/>
              <w:noProof/>
              <w:sz w:val="20"/>
              <w:szCs w:val="20"/>
              <w:lang w:bidi="en-US"/>
            </w:rPr>
            <w:t>4</w:t>
          </w:r>
        </w:p>
        <w:p w:rsidR="008303F0" w:rsidRDefault="004D0594" w:rsidP="008303F0">
          <w:pPr>
            <w:pStyle w:val="24"/>
            <w:rPr>
              <w:rFonts w:asciiTheme="minorHAnsi" w:eastAsiaTheme="minorEastAsia" w:hAnsiTheme="minorHAnsi" w:cstheme="minorBidi"/>
              <w:sz w:val="22"/>
              <w:szCs w:val="22"/>
              <w:lang w:bidi="ar-SA"/>
            </w:rPr>
          </w:pPr>
          <w:hyperlink w:anchor="_Toc491763282" w:history="1">
            <w:r w:rsidR="008303F0" w:rsidRPr="00ED2763">
              <w:rPr>
                <w:rStyle w:val="af0"/>
              </w:rPr>
              <w:t>3.1.Общие понятия и определения</w:t>
            </w:r>
            <w:r w:rsidR="008303F0">
              <w:rPr>
                <w:webHidden/>
              </w:rPr>
              <w:tab/>
            </w:r>
            <w:r w:rsidR="008303F0">
              <w:rPr>
                <w:webHidden/>
              </w:rPr>
              <w:fldChar w:fldCharType="begin"/>
            </w:r>
            <w:r w:rsidR="008303F0">
              <w:rPr>
                <w:webHidden/>
              </w:rPr>
              <w:instrText xml:space="preserve"> PAGEREF _Toc491763282 \h </w:instrText>
            </w:r>
            <w:r w:rsidR="008303F0">
              <w:rPr>
                <w:webHidden/>
              </w:rPr>
            </w:r>
            <w:r w:rsidR="008303F0">
              <w:rPr>
                <w:webHidden/>
              </w:rPr>
              <w:fldChar w:fldCharType="separate"/>
            </w:r>
            <w:r w:rsidR="008303F0">
              <w:rPr>
                <w:webHidden/>
              </w:rPr>
              <w:t>13</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83" w:history="1">
            <w:r w:rsidR="008303F0" w:rsidRPr="00ED2763">
              <w:rPr>
                <w:rStyle w:val="af0"/>
              </w:rPr>
              <w:t>3.2.Ограничения и пределы применения полученного результата</w:t>
            </w:r>
            <w:r w:rsidR="008303F0">
              <w:rPr>
                <w:webHidden/>
              </w:rPr>
              <w:tab/>
            </w:r>
            <w:r w:rsidR="008303F0">
              <w:rPr>
                <w:webHidden/>
              </w:rPr>
              <w:fldChar w:fldCharType="begin"/>
            </w:r>
            <w:r w:rsidR="008303F0">
              <w:rPr>
                <w:webHidden/>
              </w:rPr>
              <w:instrText xml:space="preserve"> PAGEREF _Toc491763283 \h </w:instrText>
            </w:r>
            <w:r w:rsidR="008303F0">
              <w:rPr>
                <w:webHidden/>
              </w:rPr>
            </w:r>
            <w:r w:rsidR="008303F0">
              <w:rPr>
                <w:webHidden/>
              </w:rPr>
              <w:fldChar w:fldCharType="separate"/>
            </w:r>
            <w:r w:rsidR="008303F0">
              <w:rPr>
                <w:webHidden/>
              </w:rPr>
              <w:t>14</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84" w:history="1">
            <w:r w:rsidR="008303F0" w:rsidRPr="00ED2763">
              <w:rPr>
                <w:rStyle w:val="af0"/>
              </w:rPr>
              <w:t>3.3.</w:t>
            </w:r>
            <w:r w:rsidR="008303F0">
              <w:rPr>
                <w:rFonts w:asciiTheme="minorHAnsi" w:eastAsiaTheme="minorEastAsia" w:hAnsiTheme="minorHAnsi" w:cstheme="minorBidi"/>
                <w:sz w:val="22"/>
                <w:szCs w:val="22"/>
                <w:lang w:bidi="ar-SA"/>
              </w:rPr>
              <w:tab/>
            </w:r>
            <w:r w:rsidR="008303F0" w:rsidRPr="00ED2763">
              <w:rPr>
                <w:rStyle w:val="af0"/>
              </w:rPr>
              <w:t>Допущения, предположения и ограничивающие условия, на которых основывается оценка (принятые при проведении оценки допущения).</w:t>
            </w:r>
            <w:r w:rsidR="008303F0">
              <w:rPr>
                <w:webHidden/>
              </w:rPr>
              <w:tab/>
            </w:r>
            <w:r w:rsidR="008303F0">
              <w:rPr>
                <w:webHidden/>
              </w:rPr>
              <w:fldChar w:fldCharType="begin"/>
            </w:r>
            <w:r w:rsidR="008303F0">
              <w:rPr>
                <w:webHidden/>
              </w:rPr>
              <w:instrText xml:space="preserve"> PAGEREF _Toc491763284 \h </w:instrText>
            </w:r>
            <w:r w:rsidR="008303F0">
              <w:rPr>
                <w:webHidden/>
              </w:rPr>
            </w:r>
            <w:r w:rsidR="008303F0">
              <w:rPr>
                <w:webHidden/>
              </w:rPr>
              <w:fldChar w:fldCharType="separate"/>
            </w:r>
            <w:r w:rsidR="008303F0">
              <w:rPr>
                <w:webHidden/>
              </w:rPr>
              <w:t>14</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85" w:history="1">
            <w:r w:rsidR="008303F0" w:rsidRPr="00ED2763">
              <w:rPr>
                <w:rStyle w:val="af0"/>
              </w:rPr>
              <w:t>4.1.Сведения о заказчике</w:t>
            </w:r>
            <w:r w:rsidR="008303F0">
              <w:rPr>
                <w:webHidden/>
              </w:rPr>
              <w:tab/>
            </w:r>
            <w:r w:rsidR="008303F0">
              <w:rPr>
                <w:webHidden/>
              </w:rPr>
              <w:fldChar w:fldCharType="begin"/>
            </w:r>
            <w:r w:rsidR="008303F0">
              <w:rPr>
                <w:webHidden/>
              </w:rPr>
              <w:instrText xml:space="preserve"> PAGEREF _Toc491763285 \h </w:instrText>
            </w:r>
            <w:r w:rsidR="008303F0">
              <w:rPr>
                <w:webHidden/>
              </w:rPr>
            </w:r>
            <w:r w:rsidR="008303F0">
              <w:rPr>
                <w:webHidden/>
              </w:rPr>
              <w:fldChar w:fldCharType="separate"/>
            </w:r>
            <w:r w:rsidR="008303F0">
              <w:rPr>
                <w:webHidden/>
              </w:rPr>
              <w:t>15</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86" w:history="1">
            <w:r w:rsidR="008303F0" w:rsidRPr="00ED2763">
              <w:rPr>
                <w:rStyle w:val="af0"/>
              </w:rPr>
              <w:t>4.2Сведения об оценщике Сведения об оценщике</w:t>
            </w:r>
            <w:r w:rsidR="008303F0">
              <w:rPr>
                <w:webHidden/>
              </w:rPr>
              <w:tab/>
            </w:r>
            <w:r w:rsidR="008303F0">
              <w:rPr>
                <w:webHidden/>
              </w:rPr>
              <w:fldChar w:fldCharType="begin"/>
            </w:r>
            <w:r w:rsidR="008303F0">
              <w:rPr>
                <w:webHidden/>
              </w:rPr>
              <w:instrText xml:space="preserve"> PAGEREF _Toc491763286 \h </w:instrText>
            </w:r>
            <w:r w:rsidR="008303F0">
              <w:rPr>
                <w:webHidden/>
              </w:rPr>
            </w:r>
            <w:r w:rsidR="008303F0">
              <w:rPr>
                <w:webHidden/>
              </w:rPr>
              <w:fldChar w:fldCharType="separate"/>
            </w:r>
            <w:r w:rsidR="008303F0">
              <w:rPr>
                <w:webHidden/>
              </w:rPr>
              <w:t>15</w:t>
            </w:r>
            <w:r w:rsidR="008303F0">
              <w:rPr>
                <w:webHidden/>
              </w:rPr>
              <w:fldChar w:fldCharType="end"/>
            </w:r>
          </w:hyperlink>
        </w:p>
        <w:p w:rsidR="008303F0" w:rsidRDefault="004D0594" w:rsidP="008303F0">
          <w:pPr>
            <w:pStyle w:val="24"/>
            <w:rPr>
              <w:rStyle w:val="af0"/>
            </w:rPr>
          </w:pPr>
          <w:hyperlink w:anchor="_Toc491763287" w:history="1">
            <w:r w:rsidR="008303F0" w:rsidRPr="00ED2763">
              <w:rPr>
                <w:rStyle w:val="af0"/>
              </w:rPr>
              <w:t>4.3Сведения о юридическом лице, с которым оценщик заключил трудовой договор</w:t>
            </w:r>
            <w:r w:rsidR="008303F0">
              <w:rPr>
                <w:webHidden/>
              </w:rPr>
              <w:tab/>
            </w:r>
            <w:r w:rsidR="008303F0">
              <w:rPr>
                <w:webHidden/>
              </w:rPr>
              <w:fldChar w:fldCharType="begin"/>
            </w:r>
            <w:r w:rsidR="008303F0">
              <w:rPr>
                <w:webHidden/>
              </w:rPr>
              <w:instrText xml:space="preserve"> PAGEREF _Toc491763287 \h </w:instrText>
            </w:r>
            <w:r w:rsidR="008303F0">
              <w:rPr>
                <w:webHidden/>
              </w:rPr>
            </w:r>
            <w:r w:rsidR="008303F0">
              <w:rPr>
                <w:webHidden/>
              </w:rPr>
              <w:fldChar w:fldCharType="separate"/>
            </w:r>
            <w:r w:rsidR="008303F0">
              <w:rPr>
                <w:webHidden/>
              </w:rPr>
              <w:t>15</w:t>
            </w:r>
            <w:r w:rsidR="008303F0">
              <w:rPr>
                <w:webHidden/>
              </w:rPr>
              <w:fldChar w:fldCharType="end"/>
            </w:r>
          </w:hyperlink>
        </w:p>
        <w:p w:rsidR="008303F0" w:rsidRPr="008303F0" w:rsidRDefault="008303F0" w:rsidP="008303F0">
          <w:pPr>
            <w:pStyle w:val="24"/>
            <w:rPr>
              <w:rStyle w:val="af0"/>
              <w:color w:val="auto"/>
              <w:u w:val="none"/>
            </w:rPr>
          </w:pPr>
          <w:r w:rsidRPr="008303F0">
            <w:rPr>
              <w:rStyle w:val="af0"/>
              <w:color w:val="auto"/>
              <w:u w:val="none"/>
            </w:rPr>
            <w:t>5. Информация обо всех привлекаемых к проведению оценки и подготовки отчета об оценке организациях и специалистах с указанием их квалификации и степени их участия в проведении оценки объекта оценки…………………………………………………………………………………………………………………………………………………...................1</w:t>
          </w:r>
          <w:r>
            <w:rPr>
              <w:rStyle w:val="af0"/>
              <w:color w:val="auto"/>
              <w:u w:val="none"/>
            </w:rPr>
            <w:t>8</w:t>
          </w:r>
        </w:p>
        <w:p w:rsidR="008303F0" w:rsidRPr="008303F0" w:rsidRDefault="004D0594" w:rsidP="008303F0">
          <w:pPr>
            <w:pStyle w:val="13"/>
            <w:rPr>
              <w:rStyle w:val="af0"/>
              <w:bCs w:val="0"/>
              <w:color w:val="auto"/>
              <w:u w:val="none"/>
              <w:lang w:bidi="en-US"/>
            </w:rPr>
          </w:pPr>
          <w:hyperlink w:anchor="_Toc491763288" w:history="1">
            <w:r w:rsidR="008303F0" w:rsidRPr="008303F0">
              <w:rPr>
                <w:rStyle w:val="af0"/>
                <w:color w:val="auto"/>
                <w:u w:val="none"/>
                <w:lang w:bidi="en-US"/>
              </w:rPr>
              <w:t>6. Основные факты и выводы</w:t>
            </w:r>
            <w:r w:rsidR="008303F0">
              <w:rPr>
                <w:rStyle w:val="af0"/>
                <w:bCs w:val="0"/>
                <w:color w:val="auto"/>
                <w:u w:val="none"/>
                <w:lang w:bidi="en-US"/>
              </w:rPr>
              <w:t>…</w:t>
            </w:r>
            <w:r w:rsidR="008303F0">
              <w:rPr>
                <w:rStyle w:val="af0"/>
                <w:bCs w:val="0"/>
                <w:webHidden/>
                <w:color w:val="auto"/>
                <w:u w:val="none"/>
                <w:lang w:bidi="en-US"/>
              </w:rPr>
              <w:t>………………………………………………………………………………………………………………………...</w:t>
            </w:r>
            <w:r w:rsidR="008303F0" w:rsidRPr="008303F0">
              <w:rPr>
                <w:rStyle w:val="af0"/>
                <w:bCs w:val="0"/>
                <w:webHidden/>
                <w:color w:val="auto"/>
                <w:u w:val="none"/>
                <w:lang w:bidi="en-US"/>
              </w:rPr>
              <w:fldChar w:fldCharType="begin"/>
            </w:r>
            <w:r w:rsidR="008303F0" w:rsidRPr="008303F0">
              <w:rPr>
                <w:rStyle w:val="af0"/>
                <w:bCs w:val="0"/>
                <w:webHidden/>
                <w:color w:val="auto"/>
                <w:u w:val="none"/>
                <w:lang w:bidi="en-US"/>
              </w:rPr>
              <w:instrText xml:space="preserve"> PAGEREF _Toc491763288 \h </w:instrText>
            </w:r>
            <w:r w:rsidR="008303F0" w:rsidRPr="008303F0">
              <w:rPr>
                <w:rStyle w:val="af0"/>
                <w:bCs w:val="0"/>
                <w:webHidden/>
                <w:color w:val="auto"/>
                <w:u w:val="none"/>
                <w:lang w:bidi="en-US"/>
              </w:rPr>
            </w:r>
            <w:r w:rsidR="008303F0" w:rsidRPr="008303F0">
              <w:rPr>
                <w:rStyle w:val="af0"/>
                <w:bCs w:val="0"/>
                <w:webHidden/>
                <w:color w:val="auto"/>
                <w:u w:val="none"/>
                <w:lang w:bidi="en-US"/>
              </w:rPr>
              <w:fldChar w:fldCharType="separate"/>
            </w:r>
            <w:r w:rsidR="008303F0">
              <w:rPr>
                <w:rStyle w:val="af0"/>
                <w:bCs w:val="0"/>
                <w:webHidden/>
                <w:color w:val="auto"/>
                <w:u w:val="none"/>
                <w:lang w:bidi="en-US"/>
              </w:rPr>
              <w:t>17</w:t>
            </w:r>
            <w:r w:rsidR="008303F0" w:rsidRPr="008303F0">
              <w:rPr>
                <w:rStyle w:val="af0"/>
                <w:bCs w:val="0"/>
                <w:webHidden/>
                <w:color w:val="auto"/>
                <w:u w:val="none"/>
                <w:lang w:bidi="en-US"/>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89" w:history="1">
            <w:r w:rsidR="008303F0" w:rsidRPr="00ED2763">
              <w:rPr>
                <w:rStyle w:val="af0"/>
              </w:rPr>
              <w:t>6.1.Общая информация, идентифицирующая объект оценки.</w:t>
            </w:r>
            <w:r w:rsidR="008303F0">
              <w:rPr>
                <w:webHidden/>
              </w:rPr>
              <w:tab/>
            </w:r>
            <w:r w:rsidR="008303F0">
              <w:rPr>
                <w:webHidden/>
              </w:rPr>
              <w:fldChar w:fldCharType="begin"/>
            </w:r>
            <w:r w:rsidR="008303F0">
              <w:rPr>
                <w:webHidden/>
              </w:rPr>
              <w:instrText xml:space="preserve"> PAGEREF _Toc491763289 \h </w:instrText>
            </w:r>
            <w:r w:rsidR="008303F0">
              <w:rPr>
                <w:webHidden/>
              </w:rPr>
            </w:r>
            <w:r w:rsidR="008303F0">
              <w:rPr>
                <w:webHidden/>
              </w:rPr>
              <w:fldChar w:fldCharType="separate"/>
            </w:r>
            <w:r w:rsidR="008303F0">
              <w:rPr>
                <w:webHidden/>
              </w:rPr>
              <w:t>17</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90" w:history="1">
            <w:r w:rsidR="008303F0" w:rsidRPr="00ED2763">
              <w:rPr>
                <w:rStyle w:val="af0"/>
              </w:rPr>
              <w:t>6.2.Результаты оценки, полученные при применении различных подходов к  оценке.</w:t>
            </w:r>
            <w:r w:rsidR="008303F0">
              <w:rPr>
                <w:webHidden/>
              </w:rPr>
              <w:tab/>
            </w:r>
            <w:r w:rsidR="008303F0">
              <w:rPr>
                <w:webHidden/>
              </w:rPr>
              <w:fldChar w:fldCharType="begin"/>
            </w:r>
            <w:r w:rsidR="008303F0">
              <w:rPr>
                <w:webHidden/>
              </w:rPr>
              <w:instrText xml:space="preserve"> PAGEREF _Toc491763290 \h </w:instrText>
            </w:r>
            <w:r w:rsidR="008303F0">
              <w:rPr>
                <w:webHidden/>
              </w:rPr>
            </w:r>
            <w:r w:rsidR="008303F0">
              <w:rPr>
                <w:webHidden/>
              </w:rPr>
              <w:fldChar w:fldCharType="separate"/>
            </w:r>
            <w:r w:rsidR="008303F0">
              <w:rPr>
                <w:webHidden/>
              </w:rPr>
              <w:t>18</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91" w:history="1">
            <w:r w:rsidR="008303F0" w:rsidRPr="00ED2763">
              <w:rPr>
                <w:rStyle w:val="af0"/>
              </w:rPr>
              <w:t>6.3. Итоговая величина стоимости объекта оценки.</w:t>
            </w:r>
            <w:r w:rsidR="008303F0">
              <w:rPr>
                <w:webHidden/>
              </w:rPr>
              <w:tab/>
            </w:r>
            <w:r w:rsidR="008303F0">
              <w:rPr>
                <w:webHidden/>
              </w:rPr>
              <w:fldChar w:fldCharType="begin"/>
            </w:r>
            <w:r w:rsidR="008303F0">
              <w:rPr>
                <w:webHidden/>
              </w:rPr>
              <w:instrText xml:space="preserve"> PAGEREF _Toc491763291 \h </w:instrText>
            </w:r>
            <w:r w:rsidR="008303F0">
              <w:rPr>
                <w:webHidden/>
              </w:rPr>
            </w:r>
            <w:r w:rsidR="008303F0">
              <w:rPr>
                <w:webHidden/>
              </w:rPr>
              <w:fldChar w:fldCharType="separate"/>
            </w:r>
            <w:r w:rsidR="008303F0">
              <w:rPr>
                <w:webHidden/>
              </w:rPr>
              <w:t>19</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92" w:history="1">
            <w:r w:rsidR="008303F0" w:rsidRPr="00ED2763">
              <w:rPr>
                <w:rStyle w:val="af0"/>
              </w:rPr>
              <w:t>6.4. Ограничения и пределы применения полученного результата</w:t>
            </w:r>
            <w:r w:rsidR="008303F0">
              <w:rPr>
                <w:webHidden/>
              </w:rPr>
              <w:tab/>
            </w:r>
            <w:r w:rsidR="008303F0">
              <w:rPr>
                <w:webHidden/>
              </w:rPr>
              <w:fldChar w:fldCharType="begin"/>
            </w:r>
            <w:r w:rsidR="008303F0">
              <w:rPr>
                <w:webHidden/>
              </w:rPr>
              <w:instrText xml:space="preserve"> PAGEREF _Toc491763292 \h </w:instrText>
            </w:r>
            <w:r w:rsidR="008303F0">
              <w:rPr>
                <w:webHidden/>
              </w:rPr>
            </w:r>
            <w:r w:rsidR="008303F0">
              <w:rPr>
                <w:webHidden/>
              </w:rPr>
              <w:fldChar w:fldCharType="separate"/>
            </w:r>
            <w:r w:rsidR="008303F0">
              <w:rPr>
                <w:webHidden/>
              </w:rPr>
              <w:t>19</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93" w:history="1">
            <w:r w:rsidR="008303F0" w:rsidRPr="00ED2763">
              <w:rPr>
                <w:rStyle w:val="af0"/>
              </w:rPr>
              <w:t>7.</w:t>
            </w:r>
            <w:r w:rsidR="008303F0">
              <w:rPr>
                <w:rFonts w:asciiTheme="minorHAnsi" w:eastAsiaTheme="minorEastAsia" w:hAnsiTheme="minorHAnsi" w:cstheme="minorBidi"/>
                <w:sz w:val="22"/>
                <w:szCs w:val="22"/>
                <w:lang w:bidi="ar-SA"/>
              </w:rPr>
              <w:tab/>
            </w:r>
            <w:r w:rsidR="008303F0" w:rsidRPr="00ED2763">
              <w:rPr>
                <w:rStyle w:val="af0"/>
              </w:rPr>
              <w:t>Описание объекта оценки с указанием перечня документов, используемым оценщиками устанавливающих количественные и качественные характеристики объекта оценки, а в отношении объекта оценки, принадлежащего юридическому лицу, так же реквизиты юридического лица (в том числе полное и (в случае, если имеется) сокращенное наименование, дата государственной регистрации, основной государственный регистрационный номер) и балансовая стоимость данного объекта оценки (при наличии)</w:t>
            </w:r>
            <w:r w:rsidR="008303F0">
              <w:rPr>
                <w:webHidden/>
              </w:rPr>
              <w:tab/>
            </w:r>
            <w:r w:rsidR="008303F0">
              <w:rPr>
                <w:webHidden/>
              </w:rPr>
              <w:fldChar w:fldCharType="begin"/>
            </w:r>
            <w:r w:rsidR="008303F0">
              <w:rPr>
                <w:webHidden/>
              </w:rPr>
              <w:instrText xml:space="preserve"> PAGEREF _Toc491763293 \h </w:instrText>
            </w:r>
            <w:r w:rsidR="008303F0">
              <w:rPr>
                <w:webHidden/>
              </w:rPr>
            </w:r>
            <w:r w:rsidR="008303F0">
              <w:rPr>
                <w:webHidden/>
              </w:rPr>
              <w:fldChar w:fldCharType="separate"/>
            </w:r>
            <w:r w:rsidR="008303F0">
              <w:rPr>
                <w:webHidden/>
              </w:rPr>
              <w:t>20</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94" w:history="1">
            <w:r w:rsidR="008303F0" w:rsidRPr="00ED2763">
              <w:rPr>
                <w:rStyle w:val="af0"/>
              </w:rPr>
              <w:t>7.1.Сведения о результатах осмотра объекта оценки</w:t>
            </w:r>
            <w:r w:rsidR="008303F0">
              <w:rPr>
                <w:webHidden/>
              </w:rPr>
              <w:tab/>
            </w:r>
            <w:r w:rsidR="008303F0">
              <w:rPr>
                <w:webHidden/>
              </w:rPr>
              <w:fldChar w:fldCharType="begin"/>
            </w:r>
            <w:r w:rsidR="008303F0">
              <w:rPr>
                <w:webHidden/>
              </w:rPr>
              <w:instrText xml:space="preserve"> PAGEREF _Toc491763294 \h </w:instrText>
            </w:r>
            <w:r w:rsidR="008303F0">
              <w:rPr>
                <w:webHidden/>
              </w:rPr>
            </w:r>
            <w:r w:rsidR="008303F0">
              <w:rPr>
                <w:webHidden/>
              </w:rPr>
              <w:fldChar w:fldCharType="separate"/>
            </w:r>
            <w:r w:rsidR="008303F0">
              <w:rPr>
                <w:webHidden/>
              </w:rPr>
              <w:t>20</w:t>
            </w:r>
            <w:r w:rsidR="008303F0">
              <w:rPr>
                <w:webHidden/>
              </w:rPr>
              <w:fldChar w:fldCharType="end"/>
            </w:r>
          </w:hyperlink>
        </w:p>
        <w:p w:rsidR="008303F0" w:rsidRDefault="004D0594" w:rsidP="008303F0">
          <w:pPr>
            <w:pStyle w:val="24"/>
            <w:rPr>
              <w:rStyle w:val="af0"/>
            </w:rPr>
          </w:pPr>
          <w:hyperlink w:anchor="_Toc491763295" w:history="1">
            <w:r w:rsidR="008303F0" w:rsidRPr="00ED2763">
              <w:rPr>
                <w:rStyle w:val="af0"/>
              </w:rPr>
              <w:t>7.2.</w:t>
            </w:r>
            <w:r w:rsidR="008303F0">
              <w:rPr>
                <w:rFonts w:asciiTheme="minorHAnsi" w:eastAsiaTheme="minorEastAsia" w:hAnsiTheme="minorHAnsi" w:cstheme="minorBidi"/>
                <w:sz w:val="22"/>
                <w:szCs w:val="22"/>
                <w:lang w:bidi="ar-SA"/>
              </w:rPr>
              <w:tab/>
            </w:r>
            <w:r w:rsidR="008303F0" w:rsidRPr="00ED2763">
              <w:rPr>
                <w:rStyle w:val="af0"/>
              </w:rPr>
              <w:t>Количественные и качественные характеристики объекта оценки, в том числе элементов, расположенных на объекте оценки, которые имеют специфику, влияющую  на результаты оценки объекта оценки, информация о текущем использовании объекта оценки.</w:t>
            </w:r>
            <w:r w:rsidR="008303F0">
              <w:rPr>
                <w:webHidden/>
              </w:rPr>
              <w:tab/>
            </w:r>
            <w:r w:rsidR="008303F0">
              <w:rPr>
                <w:webHidden/>
              </w:rPr>
              <w:fldChar w:fldCharType="begin"/>
            </w:r>
            <w:r w:rsidR="008303F0">
              <w:rPr>
                <w:webHidden/>
              </w:rPr>
              <w:instrText xml:space="preserve"> PAGEREF _Toc491763295 \h </w:instrText>
            </w:r>
            <w:r w:rsidR="008303F0">
              <w:rPr>
                <w:webHidden/>
              </w:rPr>
            </w:r>
            <w:r w:rsidR="008303F0">
              <w:rPr>
                <w:webHidden/>
              </w:rPr>
              <w:fldChar w:fldCharType="separate"/>
            </w:r>
            <w:r w:rsidR="008303F0">
              <w:rPr>
                <w:webHidden/>
              </w:rPr>
              <w:t>24</w:t>
            </w:r>
            <w:r w:rsidR="008303F0">
              <w:rPr>
                <w:webHidden/>
              </w:rPr>
              <w:fldChar w:fldCharType="end"/>
            </w:r>
          </w:hyperlink>
        </w:p>
        <w:p w:rsidR="008303F0" w:rsidRPr="008303F0" w:rsidRDefault="008303F0" w:rsidP="008303F0">
          <w:pPr>
            <w:rPr>
              <w:lang w:bidi="en-US"/>
            </w:rPr>
          </w:pPr>
        </w:p>
        <w:p w:rsidR="008303F0" w:rsidRDefault="008303F0" w:rsidP="008303F0">
          <w:pPr>
            <w:rPr>
              <w:rFonts w:eastAsiaTheme="minorEastAsia"/>
              <w:lang w:bidi="en-US"/>
            </w:rPr>
          </w:pPr>
        </w:p>
        <w:p w:rsidR="008303F0" w:rsidRPr="008303F0" w:rsidRDefault="008303F0" w:rsidP="008303F0">
          <w:pPr>
            <w:rPr>
              <w:rFonts w:eastAsiaTheme="minorEastAsia"/>
              <w:lang w:bidi="en-US"/>
            </w:rPr>
          </w:pPr>
        </w:p>
        <w:p w:rsidR="008303F0" w:rsidRDefault="004D0594" w:rsidP="008303F0">
          <w:pPr>
            <w:pStyle w:val="24"/>
            <w:rPr>
              <w:rFonts w:asciiTheme="minorHAnsi" w:eastAsiaTheme="minorEastAsia" w:hAnsiTheme="minorHAnsi" w:cstheme="minorBidi"/>
              <w:sz w:val="22"/>
              <w:szCs w:val="22"/>
              <w:lang w:bidi="ar-SA"/>
            </w:rPr>
          </w:pPr>
          <w:hyperlink w:anchor="_Toc491763296" w:history="1">
            <w:r w:rsidR="008303F0" w:rsidRPr="00ED2763">
              <w:rPr>
                <w:rStyle w:val="af0"/>
                <w:smallCaps/>
                <w:lang w:eastAsia="en-US"/>
              </w:rPr>
              <w:t>7.3.</w:t>
            </w:r>
            <w:r w:rsidR="008303F0" w:rsidRPr="00ED2763">
              <w:rPr>
                <w:rStyle w:val="af0"/>
              </w:rPr>
              <w:t>Анализ наиболее эффективного использования</w:t>
            </w:r>
            <w:r w:rsidR="008303F0">
              <w:rPr>
                <w:webHidden/>
              </w:rPr>
              <w:tab/>
            </w:r>
            <w:r w:rsidR="008303F0">
              <w:rPr>
                <w:webHidden/>
              </w:rPr>
              <w:fldChar w:fldCharType="begin"/>
            </w:r>
            <w:r w:rsidR="008303F0">
              <w:rPr>
                <w:webHidden/>
              </w:rPr>
              <w:instrText xml:space="preserve"> PAGEREF _Toc491763296 \h </w:instrText>
            </w:r>
            <w:r w:rsidR="008303F0">
              <w:rPr>
                <w:webHidden/>
              </w:rPr>
            </w:r>
            <w:r w:rsidR="008303F0">
              <w:rPr>
                <w:webHidden/>
              </w:rPr>
              <w:fldChar w:fldCharType="separate"/>
            </w:r>
            <w:r w:rsidR="008303F0">
              <w:rPr>
                <w:webHidden/>
              </w:rPr>
              <w:t>26</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97" w:history="1">
            <w:r w:rsidR="008303F0" w:rsidRPr="00ED2763">
              <w:rPr>
                <w:rStyle w:val="af0"/>
              </w:rPr>
              <w:t>7.4.</w:t>
            </w:r>
            <w:r w:rsidR="008303F0">
              <w:rPr>
                <w:rFonts w:asciiTheme="minorHAnsi" w:eastAsiaTheme="minorEastAsia" w:hAnsiTheme="minorHAnsi" w:cstheme="minorBidi"/>
                <w:sz w:val="22"/>
                <w:szCs w:val="22"/>
                <w:lang w:bidi="ar-SA"/>
              </w:rPr>
              <w:tab/>
            </w:r>
            <w:r w:rsidR="008303F0" w:rsidRPr="00ED2763">
              <w:rPr>
                <w:rStyle w:val="af0"/>
              </w:rPr>
              <w:t>Перечень документов, используемых оценщиком и устанавливающих количественные и качественные характеристики объекта оценки</w:t>
            </w:r>
            <w:r w:rsidR="008303F0">
              <w:rPr>
                <w:webHidden/>
              </w:rPr>
              <w:tab/>
            </w:r>
            <w:r w:rsidR="008303F0">
              <w:rPr>
                <w:webHidden/>
              </w:rPr>
              <w:fldChar w:fldCharType="begin"/>
            </w:r>
            <w:r w:rsidR="008303F0">
              <w:rPr>
                <w:webHidden/>
              </w:rPr>
              <w:instrText xml:space="preserve"> PAGEREF _Toc491763297 \h </w:instrText>
            </w:r>
            <w:r w:rsidR="008303F0">
              <w:rPr>
                <w:webHidden/>
              </w:rPr>
            </w:r>
            <w:r w:rsidR="008303F0">
              <w:rPr>
                <w:webHidden/>
              </w:rPr>
              <w:fldChar w:fldCharType="separate"/>
            </w:r>
            <w:r w:rsidR="008303F0">
              <w:rPr>
                <w:webHidden/>
              </w:rPr>
              <w:t>29</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298" w:history="1">
            <w:r w:rsidR="008303F0" w:rsidRPr="00ED2763">
              <w:rPr>
                <w:rStyle w:val="af0"/>
              </w:rPr>
              <w:t>8.</w:t>
            </w:r>
            <w:r w:rsidR="008303F0">
              <w:rPr>
                <w:rFonts w:asciiTheme="minorHAnsi" w:eastAsiaTheme="minorEastAsia" w:hAnsiTheme="minorHAnsi" w:cstheme="minorBidi"/>
                <w:sz w:val="22"/>
                <w:szCs w:val="22"/>
                <w:lang w:bidi="ar-SA"/>
              </w:rPr>
              <w:tab/>
            </w:r>
            <w:r w:rsidR="008303F0" w:rsidRPr="00ED2763">
              <w:rPr>
                <w:rStyle w:val="af0"/>
              </w:rPr>
              <w:t>Анализ рынка объекта оценки, а также анализ других внешних факторов, не относящихся непосредственно к объекту оценки, но влияющих на его стоимость. Информация по всем ценообразующим факторам, влияющих на стоимость объекта оценки</w:t>
            </w:r>
            <w:r w:rsidR="008303F0">
              <w:rPr>
                <w:webHidden/>
              </w:rPr>
              <w:tab/>
            </w:r>
            <w:r w:rsidR="008303F0">
              <w:rPr>
                <w:webHidden/>
              </w:rPr>
              <w:fldChar w:fldCharType="begin"/>
            </w:r>
            <w:r w:rsidR="008303F0">
              <w:rPr>
                <w:webHidden/>
              </w:rPr>
              <w:instrText xml:space="preserve"> PAGEREF _Toc491763298 \h </w:instrText>
            </w:r>
            <w:r w:rsidR="008303F0">
              <w:rPr>
                <w:webHidden/>
              </w:rPr>
            </w:r>
            <w:r w:rsidR="008303F0">
              <w:rPr>
                <w:webHidden/>
              </w:rPr>
              <w:fldChar w:fldCharType="separate"/>
            </w:r>
            <w:r w:rsidR="008303F0">
              <w:rPr>
                <w:webHidden/>
              </w:rPr>
              <w:t>30</w:t>
            </w:r>
            <w:r w:rsidR="008303F0">
              <w:rPr>
                <w:webHidden/>
              </w:rPr>
              <w:fldChar w:fldCharType="end"/>
            </w:r>
          </w:hyperlink>
        </w:p>
        <w:p w:rsidR="008303F0" w:rsidRPr="008303F0" w:rsidRDefault="004D0594" w:rsidP="008303F0">
          <w:pPr>
            <w:pStyle w:val="32"/>
            <w:ind w:firstLine="0"/>
            <w:rPr>
              <w:rFonts w:eastAsiaTheme="minorEastAsia" w:cstheme="minorBidi"/>
            </w:rPr>
          </w:pPr>
          <w:hyperlink w:anchor="_Toc491763299" w:history="1">
            <w:r w:rsidR="008303F0" w:rsidRPr="008303F0">
              <w:rPr>
                <w:rStyle w:val="af0"/>
              </w:rPr>
              <w:t>1)Анализ внешних факторов, в том числе общей политической и социально-экономической обстановки в стране и регионе расположения объекта оценки на рынок оцениваемого объекта</w:t>
            </w:r>
            <w:r w:rsidR="008303F0" w:rsidRPr="008303F0">
              <w:rPr>
                <w:webHidden/>
              </w:rPr>
              <w:tab/>
            </w:r>
            <w:r w:rsidR="008303F0">
              <w:rPr>
                <w:webHidden/>
              </w:rPr>
              <w:t>……………………………………</w:t>
            </w:r>
            <w:r w:rsidR="008303F0" w:rsidRPr="008303F0">
              <w:rPr>
                <w:webHidden/>
              </w:rPr>
              <w:fldChar w:fldCharType="begin"/>
            </w:r>
            <w:r w:rsidR="008303F0" w:rsidRPr="008303F0">
              <w:rPr>
                <w:webHidden/>
              </w:rPr>
              <w:instrText xml:space="preserve"> PAGEREF _Toc491763299 \h </w:instrText>
            </w:r>
            <w:r w:rsidR="008303F0" w:rsidRPr="008303F0">
              <w:rPr>
                <w:webHidden/>
              </w:rPr>
            </w:r>
            <w:r w:rsidR="008303F0" w:rsidRPr="008303F0">
              <w:rPr>
                <w:webHidden/>
              </w:rPr>
              <w:fldChar w:fldCharType="separate"/>
            </w:r>
            <w:r w:rsidR="008303F0">
              <w:rPr>
                <w:webHidden/>
              </w:rPr>
              <w:t>30</w:t>
            </w:r>
            <w:r w:rsidR="008303F0" w:rsidRP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300" w:history="1">
            <w:r w:rsidR="008303F0" w:rsidRPr="00ED2763">
              <w:rPr>
                <w:rStyle w:val="af0"/>
                <w:rFonts w:eastAsia="Times New Roman"/>
              </w:rPr>
              <w:t>2)Ценообразующие факторы, влияющие на стоимость объекта оценки</w:t>
            </w:r>
            <w:r w:rsidR="008303F0">
              <w:rPr>
                <w:webHidden/>
              </w:rPr>
              <w:tab/>
            </w:r>
            <w:r w:rsidR="008303F0">
              <w:rPr>
                <w:webHidden/>
              </w:rPr>
              <w:fldChar w:fldCharType="begin"/>
            </w:r>
            <w:r w:rsidR="008303F0">
              <w:rPr>
                <w:webHidden/>
              </w:rPr>
              <w:instrText xml:space="preserve"> PAGEREF _Toc491763300 \h </w:instrText>
            </w:r>
            <w:r w:rsidR="008303F0">
              <w:rPr>
                <w:webHidden/>
              </w:rPr>
            </w:r>
            <w:r w:rsidR="008303F0">
              <w:rPr>
                <w:webHidden/>
              </w:rPr>
              <w:fldChar w:fldCharType="separate"/>
            </w:r>
            <w:r w:rsidR="008303F0">
              <w:rPr>
                <w:webHidden/>
              </w:rPr>
              <w:t>33</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301" w:history="1">
            <w:r w:rsidR="008303F0" w:rsidRPr="00ED2763">
              <w:rPr>
                <w:rStyle w:val="af0"/>
                <w:rFonts w:ascii="Cambria" w:hAnsi="Cambria"/>
                <w:lang w:eastAsia="en-US"/>
              </w:rPr>
              <w:t>Обзор рынка коммерческой недвижимости Белгорода по итогам 2015 –</w:t>
            </w:r>
            <w:r w:rsidR="008303F0">
              <w:rPr>
                <w:webHidden/>
              </w:rPr>
              <w:tab/>
            </w:r>
            <w:r w:rsidR="008303F0">
              <w:rPr>
                <w:webHidden/>
              </w:rPr>
              <w:fldChar w:fldCharType="begin"/>
            </w:r>
            <w:r w:rsidR="008303F0">
              <w:rPr>
                <w:webHidden/>
              </w:rPr>
              <w:instrText xml:space="preserve"> PAGEREF _Toc491763301 \h </w:instrText>
            </w:r>
            <w:r w:rsidR="008303F0">
              <w:rPr>
                <w:webHidden/>
              </w:rPr>
            </w:r>
            <w:r w:rsidR="008303F0">
              <w:rPr>
                <w:webHidden/>
              </w:rPr>
              <w:fldChar w:fldCharType="separate"/>
            </w:r>
            <w:r w:rsidR="008303F0">
              <w:rPr>
                <w:webHidden/>
              </w:rPr>
              <w:t>38</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302" w:history="1">
            <w:r w:rsidR="008303F0" w:rsidRPr="00ED2763">
              <w:rPr>
                <w:rStyle w:val="af0"/>
                <w:rFonts w:ascii="Cambria" w:hAnsi="Cambria"/>
                <w:lang w:eastAsia="en-US"/>
              </w:rPr>
              <w:t>3 квартала 2016 г.</w:t>
            </w:r>
            <w:r w:rsidR="008303F0">
              <w:rPr>
                <w:webHidden/>
              </w:rPr>
              <w:tab/>
            </w:r>
            <w:r w:rsidR="008303F0">
              <w:rPr>
                <w:webHidden/>
              </w:rPr>
              <w:fldChar w:fldCharType="begin"/>
            </w:r>
            <w:r w:rsidR="008303F0">
              <w:rPr>
                <w:webHidden/>
              </w:rPr>
              <w:instrText xml:space="preserve"> PAGEREF _Toc491763302 \h </w:instrText>
            </w:r>
            <w:r w:rsidR="008303F0">
              <w:rPr>
                <w:webHidden/>
              </w:rPr>
            </w:r>
            <w:r w:rsidR="008303F0">
              <w:rPr>
                <w:webHidden/>
              </w:rPr>
              <w:fldChar w:fldCharType="separate"/>
            </w:r>
            <w:r w:rsidR="008303F0">
              <w:rPr>
                <w:webHidden/>
              </w:rPr>
              <w:t>38</w:t>
            </w:r>
            <w:r w:rsidR="008303F0">
              <w:rPr>
                <w:webHidden/>
              </w:rPr>
              <w:fldChar w:fldCharType="end"/>
            </w:r>
          </w:hyperlink>
        </w:p>
        <w:p w:rsidR="008303F0" w:rsidRPr="008303F0" w:rsidRDefault="004D0594" w:rsidP="008303F0">
          <w:pPr>
            <w:pStyle w:val="13"/>
            <w:rPr>
              <w:rFonts w:eastAsiaTheme="minorEastAsia" w:cstheme="minorBidi"/>
            </w:rPr>
          </w:pPr>
          <w:hyperlink w:anchor="_Toc491763303" w:history="1">
            <w:r w:rsidR="008303F0" w:rsidRPr="008303F0">
              <w:rPr>
                <w:rStyle w:val="af0"/>
              </w:rPr>
              <w:t>9. Описание процесса оценки объекта оценки в части применения доходного, затратного и сравнительного подходов к оценке</w:t>
            </w:r>
            <w:r w:rsidR="008303F0">
              <w:rPr>
                <w:rStyle w:val="af0"/>
              </w:rPr>
              <w:t>…………………………………………………………………………………………………………………</w:t>
            </w:r>
            <w:r w:rsidR="008303F0" w:rsidRPr="008303F0">
              <w:rPr>
                <w:webHidden/>
              </w:rPr>
              <w:fldChar w:fldCharType="begin"/>
            </w:r>
            <w:r w:rsidR="008303F0" w:rsidRPr="008303F0">
              <w:rPr>
                <w:webHidden/>
              </w:rPr>
              <w:instrText xml:space="preserve"> PAGEREF _Toc491763303 \h </w:instrText>
            </w:r>
            <w:r w:rsidR="008303F0" w:rsidRPr="008303F0">
              <w:rPr>
                <w:webHidden/>
              </w:rPr>
            </w:r>
            <w:r w:rsidR="008303F0" w:rsidRPr="008303F0">
              <w:rPr>
                <w:webHidden/>
              </w:rPr>
              <w:fldChar w:fldCharType="separate"/>
            </w:r>
            <w:r w:rsidR="008303F0">
              <w:rPr>
                <w:webHidden/>
              </w:rPr>
              <w:t>44</w:t>
            </w:r>
            <w:r w:rsidR="008303F0" w:rsidRP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304" w:history="1">
            <w:r w:rsidR="008303F0" w:rsidRPr="00ED2763">
              <w:rPr>
                <w:rStyle w:val="af0"/>
              </w:rPr>
              <w:t>9.1.Описание последовательности определения стоимости объекта оценки.</w:t>
            </w:r>
            <w:r w:rsidR="008303F0">
              <w:rPr>
                <w:webHidden/>
              </w:rPr>
              <w:tab/>
            </w:r>
            <w:r w:rsidR="008303F0">
              <w:rPr>
                <w:webHidden/>
              </w:rPr>
              <w:fldChar w:fldCharType="begin"/>
            </w:r>
            <w:r w:rsidR="008303F0">
              <w:rPr>
                <w:webHidden/>
              </w:rPr>
              <w:instrText xml:space="preserve"> PAGEREF _Toc491763304 \h </w:instrText>
            </w:r>
            <w:r w:rsidR="008303F0">
              <w:rPr>
                <w:webHidden/>
              </w:rPr>
            </w:r>
            <w:r w:rsidR="008303F0">
              <w:rPr>
                <w:webHidden/>
              </w:rPr>
              <w:fldChar w:fldCharType="separate"/>
            </w:r>
            <w:r w:rsidR="008303F0">
              <w:rPr>
                <w:webHidden/>
              </w:rPr>
              <w:t>44</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305" w:history="1">
            <w:r w:rsidR="008303F0" w:rsidRPr="00ED2763">
              <w:rPr>
                <w:rStyle w:val="af0"/>
              </w:rPr>
              <w:t>9.2.Обоснование применения либо отказа от применения подходов при проведении оценки.</w:t>
            </w:r>
            <w:r w:rsidR="008303F0">
              <w:rPr>
                <w:webHidden/>
              </w:rPr>
              <w:tab/>
            </w:r>
            <w:r w:rsidR="008303F0">
              <w:rPr>
                <w:webHidden/>
              </w:rPr>
              <w:fldChar w:fldCharType="begin"/>
            </w:r>
            <w:r w:rsidR="008303F0">
              <w:rPr>
                <w:webHidden/>
              </w:rPr>
              <w:instrText xml:space="preserve"> PAGEREF _Toc491763305 \h </w:instrText>
            </w:r>
            <w:r w:rsidR="008303F0">
              <w:rPr>
                <w:webHidden/>
              </w:rPr>
            </w:r>
            <w:r w:rsidR="008303F0">
              <w:rPr>
                <w:webHidden/>
              </w:rPr>
              <w:fldChar w:fldCharType="separate"/>
            </w:r>
            <w:r w:rsidR="008303F0">
              <w:rPr>
                <w:webHidden/>
              </w:rPr>
              <w:t>44</w:t>
            </w:r>
            <w:r w:rsidR="008303F0">
              <w:rPr>
                <w:webHidden/>
              </w:rPr>
              <w:fldChar w:fldCharType="end"/>
            </w:r>
          </w:hyperlink>
        </w:p>
        <w:p w:rsidR="008303F0" w:rsidRDefault="004D0594" w:rsidP="008303F0">
          <w:pPr>
            <w:pStyle w:val="24"/>
            <w:rPr>
              <w:rFonts w:asciiTheme="minorHAnsi" w:eastAsiaTheme="minorEastAsia" w:hAnsiTheme="minorHAnsi" w:cstheme="minorBidi"/>
              <w:sz w:val="22"/>
              <w:szCs w:val="22"/>
              <w:lang w:bidi="ar-SA"/>
            </w:rPr>
          </w:pPr>
          <w:hyperlink w:anchor="_Toc491763306" w:history="1">
            <w:r w:rsidR="008303F0" w:rsidRPr="00ED2763">
              <w:rPr>
                <w:rStyle w:val="af0"/>
              </w:rPr>
              <w:t>9.3.Процесс оценки рыночной стоимости объекта оценки.</w:t>
            </w:r>
            <w:r w:rsidR="008303F0">
              <w:rPr>
                <w:webHidden/>
              </w:rPr>
              <w:tab/>
            </w:r>
            <w:r w:rsidR="008303F0">
              <w:rPr>
                <w:webHidden/>
              </w:rPr>
              <w:fldChar w:fldCharType="begin"/>
            </w:r>
            <w:r w:rsidR="008303F0">
              <w:rPr>
                <w:webHidden/>
              </w:rPr>
              <w:instrText xml:space="preserve"> PAGEREF _Toc491763306 \h </w:instrText>
            </w:r>
            <w:r w:rsidR="008303F0">
              <w:rPr>
                <w:webHidden/>
              </w:rPr>
            </w:r>
            <w:r w:rsidR="008303F0">
              <w:rPr>
                <w:webHidden/>
              </w:rPr>
              <w:fldChar w:fldCharType="separate"/>
            </w:r>
            <w:r w:rsidR="008303F0">
              <w:rPr>
                <w:webHidden/>
              </w:rPr>
              <w:t>46</w:t>
            </w:r>
            <w:r w:rsidR="008303F0">
              <w:rPr>
                <w:webHidden/>
              </w:rPr>
              <w:fldChar w:fldCharType="end"/>
            </w:r>
          </w:hyperlink>
        </w:p>
        <w:p w:rsidR="008303F0" w:rsidRDefault="004D0594" w:rsidP="008303F0">
          <w:pPr>
            <w:pStyle w:val="32"/>
            <w:ind w:firstLine="0"/>
            <w:rPr>
              <w:rFonts w:asciiTheme="minorHAnsi" w:eastAsiaTheme="minorEastAsia" w:hAnsiTheme="minorHAnsi" w:cstheme="minorBidi"/>
              <w:sz w:val="22"/>
              <w:szCs w:val="22"/>
            </w:rPr>
          </w:pPr>
          <w:hyperlink w:anchor="_Toc491763307" w:history="1">
            <w:r w:rsidR="008303F0" w:rsidRPr="00ED2763">
              <w:rPr>
                <w:rStyle w:val="af0"/>
                <w:lang w:eastAsia="en-US"/>
              </w:rPr>
              <w:t>1)Затратный подход</w:t>
            </w:r>
            <w:r w:rsidR="008303F0">
              <w:rPr>
                <w:webHidden/>
              </w:rPr>
              <w:tab/>
              <w:t>…………………………………………………………………………………………………………………………………………..</w:t>
            </w:r>
            <w:r w:rsidR="008303F0">
              <w:rPr>
                <w:webHidden/>
              </w:rPr>
              <w:fldChar w:fldCharType="begin"/>
            </w:r>
            <w:r w:rsidR="008303F0">
              <w:rPr>
                <w:webHidden/>
              </w:rPr>
              <w:instrText xml:space="preserve"> PAGEREF _Toc491763307 \h </w:instrText>
            </w:r>
            <w:r w:rsidR="008303F0">
              <w:rPr>
                <w:webHidden/>
              </w:rPr>
            </w:r>
            <w:r w:rsidR="008303F0">
              <w:rPr>
                <w:webHidden/>
              </w:rPr>
              <w:fldChar w:fldCharType="separate"/>
            </w:r>
            <w:r w:rsidR="008303F0">
              <w:rPr>
                <w:webHidden/>
              </w:rPr>
              <w:t>46</w:t>
            </w:r>
            <w:r w:rsidR="008303F0">
              <w:rPr>
                <w:webHidden/>
              </w:rPr>
              <w:fldChar w:fldCharType="end"/>
            </w:r>
          </w:hyperlink>
        </w:p>
        <w:p w:rsidR="008303F0" w:rsidRDefault="004D0594" w:rsidP="008303F0">
          <w:pPr>
            <w:pStyle w:val="32"/>
            <w:ind w:firstLine="0"/>
            <w:rPr>
              <w:rFonts w:asciiTheme="minorHAnsi" w:eastAsiaTheme="minorEastAsia" w:hAnsiTheme="minorHAnsi" w:cstheme="minorBidi"/>
              <w:sz w:val="22"/>
              <w:szCs w:val="22"/>
            </w:rPr>
          </w:pPr>
          <w:hyperlink w:anchor="_Toc491763308" w:history="1">
            <w:r w:rsidR="008303F0" w:rsidRPr="00ED2763">
              <w:rPr>
                <w:rStyle w:val="af0"/>
                <w:lang w:eastAsia="en-US"/>
              </w:rPr>
              <w:t>2)Сравнительный подход</w:t>
            </w:r>
            <w:r w:rsidR="008303F0">
              <w:rPr>
                <w:webHidden/>
              </w:rPr>
              <w:tab/>
              <w:t>………………………………………………………………………………………………………………………………….</w:t>
            </w:r>
            <w:r w:rsidR="008303F0">
              <w:rPr>
                <w:webHidden/>
              </w:rPr>
              <w:fldChar w:fldCharType="begin"/>
            </w:r>
            <w:r w:rsidR="008303F0">
              <w:rPr>
                <w:webHidden/>
              </w:rPr>
              <w:instrText xml:space="preserve"> PAGEREF _Toc491763308 \h </w:instrText>
            </w:r>
            <w:r w:rsidR="008303F0">
              <w:rPr>
                <w:webHidden/>
              </w:rPr>
            </w:r>
            <w:r w:rsidR="008303F0">
              <w:rPr>
                <w:webHidden/>
              </w:rPr>
              <w:fldChar w:fldCharType="separate"/>
            </w:r>
            <w:r w:rsidR="008303F0">
              <w:rPr>
                <w:webHidden/>
              </w:rPr>
              <w:t>58</w:t>
            </w:r>
            <w:r w:rsidR="008303F0">
              <w:rPr>
                <w:webHidden/>
              </w:rPr>
              <w:fldChar w:fldCharType="end"/>
            </w:r>
          </w:hyperlink>
        </w:p>
        <w:p w:rsidR="008303F0" w:rsidRDefault="004D0594" w:rsidP="008303F0">
          <w:pPr>
            <w:pStyle w:val="32"/>
            <w:ind w:firstLine="0"/>
            <w:rPr>
              <w:rStyle w:val="af0"/>
            </w:rPr>
          </w:pPr>
          <w:hyperlink w:anchor="_Toc491763309" w:history="1">
            <w:r w:rsidR="008303F0" w:rsidRPr="00ED2763">
              <w:rPr>
                <w:rStyle w:val="af0"/>
                <w:lang w:eastAsia="en-US" w:bidi="en-US"/>
              </w:rPr>
              <w:t>3)Доходный подход</w:t>
            </w:r>
            <w:r w:rsidR="008303F0">
              <w:rPr>
                <w:webHidden/>
              </w:rPr>
              <w:t>…………………………………………………………………………………………………………………………………………...</w:t>
            </w:r>
            <w:r w:rsidR="008303F0">
              <w:rPr>
                <w:webHidden/>
              </w:rPr>
              <w:fldChar w:fldCharType="begin"/>
            </w:r>
            <w:r w:rsidR="008303F0">
              <w:rPr>
                <w:webHidden/>
              </w:rPr>
              <w:instrText xml:space="preserve"> PAGEREF _Toc491763309 \h </w:instrText>
            </w:r>
            <w:r w:rsidR="008303F0">
              <w:rPr>
                <w:webHidden/>
              </w:rPr>
            </w:r>
            <w:r w:rsidR="008303F0">
              <w:rPr>
                <w:webHidden/>
              </w:rPr>
              <w:fldChar w:fldCharType="separate"/>
            </w:r>
            <w:r w:rsidR="008303F0">
              <w:rPr>
                <w:webHidden/>
              </w:rPr>
              <w:t>81</w:t>
            </w:r>
            <w:r w:rsidR="008303F0">
              <w:rPr>
                <w:webHidden/>
              </w:rPr>
              <w:fldChar w:fldCharType="end"/>
            </w:r>
          </w:hyperlink>
        </w:p>
        <w:p w:rsidR="008303F0" w:rsidRPr="008303F0" w:rsidRDefault="004D0594" w:rsidP="008303F0">
          <w:pPr>
            <w:tabs>
              <w:tab w:val="right" w:pos="10479"/>
            </w:tabs>
            <w:spacing w:line="360" w:lineRule="auto"/>
            <w:ind w:right="141"/>
            <w:jc w:val="both"/>
            <w:rPr>
              <w:rFonts w:asciiTheme="minorHAnsi" w:eastAsiaTheme="minorEastAsia" w:hAnsiTheme="minorHAnsi" w:cstheme="minorBidi"/>
              <w:b/>
              <w:bCs/>
              <w:noProof/>
              <w:sz w:val="20"/>
              <w:szCs w:val="20"/>
            </w:rPr>
          </w:pPr>
          <w:hyperlink w:anchor="_Toc488818958" w:history="1">
            <w:r w:rsidR="008303F0">
              <w:rPr>
                <w:rFonts w:asciiTheme="majorHAnsi" w:eastAsiaTheme="majorEastAsia" w:hAnsiTheme="majorHAnsi" w:cstheme="majorBidi"/>
                <w:b/>
                <w:bCs/>
                <w:noProof/>
                <w:sz w:val="20"/>
                <w:szCs w:val="20"/>
                <w:lang w:bidi="en-US"/>
              </w:rPr>
              <w:t xml:space="preserve">10.Согласование </w:t>
            </w:r>
            <w:r w:rsidR="008303F0" w:rsidRPr="00A1765D">
              <w:rPr>
                <w:rFonts w:asciiTheme="majorHAnsi" w:eastAsiaTheme="majorEastAsia" w:hAnsiTheme="majorHAnsi" w:cstheme="majorBidi"/>
                <w:b/>
                <w:bCs/>
                <w:noProof/>
                <w:sz w:val="20"/>
                <w:szCs w:val="20"/>
                <w:lang w:bidi="en-US"/>
              </w:rPr>
              <w:t>результатов…</w:t>
            </w:r>
            <w:r w:rsidR="008303F0" w:rsidRPr="00A1765D">
              <w:rPr>
                <w:rFonts w:asciiTheme="majorHAnsi" w:eastAsiaTheme="majorEastAsia" w:hAnsiTheme="majorHAnsi" w:cstheme="majorBidi"/>
                <w:b/>
                <w:bCs/>
                <w:noProof/>
                <w:webHidden/>
                <w:sz w:val="20"/>
                <w:szCs w:val="20"/>
              </w:rPr>
              <w:t>……………………………………</w:t>
            </w:r>
            <w:r w:rsidR="008303F0">
              <w:rPr>
                <w:rFonts w:asciiTheme="majorHAnsi" w:eastAsiaTheme="majorEastAsia" w:hAnsiTheme="majorHAnsi" w:cstheme="majorBidi"/>
                <w:b/>
                <w:bCs/>
                <w:noProof/>
                <w:webHidden/>
                <w:sz w:val="20"/>
                <w:szCs w:val="20"/>
              </w:rPr>
              <w:t>………………..………………………………………………………….</w:t>
            </w:r>
            <w:r w:rsidR="008303F0" w:rsidRPr="00A1765D">
              <w:rPr>
                <w:rFonts w:asciiTheme="majorHAnsi" w:eastAsiaTheme="majorEastAsia" w:hAnsiTheme="majorHAnsi" w:cstheme="majorBidi"/>
                <w:b/>
                <w:bCs/>
                <w:noProof/>
                <w:webHidden/>
                <w:sz w:val="20"/>
                <w:szCs w:val="20"/>
              </w:rPr>
              <w:t>.....</w:t>
            </w:r>
          </w:hyperlink>
          <w:r w:rsidR="008303F0">
            <w:rPr>
              <w:rFonts w:asciiTheme="majorHAnsi" w:eastAsiaTheme="majorEastAsia" w:hAnsiTheme="majorHAnsi" w:cstheme="majorBidi"/>
              <w:b/>
              <w:bCs/>
              <w:noProof/>
              <w:sz w:val="20"/>
              <w:szCs w:val="20"/>
            </w:rPr>
            <w:t>..101</w:t>
          </w:r>
          <w:r w:rsidR="008303F0" w:rsidRPr="00A1765D">
            <w:rPr>
              <w:rFonts w:asciiTheme="minorHAnsi" w:eastAsiaTheme="minorEastAsia" w:hAnsiTheme="minorHAnsi" w:cstheme="minorBidi"/>
              <w:b/>
              <w:bCs/>
              <w:noProof/>
              <w:sz w:val="20"/>
              <w:szCs w:val="20"/>
            </w:rPr>
            <w:t xml:space="preserve"> </w:t>
          </w:r>
        </w:p>
        <w:p w:rsidR="008303F0" w:rsidRPr="008303F0" w:rsidRDefault="004D0594" w:rsidP="008303F0">
          <w:pPr>
            <w:tabs>
              <w:tab w:val="right" w:pos="10479"/>
            </w:tabs>
            <w:spacing w:line="360" w:lineRule="auto"/>
            <w:ind w:right="141"/>
            <w:jc w:val="both"/>
            <w:rPr>
              <w:rFonts w:asciiTheme="majorHAnsi" w:eastAsiaTheme="majorEastAsia" w:hAnsiTheme="majorHAnsi" w:cstheme="majorBidi"/>
              <w:b/>
              <w:bCs/>
              <w:noProof/>
              <w:sz w:val="20"/>
              <w:szCs w:val="20"/>
            </w:rPr>
          </w:pPr>
          <w:hyperlink w:anchor="_Toc488818958" w:history="1">
            <w:r w:rsidR="008303F0" w:rsidRPr="00A1765D">
              <w:rPr>
                <w:rFonts w:asciiTheme="majorHAnsi" w:eastAsiaTheme="majorEastAsia" w:hAnsiTheme="majorHAnsi" w:cstheme="majorBidi"/>
                <w:b/>
                <w:bCs/>
                <w:noProof/>
                <w:sz w:val="20"/>
                <w:szCs w:val="20"/>
                <w:lang w:bidi="en-US"/>
              </w:rPr>
              <w:t>1</w:t>
            </w:r>
            <w:r w:rsidR="008303F0">
              <w:rPr>
                <w:rFonts w:asciiTheme="majorHAnsi" w:eastAsiaTheme="majorEastAsia" w:hAnsiTheme="majorHAnsi" w:cstheme="majorBidi"/>
                <w:b/>
                <w:bCs/>
                <w:noProof/>
                <w:sz w:val="20"/>
                <w:szCs w:val="20"/>
                <w:lang w:bidi="en-US"/>
              </w:rPr>
              <w:t>1</w:t>
            </w:r>
            <w:r w:rsidR="008303F0" w:rsidRPr="00A1765D">
              <w:rPr>
                <w:rFonts w:asciiTheme="majorHAnsi" w:eastAsiaTheme="majorEastAsia" w:hAnsiTheme="majorHAnsi" w:cstheme="majorBidi"/>
                <w:b/>
                <w:bCs/>
                <w:noProof/>
                <w:sz w:val="20"/>
                <w:szCs w:val="20"/>
                <w:lang w:bidi="en-US"/>
              </w:rPr>
              <w:t>.Вывод по результатам оценки…</w:t>
            </w:r>
            <w:r w:rsidR="008303F0" w:rsidRPr="00A1765D">
              <w:rPr>
                <w:rFonts w:asciiTheme="majorHAnsi" w:eastAsiaTheme="majorEastAsia" w:hAnsiTheme="majorHAnsi" w:cstheme="majorBidi"/>
                <w:b/>
                <w:bCs/>
                <w:noProof/>
                <w:webHidden/>
                <w:sz w:val="20"/>
                <w:szCs w:val="20"/>
              </w:rPr>
              <w:t>…………………………………………………………………..……………………………………….…</w:t>
            </w:r>
            <w:r w:rsidR="008303F0">
              <w:rPr>
                <w:rFonts w:asciiTheme="majorHAnsi" w:eastAsiaTheme="majorEastAsia" w:hAnsiTheme="majorHAnsi" w:cstheme="majorBidi"/>
                <w:b/>
                <w:bCs/>
                <w:noProof/>
                <w:webHidden/>
                <w:sz w:val="20"/>
                <w:szCs w:val="20"/>
              </w:rPr>
              <w:t>...105</w:t>
            </w:r>
          </w:hyperlink>
        </w:p>
        <w:p w:rsidR="008303F0" w:rsidRDefault="004D0594" w:rsidP="008303F0">
          <w:pPr>
            <w:pStyle w:val="13"/>
            <w:rPr>
              <w:rFonts w:eastAsiaTheme="minorEastAsia" w:cstheme="minorBidi"/>
              <w:sz w:val="22"/>
              <w:szCs w:val="22"/>
            </w:rPr>
          </w:pPr>
          <w:hyperlink w:anchor="_Toc491763323" w:history="1">
            <w:r w:rsidR="008303F0" w:rsidRPr="00ED2763">
              <w:rPr>
                <w:rStyle w:val="af0"/>
              </w:rPr>
              <w:t>Используемая литература и источники информации</w:t>
            </w:r>
            <w:r w:rsidR="008303F0">
              <w:rPr>
                <w:webHidden/>
              </w:rPr>
              <w:t>…………………………………………………………………………………..</w:t>
            </w:r>
            <w:r w:rsidR="008303F0">
              <w:rPr>
                <w:webHidden/>
              </w:rPr>
              <w:fldChar w:fldCharType="begin"/>
            </w:r>
            <w:r w:rsidR="008303F0">
              <w:rPr>
                <w:webHidden/>
              </w:rPr>
              <w:instrText xml:space="preserve"> PAGEREF _Toc491763323 \h </w:instrText>
            </w:r>
            <w:r w:rsidR="008303F0">
              <w:rPr>
                <w:webHidden/>
              </w:rPr>
            </w:r>
            <w:r w:rsidR="008303F0">
              <w:rPr>
                <w:webHidden/>
              </w:rPr>
              <w:fldChar w:fldCharType="separate"/>
            </w:r>
            <w:r w:rsidR="008303F0">
              <w:rPr>
                <w:webHidden/>
              </w:rPr>
              <w:t>104</w:t>
            </w:r>
            <w:r w:rsidR="008303F0">
              <w:rPr>
                <w:webHidden/>
              </w:rPr>
              <w:fldChar w:fldCharType="end"/>
            </w:r>
          </w:hyperlink>
        </w:p>
        <w:p w:rsidR="00D36C5C" w:rsidRPr="008303F0" w:rsidRDefault="004D0594" w:rsidP="008303F0">
          <w:pPr>
            <w:pStyle w:val="13"/>
            <w:rPr>
              <w:rFonts w:eastAsiaTheme="minorEastAsia" w:cstheme="minorBidi"/>
              <w:sz w:val="22"/>
              <w:szCs w:val="22"/>
            </w:rPr>
          </w:pPr>
          <w:hyperlink w:anchor="_Toc491763324" w:history="1">
            <w:r w:rsidR="008303F0" w:rsidRPr="00ED2763">
              <w:rPr>
                <w:rStyle w:val="af0"/>
                <w:caps/>
              </w:rPr>
              <w:t>П</w:t>
            </w:r>
            <w:r w:rsidR="008303F0" w:rsidRPr="00ED2763">
              <w:rPr>
                <w:rStyle w:val="af0"/>
              </w:rPr>
              <w:t>риложения к отчету</w:t>
            </w:r>
            <w:r w:rsidR="008303F0">
              <w:rPr>
                <w:webHidden/>
              </w:rPr>
              <w:t>………………………………………………………………………………………………………………………………………</w:t>
            </w:r>
            <w:r w:rsidR="008303F0">
              <w:rPr>
                <w:webHidden/>
              </w:rPr>
              <w:fldChar w:fldCharType="begin"/>
            </w:r>
            <w:r w:rsidR="008303F0">
              <w:rPr>
                <w:webHidden/>
              </w:rPr>
              <w:instrText xml:space="preserve"> PAGEREF _Toc491763324 \h </w:instrText>
            </w:r>
            <w:r w:rsidR="008303F0">
              <w:rPr>
                <w:webHidden/>
              </w:rPr>
            </w:r>
            <w:r w:rsidR="008303F0">
              <w:rPr>
                <w:webHidden/>
              </w:rPr>
              <w:fldChar w:fldCharType="separate"/>
            </w:r>
            <w:r w:rsidR="008303F0">
              <w:rPr>
                <w:webHidden/>
              </w:rPr>
              <w:t>105</w:t>
            </w:r>
            <w:r w:rsidR="008303F0">
              <w:rPr>
                <w:webHidden/>
              </w:rPr>
              <w:fldChar w:fldCharType="end"/>
            </w:r>
          </w:hyperlink>
          <w:r w:rsidR="00EB544D" w:rsidRPr="007478E8">
            <w:fldChar w:fldCharType="end"/>
          </w:r>
        </w:p>
      </w:sdtContent>
    </w:sdt>
    <w:p w:rsidR="00D36C5C" w:rsidRPr="00D36C5C" w:rsidRDefault="00D36C5C" w:rsidP="00D36C5C">
      <w:pPr>
        <w:jc w:val="center"/>
        <w:rPr>
          <w:b/>
        </w:rPr>
        <w:sectPr w:rsidR="00D36C5C" w:rsidRPr="00D36C5C" w:rsidSect="001A3D71">
          <w:footerReference w:type="default" r:id="rId9"/>
          <w:footerReference w:type="first" r:id="rId10"/>
          <w:pgSz w:w="11906" w:h="16838"/>
          <w:pgMar w:top="142" w:right="566" w:bottom="567" w:left="851" w:header="709" w:footer="709" w:gutter="0"/>
          <w:pgBorders w:display="notFirstPage" w:offsetFrom="page">
            <w:top w:val="single" w:sz="4" w:space="24" w:color="4F81BD" w:themeColor="accent1"/>
            <w:left w:val="single" w:sz="4" w:space="24" w:color="4F81BD" w:themeColor="accent1"/>
            <w:bottom w:val="single" w:sz="4" w:space="24" w:color="4F81BD" w:themeColor="accent1"/>
            <w:right w:val="single" w:sz="4" w:space="24" w:color="4F81BD" w:themeColor="accent1"/>
          </w:pgBorders>
          <w:pgNumType w:chapStyle="1"/>
          <w:cols w:space="708"/>
          <w:titlePg/>
          <w:docGrid w:linePitch="360"/>
        </w:sectPr>
      </w:pPr>
    </w:p>
    <w:p w:rsidR="001E1704" w:rsidRDefault="000542B6" w:rsidP="000542B6">
      <w:pPr>
        <w:spacing w:before="100" w:beforeAutospacing="1" w:after="120"/>
        <w:ind w:left="-851"/>
        <w:jc w:val="center"/>
        <w:rPr>
          <w:b/>
        </w:rPr>
      </w:pPr>
      <w:r>
        <w:rPr>
          <w:b/>
          <w:noProof/>
        </w:rPr>
        <w:lastRenderedPageBreak/>
        <w:drawing>
          <wp:anchor distT="0" distB="0" distL="114300" distR="114300" simplePos="0" relativeHeight="251656704" behindDoc="1" locked="0" layoutInCell="1" allowOverlap="1" wp14:anchorId="6FABC0A5" wp14:editId="2B0A7546">
            <wp:simplePos x="0" y="0"/>
            <wp:positionH relativeFrom="column">
              <wp:posOffset>-561975</wp:posOffset>
            </wp:positionH>
            <wp:positionV relativeFrom="paragraph">
              <wp:posOffset>-243205</wp:posOffset>
            </wp:positionV>
            <wp:extent cx="7242810" cy="9572625"/>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42810" cy="9572625"/>
                    </a:xfrm>
                    <a:prstGeom prst="rect">
                      <a:avLst/>
                    </a:prstGeom>
                    <a:noFill/>
                  </pic:spPr>
                </pic:pic>
              </a:graphicData>
            </a:graphic>
            <wp14:sizeRelH relativeFrom="page">
              <wp14:pctWidth>0</wp14:pctWidth>
            </wp14:sizeRelH>
            <wp14:sizeRelV relativeFrom="page">
              <wp14:pctHeight>0</wp14:pctHeight>
            </wp14:sizeRelV>
          </wp:anchor>
        </w:drawing>
      </w:r>
    </w:p>
    <w:p w:rsidR="007E645D" w:rsidRDefault="007E645D" w:rsidP="001E1704">
      <w:pPr>
        <w:spacing w:before="100" w:beforeAutospacing="1" w:after="120"/>
        <w:jc w:val="center"/>
        <w:rPr>
          <w:b/>
        </w:rPr>
      </w:pPr>
    </w:p>
    <w:p w:rsidR="000542B6" w:rsidRDefault="000542B6" w:rsidP="00466619">
      <w:pPr>
        <w:ind w:firstLine="709"/>
        <w:jc w:val="both"/>
        <w:rPr>
          <w:rFonts w:asciiTheme="majorHAnsi" w:hAnsiTheme="majorHAnsi"/>
        </w:rPr>
      </w:pPr>
    </w:p>
    <w:p w:rsidR="000542B6" w:rsidRDefault="000542B6" w:rsidP="00466619">
      <w:pPr>
        <w:ind w:firstLine="709"/>
        <w:jc w:val="both"/>
        <w:rPr>
          <w:rFonts w:asciiTheme="majorHAnsi" w:hAnsiTheme="majorHAnsi"/>
        </w:rPr>
      </w:pPr>
    </w:p>
    <w:p w:rsidR="000542B6" w:rsidRDefault="000542B6" w:rsidP="00466619">
      <w:pPr>
        <w:ind w:firstLine="709"/>
        <w:jc w:val="both"/>
        <w:rPr>
          <w:rFonts w:asciiTheme="majorHAnsi" w:hAnsiTheme="majorHAnsi"/>
        </w:rPr>
      </w:pPr>
    </w:p>
    <w:p w:rsidR="000542B6" w:rsidRDefault="000542B6" w:rsidP="00466619">
      <w:pPr>
        <w:ind w:firstLine="709"/>
        <w:jc w:val="both"/>
        <w:rPr>
          <w:rFonts w:asciiTheme="majorHAnsi" w:hAnsiTheme="majorHAnsi"/>
        </w:rPr>
      </w:pPr>
    </w:p>
    <w:p w:rsidR="000542B6" w:rsidRDefault="000542B6" w:rsidP="00466619">
      <w:pPr>
        <w:ind w:firstLine="709"/>
        <w:jc w:val="both"/>
        <w:rPr>
          <w:rFonts w:asciiTheme="majorHAnsi" w:hAnsiTheme="majorHAnsi"/>
        </w:rPr>
      </w:pPr>
    </w:p>
    <w:p w:rsidR="000542B6" w:rsidRDefault="000542B6" w:rsidP="00466619">
      <w:pPr>
        <w:ind w:firstLine="709"/>
        <w:jc w:val="both"/>
        <w:rPr>
          <w:rFonts w:asciiTheme="majorHAnsi" w:hAnsiTheme="majorHAnsi"/>
        </w:rPr>
      </w:pPr>
    </w:p>
    <w:p w:rsidR="000542B6" w:rsidRDefault="000542B6" w:rsidP="00466619">
      <w:pPr>
        <w:ind w:firstLine="709"/>
        <w:jc w:val="both"/>
        <w:rPr>
          <w:rFonts w:asciiTheme="majorHAnsi" w:hAnsiTheme="majorHAnsi"/>
        </w:rPr>
      </w:pPr>
    </w:p>
    <w:p w:rsidR="00E4634B" w:rsidRPr="00E4634B" w:rsidRDefault="00E4634B" w:rsidP="00E4634B">
      <w:pPr>
        <w:tabs>
          <w:tab w:val="left" w:pos="2925"/>
        </w:tabs>
        <w:ind w:firstLine="709"/>
        <w:jc w:val="both"/>
        <w:rPr>
          <w:rFonts w:ascii="Cambria" w:hAnsi="Cambria"/>
          <w:bCs/>
          <w:sz w:val="20"/>
          <w:szCs w:val="20"/>
        </w:rPr>
      </w:pPr>
      <w:r w:rsidRPr="00E4634B">
        <w:rPr>
          <w:rFonts w:ascii="Cambria" w:hAnsi="Cambria"/>
          <w:bCs/>
          <w:sz w:val="20"/>
          <w:szCs w:val="20"/>
        </w:rPr>
        <w:t xml:space="preserve">В соответствии с договором № </w:t>
      </w:r>
      <w:r w:rsidR="00B2010D">
        <w:rPr>
          <w:rFonts w:ascii="Cambria" w:hAnsi="Cambria"/>
          <w:bCs/>
          <w:sz w:val="20"/>
          <w:szCs w:val="20"/>
        </w:rPr>
        <w:t>18</w:t>
      </w:r>
      <w:r w:rsidRPr="00E4634B">
        <w:rPr>
          <w:rFonts w:ascii="Cambria" w:hAnsi="Cambria"/>
          <w:bCs/>
          <w:sz w:val="20"/>
          <w:szCs w:val="20"/>
        </w:rPr>
        <w:t xml:space="preserve">/недв-08-17 от </w:t>
      </w:r>
      <w:r w:rsidR="00B2010D">
        <w:rPr>
          <w:rFonts w:ascii="Cambria" w:hAnsi="Cambria"/>
          <w:bCs/>
          <w:sz w:val="20"/>
          <w:szCs w:val="20"/>
        </w:rPr>
        <w:t>09</w:t>
      </w:r>
      <w:r w:rsidRPr="00E4634B">
        <w:rPr>
          <w:rFonts w:ascii="Cambria" w:hAnsi="Cambria"/>
          <w:bCs/>
          <w:sz w:val="20"/>
          <w:szCs w:val="20"/>
        </w:rPr>
        <w:t xml:space="preserve"> августа 2017 года специалистом-оценщиком ООО Управляющая Компания «ФИНАНСЫ НЕДВИЖИМОСТЬ КОНСАЛТИНГ» Аникиным Олегом Николаевичем произведена оценка рыночной стоимости объектов капитального строительства, принадлежащих </w:t>
      </w:r>
      <w:r w:rsidR="00077CDB">
        <w:rPr>
          <w:rFonts w:asciiTheme="majorHAnsi" w:hAnsiTheme="majorHAnsi"/>
          <w:bCs/>
          <w:sz w:val="20"/>
          <w:szCs w:val="20"/>
        </w:rPr>
        <w:t xml:space="preserve">Лауте Игорю </w:t>
      </w:r>
      <w:r w:rsidR="004F632A" w:rsidRPr="004F632A">
        <w:rPr>
          <w:rFonts w:asciiTheme="majorHAnsi" w:hAnsiTheme="majorHAnsi"/>
          <w:bCs/>
          <w:sz w:val="20"/>
          <w:szCs w:val="20"/>
        </w:rPr>
        <w:t>Викторовичу</w:t>
      </w:r>
      <w:r w:rsidRPr="00E4634B">
        <w:rPr>
          <w:rFonts w:ascii="Cambria" w:hAnsi="Cambria"/>
          <w:bCs/>
          <w:sz w:val="20"/>
          <w:szCs w:val="20"/>
        </w:rPr>
        <w:t>:</w:t>
      </w:r>
    </w:p>
    <w:p w:rsidR="00E4634B" w:rsidRPr="00E4634B" w:rsidRDefault="00E4634B" w:rsidP="00E4634B">
      <w:pPr>
        <w:tabs>
          <w:tab w:val="left" w:pos="2925"/>
        </w:tabs>
        <w:ind w:firstLine="709"/>
        <w:jc w:val="both"/>
        <w:rPr>
          <w:rFonts w:ascii="Cambria" w:hAnsi="Cambria"/>
          <w:bCs/>
          <w:sz w:val="20"/>
          <w:szCs w:val="20"/>
        </w:rPr>
      </w:pPr>
      <w:r w:rsidRPr="00E4634B">
        <w:rPr>
          <w:rFonts w:ascii="Cambria" w:hAnsi="Cambria"/>
          <w:bCs/>
          <w:sz w:val="20"/>
          <w:szCs w:val="20"/>
        </w:rPr>
        <w:t xml:space="preserve"> – производственного комплекса, общей площадью 8 371,50 кв. м., расположенного на земельном участке по адресу: Белгородская обл. г. Белгород, ул. Мирная, 21;</w:t>
      </w:r>
    </w:p>
    <w:p w:rsidR="00E4634B" w:rsidRPr="00E4634B" w:rsidRDefault="00E4634B" w:rsidP="00E4634B">
      <w:pPr>
        <w:tabs>
          <w:tab w:val="left" w:pos="2925"/>
        </w:tabs>
        <w:ind w:firstLine="709"/>
        <w:jc w:val="both"/>
        <w:rPr>
          <w:rFonts w:ascii="Cambria" w:hAnsi="Cambria"/>
          <w:bCs/>
          <w:sz w:val="20"/>
          <w:szCs w:val="20"/>
        </w:rPr>
      </w:pPr>
      <w:r w:rsidRPr="00E4634B">
        <w:rPr>
          <w:rFonts w:ascii="Cambria" w:hAnsi="Cambria"/>
          <w:bCs/>
          <w:sz w:val="20"/>
          <w:szCs w:val="20"/>
        </w:rPr>
        <w:t xml:space="preserve"> – административно-бытового комплекса, общей площадью  3 149,60 кв.м., расположенного на земельном участке по адресу: Белгородская обл. г. Белгород, ул Сумская, 168;</w:t>
      </w:r>
    </w:p>
    <w:p w:rsidR="00E4634B" w:rsidRPr="00E4634B" w:rsidRDefault="00E4634B" w:rsidP="00E4634B">
      <w:pPr>
        <w:spacing w:after="200"/>
        <w:ind w:firstLine="709"/>
        <w:jc w:val="both"/>
        <w:rPr>
          <w:rFonts w:ascii="Cambria" w:hAnsi="Cambria"/>
          <w:bCs/>
          <w:sz w:val="20"/>
          <w:szCs w:val="20"/>
        </w:rPr>
      </w:pPr>
      <w:r w:rsidRPr="00E4634B">
        <w:rPr>
          <w:rFonts w:ascii="Cambria" w:hAnsi="Cambria"/>
          <w:bCs/>
          <w:sz w:val="20"/>
          <w:szCs w:val="20"/>
        </w:rPr>
        <w:t>Оценка проведена в соответствии с Федеральным законом от 29.07.1998 г. № 135-ФЗ «Об оценочной деятельности в Российской Федерации» (с изменениями), Гражданским кодексом Российской Федерации, ч. 1 от 30.11.1994г. № 51-ФЗ; Федеральными стандартами оценки, обязательными к применению субъектами оценочной деятельности, утвержденные приказами минэкономразвития РФ № 297 (ФСО 1), № 298 (ФСО 2), № 299 (ФСО 3) от 20.05.2015 года, стандартами саморегулируемой организации – Ассоциация «Межрегиональный союз оценщиков».</w:t>
      </w:r>
    </w:p>
    <w:p w:rsidR="00E4634B" w:rsidRPr="00E4634B" w:rsidRDefault="00E4634B" w:rsidP="00E4634B">
      <w:pPr>
        <w:ind w:firstLine="709"/>
        <w:jc w:val="both"/>
        <w:rPr>
          <w:rFonts w:ascii="Cambria" w:hAnsi="Cambria"/>
          <w:bCs/>
          <w:sz w:val="20"/>
          <w:szCs w:val="20"/>
        </w:rPr>
      </w:pPr>
      <w:r w:rsidRPr="00E4634B">
        <w:rPr>
          <w:rFonts w:ascii="Cambria" w:hAnsi="Cambria"/>
          <w:bCs/>
          <w:sz w:val="20"/>
          <w:szCs w:val="20"/>
        </w:rPr>
        <w:t>Итоговая величина рыночной стоимости оцениваемого недвижимого имущества с учетом НДС по состоянию на 21.08.2017 г. составляет:</w:t>
      </w:r>
    </w:p>
    <w:p w:rsidR="00E4634B" w:rsidRPr="00E4634B" w:rsidRDefault="00E4634B" w:rsidP="00E4634B">
      <w:pPr>
        <w:ind w:firstLine="709"/>
        <w:jc w:val="both"/>
        <w:rPr>
          <w:rFonts w:ascii="Cambria" w:hAnsi="Cambria"/>
          <w:bCs/>
          <w:sz w:val="20"/>
          <w:szCs w:val="20"/>
        </w:rPr>
      </w:pPr>
    </w:p>
    <w:p w:rsidR="00E4634B" w:rsidRPr="00E4634B" w:rsidRDefault="00E4634B" w:rsidP="00E4634B">
      <w:pPr>
        <w:ind w:firstLine="709"/>
        <w:jc w:val="both"/>
        <w:rPr>
          <w:rFonts w:ascii="Cambria" w:hAnsi="Cambria"/>
          <w:b/>
          <w:bCs/>
          <w:sz w:val="20"/>
          <w:szCs w:val="20"/>
        </w:rPr>
      </w:pPr>
      <w:r w:rsidRPr="00E4634B">
        <w:rPr>
          <w:rFonts w:ascii="Cambria" w:hAnsi="Cambria"/>
          <w:b/>
          <w:bCs/>
          <w:sz w:val="20"/>
          <w:szCs w:val="20"/>
        </w:rPr>
        <w:t>Рыночная стоимость объекта оценки:</w:t>
      </w:r>
    </w:p>
    <w:p w:rsidR="00E4634B" w:rsidRPr="00E4634B" w:rsidRDefault="00E4634B" w:rsidP="00E4634B">
      <w:pPr>
        <w:ind w:firstLine="709"/>
        <w:jc w:val="both"/>
        <w:rPr>
          <w:rFonts w:ascii="Cambria" w:hAnsi="Cambria"/>
          <w:bCs/>
          <w:sz w:val="20"/>
          <w:szCs w:val="20"/>
        </w:rPr>
      </w:pPr>
    </w:p>
    <w:p w:rsidR="00E4634B" w:rsidRPr="003E3281" w:rsidRDefault="00E86FA0" w:rsidP="00E4634B">
      <w:pPr>
        <w:jc w:val="center"/>
        <w:rPr>
          <w:rFonts w:asciiTheme="majorHAnsi" w:hAnsiTheme="majorHAnsi"/>
          <w:color w:val="000000"/>
          <w:sz w:val="20"/>
          <w:szCs w:val="20"/>
        </w:rPr>
      </w:pPr>
      <w:r w:rsidRPr="00E86FA0">
        <w:rPr>
          <w:rFonts w:asciiTheme="majorHAnsi" w:hAnsiTheme="majorHAnsi"/>
          <w:b/>
          <w:i/>
          <w:color w:val="000000"/>
          <w:sz w:val="20"/>
          <w:szCs w:val="20"/>
        </w:rPr>
        <w:t xml:space="preserve">121 456 143  </w:t>
      </w:r>
      <w:r w:rsidR="00E4634B" w:rsidRPr="003E3281">
        <w:rPr>
          <w:rFonts w:asciiTheme="majorHAnsi" w:hAnsiTheme="majorHAnsi"/>
          <w:b/>
          <w:i/>
          <w:color w:val="000000"/>
          <w:sz w:val="20"/>
          <w:szCs w:val="20"/>
        </w:rPr>
        <w:t>руб.</w:t>
      </w:r>
    </w:p>
    <w:p w:rsidR="00E4634B" w:rsidRPr="003E3281" w:rsidRDefault="00E4634B" w:rsidP="00E4634B">
      <w:pPr>
        <w:jc w:val="center"/>
        <w:rPr>
          <w:rFonts w:asciiTheme="majorHAnsi" w:eastAsia="Calibri" w:hAnsiTheme="majorHAnsi"/>
          <w:b/>
          <w:snapToGrid w:val="0"/>
          <w:sz w:val="20"/>
          <w:szCs w:val="22"/>
        </w:rPr>
      </w:pPr>
      <w:r w:rsidRPr="003E3281">
        <w:rPr>
          <w:rFonts w:asciiTheme="majorHAnsi" w:hAnsiTheme="majorHAnsi"/>
          <w:b/>
          <w:i/>
          <w:color w:val="000000"/>
          <w:sz w:val="20"/>
          <w:szCs w:val="20"/>
        </w:rPr>
        <w:t xml:space="preserve">(Сто </w:t>
      </w:r>
      <w:r w:rsidR="00E86FA0">
        <w:rPr>
          <w:rFonts w:asciiTheme="majorHAnsi" w:hAnsiTheme="majorHAnsi"/>
          <w:b/>
          <w:i/>
          <w:color w:val="000000"/>
          <w:sz w:val="20"/>
          <w:szCs w:val="20"/>
        </w:rPr>
        <w:t>двадцать один</w:t>
      </w:r>
      <w:r w:rsidRPr="003E3281">
        <w:rPr>
          <w:rFonts w:asciiTheme="majorHAnsi" w:hAnsiTheme="majorHAnsi"/>
          <w:b/>
          <w:i/>
          <w:color w:val="000000"/>
          <w:sz w:val="20"/>
          <w:szCs w:val="20"/>
        </w:rPr>
        <w:t xml:space="preserve"> миллион </w:t>
      </w:r>
      <w:r w:rsidR="00E86FA0">
        <w:rPr>
          <w:rFonts w:asciiTheme="majorHAnsi" w:hAnsiTheme="majorHAnsi"/>
          <w:b/>
          <w:i/>
          <w:color w:val="000000"/>
          <w:sz w:val="20"/>
          <w:szCs w:val="20"/>
        </w:rPr>
        <w:t>четыреста пятьдесят шесть</w:t>
      </w:r>
      <w:r w:rsidRPr="003E3281">
        <w:rPr>
          <w:rFonts w:asciiTheme="majorHAnsi" w:hAnsiTheme="majorHAnsi"/>
          <w:b/>
          <w:i/>
          <w:color w:val="000000"/>
          <w:sz w:val="20"/>
          <w:szCs w:val="20"/>
        </w:rPr>
        <w:t xml:space="preserve"> тысяч</w:t>
      </w:r>
      <w:r w:rsidR="00B2010D">
        <w:rPr>
          <w:rFonts w:asciiTheme="majorHAnsi" w:hAnsiTheme="majorHAnsi"/>
          <w:b/>
          <w:i/>
          <w:color w:val="000000"/>
          <w:sz w:val="20"/>
          <w:szCs w:val="20"/>
        </w:rPr>
        <w:t xml:space="preserve"> </w:t>
      </w:r>
      <w:r w:rsidR="00E86FA0">
        <w:rPr>
          <w:rFonts w:asciiTheme="majorHAnsi" w:hAnsiTheme="majorHAnsi"/>
          <w:b/>
          <w:i/>
          <w:color w:val="000000"/>
          <w:sz w:val="20"/>
          <w:szCs w:val="20"/>
        </w:rPr>
        <w:t>сто сорок три</w:t>
      </w:r>
      <w:r w:rsidRPr="003E3281">
        <w:rPr>
          <w:rFonts w:asciiTheme="majorHAnsi" w:hAnsiTheme="majorHAnsi"/>
          <w:b/>
          <w:i/>
          <w:color w:val="000000"/>
          <w:sz w:val="20"/>
          <w:szCs w:val="20"/>
        </w:rPr>
        <w:t xml:space="preserve"> рубл</w:t>
      </w:r>
      <w:r w:rsidR="00E86FA0">
        <w:rPr>
          <w:rFonts w:asciiTheme="majorHAnsi" w:hAnsiTheme="majorHAnsi"/>
          <w:b/>
          <w:i/>
          <w:color w:val="000000"/>
          <w:sz w:val="20"/>
          <w:szCs w:val="20"/>
        </w:rPr>
        <w:t>я</w:t>
      </w:r>
      <w:r w:rsidRPr="003E3281">
        <w:rPr>
          <w:rFonts w:asciiTheme="majorHAnsi" w:hAnsiTheme="majorHAnsi"/>
          <w:b/>
          <w:i/>
          <w:color w:val="000000"/>
          <w:sz w:val="20"/>
          <w:szCs w:val="20"/>
        </w:rPr>
        <w:t>), в т.ч.:</w:t>
      </w:r>
      <w:r w:rsidRPr="003E3281">
        <w:rPr>
          <w:rFonts w:asciiTheme="majorHAnsi" w:eastAsia="Calibri" w:hAnsiTheme="majorHAnsi"/>
          <w:b/>
          <w:snapToGrid w:val="0"/>
          <w:sz w:val="20"/>
          <w:szCs w:val="22"/>
        </w:rPr>
        <w:t xml:space="preserve"> </w:t>
      </w:r>
    </w:p>
    <w:p w:rsidR="00E4634B" w:rsidRPr="003E3281" w:rsidRDefault="00E4634B" w:rsidP="00E4634B">
      <w:pPr>
        <w:jc w:val="both"/>
        <w:rPr>
          <w:rFonts w:asciiTheme="majorHAnsi" w:eastAsia="Calibri" w:hAnsiTheme="majorHAnsi"/>
          <w:b/>
          <w:snapToGrid w:val="0"/>
          <w:sz w:val="20"/>
          <w:szCs w:val="22"/>
        </w:rPr>
      </w:pPr>
    </w:p>
    <w:tbl>
      <w:tblPr>
        <w:tblW w:w="9967"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567"/>
        <w:gridCol w:w="3140"/>
        <w:gridCol w:w="1433"/>
        <w:gridCol w:w="1495"/>
        <w:gridCol w:w="1667"/>
        <w:gridCol w:w="1665"/>
      </w:tblGrid>
      <w:tr w:rsidR="00E4634B" w:rsidRPr="00E4634B" w:rsidTr="00E4634B">
        <w:trPr>
          <w:trHeight w:val="23"/>
          <w:jc w:val="center"/>
        </w:trPr>
        <w:tc>
          <w:tcPr>
            <w:tcW w:w="567" w:type="dxa"/>
            <w:tcBorders>
              <w:top w:val="double" w:sz="4" w:space="0" w:color="auto"/>
              <w:bottom w:val="single" w:sz="6" w:space="0" w:color="auto"/>
            </w:tcBorders>
            <w:shd w:val="clear" w:color="auto" w:fill="F2F2F2"/>
            <w:vAlign w:val="center"/>
            <w:hideMark/>
          </w:tcPr>
          <w:p w:rsidR="00E4634B" w:rsidRPr="00E4634B" w:rsidRDefault="00E4634B" w:rsidP="00E4634B">
            <w:pPr>
              <w:ind w:left="-108" w:right="-59"/>
              <w:jc w:val="center"/>
              <w:rPr>
                <w:rFonts w:ascii="Cambria" w:hAnsi="Cambria"/>
                <w:b/>
                <w:bCs/>
                <w:sz w:val="20"/>
                <w:szCs w:val="20"/>
              </w:rPr>
            </w:pPr>
            <w:r w:rsidRPr="00E4634B">
              <w:rPr>
                <w:rFonts w:ascii="Cambria" w:hAnsi="Cambria"/>
                <w:bCs/>
                <w:sz w:val="20"/>
                <w:szCs w:val="20"/>
              </w:rPr>
              <w:tab/>
            </w:r>
            <w:r w:rsidRPr="00E4634B">
              <w:rPr>
                <w:rFonts w:ascii="Cambria" w:hAnsi="Cambria"/>
                <w:b/>
                <w:bCs/>
                <w:sz w:val="20"/>
                <w:szCs w:val="20"/>
              </w:rPr>
              <w:t>№ п/п</w:t>
            </w:r>
          </w:p>
        </w:tc>
        <w:tc>
          <w:tcPr>
            <w:tcW w:w="3140" w:type="dxa"/>
            <w:tcBorders>
              <w:top w:val="double" w:sz="4" w:space="0" w:color="auto"/>
              <w:bottom w:val="single" w:sz="6" w:space="0" w:color="auto"/>
            </w:tcBorders>
            <w:shd w:val="clear" w:color="auto" w:fill="F2F2F2"/>
            <w:vAlign w:val="center"/>
            <w:hideMark/>
          </w:tcPr>
          <w:p w:rsidR="00E4634B" w:rsidRPr="00E4634B" w:rsidRDefault="00E4634B" w:rsidP="00E4634B">
            <w:pPr>
              <w:ind w:left="-108" w:right="-59"/>
              <w:jc w:val="center"/>
              <w:rPr>
                <w:rFonts w:ascii="Cambria" w:hAnsi="Cambria"/>
                <w:b/>
                <w:bCs/>
                <w:sz w:val="20"/>
                <w:szCs w:val="20"/>
              </w:rPr>
            </w:pPr>
            <w:r w:rsidRPr="00E4634B">
              <w:rPr>
                <w:rFonts w:ascii="Cambria" w:hAnsi="Cambria"/>
                <w:b/>
                <w:bCs/>
                <w:sz w:val="20"/>
                <w:szCs w:val="20"/>
              </w:rPr>
              <w:t>Наименование ОКС</w:t>
            </w:r>
          </w:p>
        </w:tc>
        <w:tc>
          <w:tcPr>
            <w:tcW w:w="1433" w:type="dxa"/>
            <w:tcBorders>
              <w:top w:val="double" w:sz="4" w:space="0" w:color="auto"/>
              <w:bottom w:val="single" w:sz="6" w:space="0" w:color="auto"/>
            </w:tcBorders>
            <w:shd w:val="clear" w:color="auto" w:fill="F2F2F2"/>
            <w:vAlign w:val="center"/>
            <w:hideMark/>
          </w:tcPr>
          <w:p w:rsidR="00E4634B" w:rsidRPr="00E4634B" w:rsidRDefault="00E4634B" w:rsidP="00E4634B">
            <w:pPr>
              <w:ind w:left="-108" w:right="-59"/>
              <w:jc w:val="center"/>
              <w:rPr>
                <w:rFonts w:ascii="Cambria" w:hAnsi="Cambria"/>
                <w:b/>
                <w:bCs/>
                <w:sz w:val="20"/>
                <w:szCs w:val="20"/>
              </w:rPr>
            </w:pPr>
            <w:r w:rsidRPr="00E4634B">
              <w:rPr>
                <w:rFonts w:ascii="Cambria" w:hAnsi="Cambria"/>
                <w:b/>
                <w:bCs/>
                <w:sz w:val="20"/>
                <w:szCs w:val="20"/>
              </w:rPr>
              <w:t xml:space="preserve">Год ввода в эксплуатацию </w:t>
            </w:r>
          </w:p>
        </w:tc>
        <w:tc>
          <w:tcPr>
            <w:tcW w:w="1495" w:type="dxa"/>
            <w:tcBorders>
              <w:top w:val="double" w:sz="4" w:space="0" w:color="auto"/>
              <w:bottom w:val="single" w:sz="6" w:space="0" w:color="auto"/>
            </w:tcBorders>
            <w:shd w:val="clear" w:color="auto" w:fill="F2F2F2"/>
            <w:vAlign w:val="center"/>
          </w:tcPr>
          <w:p w:rsidR="00E4634B" w:rsidRPr="00E4634B" w:rsidRDefault="00E4634B" w:rsidP="00E4634B">
            <w:pPr>
              <w:ind w:left="-108" w:right="-59"/>
              <w:jc w:val="center"/>
              <w:rPr>
                <w:rFonts w:ascii="Cambria" w:hAnsi="Cambria"/>
                <w:b/>
                <w:bCs/>
                <w:sz w:val="20"/>
                <w:szCs w:val="20"/>
              </w:rPr>
            </w:pPr>
            <w:r w:rsidRPr="00E4634B">
              <w:rPr>
                <w:rFonts w:ascii="Cambria" w:hAnsi="Cambria"/>
                <w:b/>
                <w:bCs/>
                <w:sz w:val="20"/>
                <w:szCs w:val="20"/>
              </w:rPr>
              <w:t xml:space="preserve">Общая площадь, </w:t>
            </w:r>
          </w:p>
          <w:p w:rsidR="00E4634B" w:rsidRPr="00E4634B" w:rsidRDefault="00E4634B" w:rsidP="00E4634B">
            <w:pPr>
              <w:ind w:left="-108" w:right="-59"/>
              <w:jc w:val="center"/>
              <w:rPr>
                <w:rFonts w:ascii="Cambria" w:hAnsi="Cambria"/>
                <w:b/>
                <w:bCs/>
                <w:sz w:val="20"/>
                <w:szCs w:val="20"/>
              </w:rPr>
            </w:pPr>
            <w:r w:rsidRPr="00E4634B">
              <w:rPr>
                <w:rFonts w:ascii="Cambria" w:hAnsi="Cambria"/>
                <w:b/>
                <w:bCs/>
                <w:sz w:val="20"/>
                <w:szCs w:val="20"/>
              </w:rPr>
              <w:t>кв. м.</w:t>
            </w:r>
          </w:p>
        </w:tc>
        <w:tc>
          <w:tcPr>
            <w:tcW w:w="1667" w:type="dxa"/>
            <w:tcBorders>
              <w:top w:val="double" w:sz="4" w:space="0" w:color="auto"/>
              <w:bottom w:val="single" w:sz="6" w:space="0" w:color="auto"/>
            </w:tcBorders>
            <w:shd w:val="clear" w:color="auto" w:fill="F2F2F2"/>
            <w:vAlign w:val="center"/>
            <w:hideMark/>
          </w:tcPr>
          <w:p w:rsidR="00E4634B" w:rsidRPr="00E4634B" w:rsidRDefault="00E4634B" w:rsidP="00E4634B">
            <w:pPr>
              <w:ind w:left="-108" w:right="-59"/>
              <w:jc w:val="center"/>
              <w:rPr>
                <w:rFonts w:ascii="Cambria" w:hAnsi="Cambria"/>
                <w:b/>
                <w:bCs/>
                <w:sz w:val="20"/>
                <w:szCs w:val="20"/>
              </w:rPr>
            </w:pPr>
            <w:r w:rsidRPr="00E4634B">
              <w:rPr>
                <w:rFonts w:ascii="Cambria" w:hAnsi="Cambria"/>
                <w:b/>
                <w:bCs/>
                <w:sz w:val="20"/>
                <w:szCs w:val="20"/>
              </w:rPr>
              <w:t>Рыночная стоимость с учетом НДС, руб.</w:t>
            </w:r>
          </w:p>
        </w:tc>
        <w:tc>
          <w:tcPr>
            <w:tcW w:w="1665" w:type="dxa"/>
            <w:tcBorders>
              <w:top w:val="double" w:sz="4" w:space="0" w:color="auto"/>
              <w:bottom w:val="single" w:sz="6" w:space="0" w:color="auto"/>
            </w:tcBorders>
            <w:shd w:val="clear" w:color="auto" w:fill="F2F2F2"/>
            <w:vAlign w:val="center"/>
            <w:hideMark/>
          </w:tcPr>
          <w:p w:rsidR="00E4634B" w:rsidRPr="00E4634B" w:rsidRDefault="00E4634B" w:rsidP="00E4634B">
            <w:pPr>
              <w:ind w:left="-108" w:right="-59"/>
              <w:jc w:val="center"/>
              <w:rPr>
                <w:rFonts w:ascii="Cambria" w:hAnsi="Cambria"/>
                <w:b/>
                <w:bCs/>
                <w:sz w:val="20"/>
                <w:szCs w:val="20"/>
              </w:rPr>
            </w:pPr>
            <w:r w:rsidRPr="00E4634B">
              <w:rPr>
                <w:rFonts w:ascii="Cambria" w:hAnsi="Cambria"/>
                <w:b/>
                <w:bCs/>
                <w:sz w:val="20"/>
                <w:szCs w:val="20"/>
              </w:rPr>
              <w:t>Рыночная стоимость без НДС, руб.</w:t>
            </w:r>
          </w:p>
        </w:tc>
      </w:tr>
      <w:tr w:rsidR="00E86FA0" w:rsidRPr="00E4634B" w:rsidTr="00E86FA0">
        <w:trPr>
          <w:trHeight w:val="23"/>
          <w:jc w:val="center"/>
        </w:trPr>
        <w:tc>
          <w:tcPr>
            <w:tcW w:w="567" w:type="dxa"/>
            <w:tcBorders>
              <w:top w:val="single" w:sz="6" w:space="0" w:color="auto"/>
              <w:bottom w:val="single" w:sz="6" w:space="0" w:color="auto"/>
            </w:tcBorders>
            <w:shd w:val="clear" w:color="auto" w:fill="auto"/>
            <w:vAlign w:val="center"/>
            <w:hideMark/>
          </w:tcPr>
          <w:p w:rsidR="00E86FA0" w:rsidRPr="00E4634B" w:rsidRDefault="00E86FA0" w:rsidP="00E4634B">
            <w:pPr>
              <w:ind w:left="-108" w:right="-59"/>
              <w:jc w:val="center"/>
              <w:rPr>
                <w:rFonts w:ascii="Cambria" w:hAnsi="Cambria" w:cs="Arial CYR"/>
                <w:sz w:val="20"/>
                <w:szCs w:val="20"/>
              </w:rPr>
            </w:pPr>
            <w:r w:rsidRPr="00E4634B">
              <w:rPr>
                <w:rFonts w:ascii="Cambria" w:hAnsi="Cambria" w:cs="Arial CYR"/>
                <w:sz w:val="20"/>
                <w:szCs w:val="20"/>
              </w:rPr>
              <w:t>1</w:t>
            </w:r>
          </w:p>
        </w:tc>
        <w:tc>
          <w:tcPr>
            <w:tcW w:w="3140" w:type="dxa"/>
            <w:tcBorders>
              <w:top w:val="single" w:sz="6" w:space="0" w:color="auto"/>
              <w:bottom w:val="single" w:sz="6" w:space="0" w:color="auto"/>
            </w:tcBorders>
            <w:shd w:val="clear" w:color="auto" w:fill="auto"/>
            <w:vAlign w:val="center"/>
            <w:hideMark/>
          </w:tcPr>
          <w:p w:rsidR="00E86FA0" w:rsidRPr="00E4634B" w:rsidRDefault="00E86FA0" w:rsidP="00E4634B">
            <w:pPr>
              <w:ind w:left="-108" w:right="-59"/>
              <w:jc w:val="center"/>
              <w:rPr>
                <w:rFonts w:ascii="Cambria" w:hAnsi="Cambria" w:cs="Arial CYR"/>
                <w:sz w:val="20"/>
                <w:szCs w:val="20"/>
              </w:rPr>
            </w:pPr>
            <w:r w:rsidRPr="00E4634B">
              <w:rPr>
                <w:rFonts w:ascii="Cambria" w:hAnsi="Cambria" w:cs="Arial CYR"/>
                <w:sz w:val="20"/>
                <w:szCs w:val="20"/>
              </w:rPr>
              <w:t>Нежилые строения (Производственный корпус),</w:t>
            </w:r>
          </w:p>
          <w:p w:rsidR="00E86FA0" w:rsidRPr="00E4634B" w:rsidRDefault="00E86FA0" w:rsidP="00E4634B">
            <w:pPr>
              <w:ind w:left="-108" w:right="-59"/>
              <w:jc w:val="center"/>
              <w:rPr>
                <w:rFonts w:ascii="Cambria" w:hAnsi="Cambria" w:cs="Arial CYR"/>
                <w:sz w:val="20"/>
                <w:szCs w:val="20"/>
              </w:rPr>
            </w:pPr>
            <w:r w:rsidRPr="00E4634B">
              <w:rPr>
                <w:rFonts w:ascii="Cambria" w:hAnsi="Cambria" w:cs="Arial CYR"/>
                <w:sz w:val="20"/>
                <w:szCs w:val="20"/>
              </w:rPr>
              <w:t xml:space="preserve"> без учета стоимости з.уч.                       </w:t>
            </w:r>
          </w:p>
        </w:tc>
        <w:tc>
          <w:tcPr>
            <w:tcW w:w="1433" w:type="dxa"/>
            <w:tcBorders>
              <w:top w:val="single" w:sz="6" w:space="0" w:color="auto"/>
              <w:bottom w:val="single" w:sz="6" w:space="0" w:color="auto"/>
            </w:tcBorders>
            <w:shd w:val="clear" w:color="auto" w:fill="auto"/>
            <w:vAlign w:val="center"/>
            <w:hideMark/>
          </w:tcPr>
          <w:p w:rsidR="00E86FA0" w:rsidRPr="00E4634B" w:rsidRDefault="00E86FA0" w:rsidP="00E4634B">
            <w:pPr>
              <w:ind w:left="-108" w:right="-59"/>
              <w:jc w:val="center"/>
              <w:rPr>
                <w:rFonts w:ascii="Cambria" w:hAnsi="Cambria" w:cs="Arial CYR"/>
                <w:sz w:val="20"/>
                <w:szCs w:val="20"/>
              </w:rPr>
            </w:pPr>
            <w:r w:rsidRPr="00E4634B">
              <w:rPr>
                <w:rFonts w:ascii="Cambria" w:hAnsi="Cambria" w:cs="Arial CYR"/>
                <w:sz w:val="20"/>
                <w:szCs w:val="20"/>
              </w:rPr>
              <w:t>1989</w:t>
            </w:r>
          </w:p>
        </w:tc>
        <w:tc>
          <w:tcPr>
            <w:tcW w:w="1495" w:type="dxa"/>
            <w:tcBorders>
              <w:top w:val="single" w:sz="6" w:space="0" w:color="auto"/>
              <w:bottom w:val="single" w:sz="6" w:space="0" w:color="auto"/>
            </w:tcBorders>
            <w:vAlign w:val="center"/>
          </w:tcPr>
          <w:p w:rsidR="00E86FA0" w:rsidRPr="00E4634B" w:rsidRDefault="00E86FA0" w:rsidP="00E4634B">
            <w:pPr>
              <w:ind w:left="-108" w:right="-59"/>
              <w:jc w:val="center"/>
              <w:rPr>
                <w:rFonts w:ascii="Cambria" w:hAnsi="Cambria" w:cs="Arial CYR"/>
                <w:sz w:val="20"/>
                <w:szCs w:val="20"/>
              </w:rPr>
            </w:pPr>
            <w:r w:rsidRPr="00E4634B">
              <w:rPr>
                <w:rFonts w:ascii="Cambria" w:hAnsi="Cambria" w:cs="Arial CYR"/>
                <w:sz w:val="20"/>
                <w:szCs w:val="20"/>
              </w:rPr>
              <w:t>8 371,5</w:t>
            </w:r>
          </w:p>
        </w:tc>
        <w:tc>
          <w:tcPr>
            <w:tcW w:w="1667" w:type="dxa"/>
            <w:tcBorders>
              <w:top w:val="single" w:sz="6" w:space="0" w:color="auto"/>
              <w:bottom w:val="single" w:sz="6" w:space="0" w:color="auto"/>
            </w:tcBorders>
            <w:shd w:val="clear" w:color="auto" w:fill="auto"/>
            <w:noWrap/>
            <w:vAlign w:val="center"/>
            <w:hideMark/>
          </w:tcPr>
          <w:p w:rsidR="00E86FA0" w:rsidRPr="00E86FA0" w:rsidRDefault="00E86FA0" w:rsidP="00E86FA0">
            <w:pPr>
              <w:jc w:val="center"/>
              <w:rPr>
                <w:rFonts w:asciiTheme="majorHAnsi" w:hAnsiTheme="majorHAnsi"/>
                <w:b/>
                <w:sz w:val="20"/>
                <w:szCs w:val="20"/>
              </w:rPr>
            </w:pPr>
            <w:r w:rsidRPr="00E86FA0">
              <w:rPr>
                <w:rFonts w:asciiTheme="majorHAnsi" w:hAnsiTheme="majorHAnsi"/>
                <w:b/>
                <w:sz w:val="20"/>
                <w:szCs w:val="20"/>
              </w:rPr>
              <w:t>78 792 168</w:t>
            </w:r>
          </w:p>
        </w:tc>
        <w:tc>
          <w:tcPr>
            <w:tcW w:w="1665" w:type="dxa"/>
            <w:tcBorders>
              <w:top w:val="single" w:sz="6" w:space="0" w:color="auto"/>
              <w:bottom w:val="single" w:sz="6" w:space="0" w:color="auto"/>
            </w:tcBorders>
            <w:shd w:val="clear" w:color="auto" w:fill="auto"/>
            <w:noWrap/>
            <w:vAlign w:val="center"/>
            <w:hideMark/>
          </w:tcPr>
          <w:p w:rsidR="00E86FA0" w:rsidRPr="00E86FA0" w:rsidRDefault="00E86FA0" w:rsidP="00E86FA0">
            <w:pPr>
              <w:jc w:val="center"/>
              <w:rPr>
                <w:rFonts w:asciiTheme="majorHAnsi" w:hAnsiTheme="majorHAnsi"/>
                <w:sz w:val="20"/>
                <w:szCs w:val="20"/>
              </w:rPr>
            </w:pPr>
            <w:r w:rsidRPr="00E86FA0">
              <w:rPr>
                <w:rFonts w:asciiTheme="majorHAnsi" w:hAnsiTheme="majorHAnsi"/>
                <w:sz w:val="20"/>
                <w:szCs w:val="20"/>
              </w:rPr>
              <w:t>66 773 024</w:t>
            </w:r>
          </w:p>
        </w:tc>
      </w:tr>
      <w:tr w:rsidR="00E86FA0" w:rsidRPr="00E4634B" w:rsidTr="00AC0C31">
        <w:trPr>
          <w:trHeight w:val="23"/>
          <w:jc w:val="center"/>
        </w:trPr>
        <w:tc>
          <w:tcPr>
            <w:tcW w:w="567" w:type="dxa"/>
            <w:tcBorders>
              <w:top w:val="single" w:sz="6" w:space="0" w:color="auto"/>
              <w:bottom w:val="single" w:sz="6" w:space="0" w:color="auto"/>
            </w:tcBorders>
            <w:shd w:val="clear" w:color="auto" w:fill="auto"/>
            <w:vAlign w:val="center"/>
          </w:tcPr>
          <w:p w:rsidR="00E86FA0" w:rsidRPr="00E4634B" w:rsidRDefault="00E86FA0" w:rsidP="00E4634B">
            <w:pPr>
              <w:ind w:left="-108" w:right="-59"/>
              <w:jc w:val="center"/>
              <w:rPr>
                <w:rFonts w:ascii="Cambria" w:hAnsi="Cambria" w:cs="Arial CYR"/>
                <w:sz w:val="20"/>
                <w:szCs w:val="20"/>
              </w:rPr>
            </w:pPr>
            <w:r w:rsidRPr="00E4634B">
              <w:rPr>
                <w:rFonts w:ascii="Cambria" w:hAnsi="Cambria" w:cs="Arial CYR"/>
                <w:sz w:val="20"/>
                <w:szCs w:val="20"/>
              </w:rPr>
              <w:t>2</w:t>
            </w:r>
          </w:p>
        </w:tc>
        <w:tc>
          <w:tcPr>
            <w:tcW w:w="3140" w:type="dxa"/>
            <w:tcBorders>
              <w:top w:val="single" w:sz="6" w:space="0" w:color="auto"/>
              <w:bottom w:val="single" w:sz="6" w:space="0" w:color="auto"/>
            </w:tcBorders>
            <w:shd w:val="clear" w:color="auto" w:fill="auto"/>
            <w:vAlign w:val="center"/>
          </w:tcPr>
          <w:p w:rsidR="00E86FA0" w:rsidRPr="00E4634B" w:rsidRDefault="00E86FA0" w:rsidP="00E4634B">
            <w:pPr>
              <w:jc w:val="center"/>
              <w:rPr>
                <w:rFonts w:ascii="Cambria" w:hAnsi="Cambria"/>
                <w:sz w:val="20"/>
                <w:szCs w:val="20"/>
              </w:rPr>
            </w:pPr>
            <w:r w:rsidRPr="00E4634B">
              <w:rPr>
                <w:rFonts w:ascii="Cambria" w:hAnsi="Cambria"/>
                <w:sz w:val="20"/>
                <w:szCs w:val="20"/>
              </w:rPr>
              <w:t xml:space="preserve">Административно-бытовое здание, </w:t>
            </w:r>
          </w:p>
          <w:p w:rsidR="00E86FA0" w:rsidRPr="00E4634B" w:rsidRDefault="00E86FA0" w:rsidP="00E4634B">
            <w:pPr>
              <w:jc w:val="center"/>
              <w:rPr>
                <w:rFonts w:ascii="Cambria" w:hAnsi="Cambria"/>
                <w:sz w:val="20"/>
                <w:szCs w:val="20"/>
              </w:rPr>
            </w:pPr>
            <w:r w:rsidRPr="00E4634B">
              <w:rPr>
                <w:rFonts w:ascii="Cambria" w:hAnsi="Cambria"/>
                <w:sz w:val="20"/>
                <w:szCs w:val="20"/>
              </w:rPr>
              <w:t xml:space="preserve">без учета стоимости з.уч.                       </w:t>
            </w:r>
          </w:p>
        </w:tc>
        <w:tc>
          <w:tcPr>
            <w:tcW w:w="1433" w:type="dxa"/>
            <w:tcBorders>
              <w:top w:val="single" w:sz="6" w:space="0" w:color="auto"/>
              <w:bottom w:val="single" w:sz="6" w:space="0" w:color="auto"/>
            </w:tcBorders>
            <w:shd w:val="clear" w:color="auto" w:fill="auto"/>
            <w:vAlign w:val="center"/>
          </w:tcPr>
          <w:p w:rsidR="00E86FA0" w:rsidRPr="00E4634B" w:rsidRDefault="00E86FA0" w:rsidP="00E4634B">
            <w:pPr>
              <w:ind w:left="-108" w:right="-59"/>
              <w:jc w:val="center"/>
              <w:rPr>
                <w:rFonts w:ascii="Cambria" w:hAnsi="Cambria" w:cs="Arial CYR"/>
                <w:sz w:val="20"/>
                <w:szCs w:val="20"/>
              </w:rPr>
            </w:pPr>
            <w:r w:rsidRPr="00E4634B">
              <w:rPr>
                <w:rFonts w:ascii="Cambria" w:hAnsi="Cambria" w:cs="Arial CYR"/>
                <w:sz w:val="20"/>
                <w:szCs w:val="20"/>
              </w:rPr>
              <w:t>1993</w:t>
            </w:r>
          </w:p>
        </w:tc>
        <w:tc>
          <w:tcPr>
            <w:tcW w:w="1495" w:type="dxa"/>
            <w:tcBorders>
              <w:top w:val="single" w:sz="6" w:space="0" w:color="auto"/>
              <w:bottom w:val="single" w:sz="6" w:space="0" w:color="auto"/>
            </w:tcBorders>
            <w:vAlign w:val="center"/>
          </w:tcPr>
          <w:p w:rsidR="00E86FA0" w:rsidRPr="00E4634B" w:rsidRDefault="00E86FA0" w:rsidP="00E4634B">
            <w:pPr>
              <w:ind w:left="-108" w:right="-59"/>
              <w:jc w:val="center"/>
              <w:rPr>
                <w:rFonts w:ascii="Cambria" w:hAnsi="Cambria" w:cs="Arial CYR"/>
                <w:sz w:val="20"/>
                <w:szCs w:val="20"/>
              </w:rPr>
            </w:pPr>
            <w:r w:rsidRPr="00E4634B">
              <w:rPr>
                <w:rFonts w:ascii="Cambria" w:hAnsi="Cambria" w:cs="Arial CYR"/>
                <w:sz w:val="20"/>
                <w:szCs w:val="20"/>
              </w:rPr>
              <w:t>3 149,6</w:t>
            </w:r>
          </w:p>
        </w:tc>
        <w:tc>
          <w:tcPr>
            <w:tcW w:w="1667" w:type="dxa"/>
            <w:tcBorders>
              <w:top w:val="single" w:sz="6" w:space="0" w:color="auto"/>
              <w:bottom w:val="single" w:sz="6" w:space="0" w:color="auto"/>
            </w:tcBorders>
            <w:shd w:val="clear" w:color="auto" w:fill="auto"/>
            <w:noWrap/>
            <w:vAlign w:val="center"/>
          </w:tcPr>
          <w:p w:rsidR="00E86FA0" w:rsidRPr="00E86FA0" w:rsidRDefault="00E86FA0">
            <w:pPr>
              <w:jc w:val="center"/>
              <w:rPr>
                <w:rFonts w:asciiTheme="majorHAnsi" w:hAnsiTheme="majorHAnsi"/>
                <w:b/>
                <w:bCs/>
                <w:color w:val="000000"/>
                <w:sz w:val="20"/>
                <w:szCs w:val="20"/>
              </w:rPr>
            </w:pPr>
            <w:r w:rsidRPr="00E86FA0">
              <w:rPr>
                <w:rFonts w:asciiTheme="majorHAnsi" w:hAnsiTheme="majorHAnsi"/>
                <w:b/>
                <w:bCs/>
                <w:color w:val="000000"/>
                <w:sz w:val="20"/>
                <w:szCs w:val="20"/>
              </w:rPr>
              <w:t xml:space="preserve">42 663 975  </w:t>
            </w:r>
          </w:p>
        </w:tc>
        <w:tc>
          <w:tcPr>
            <w:tcW w:w="1665" w:type="dxa"/>
            <w:tcBorders>
              <w:top w:val="single" w:sz="6" w:space="0" w:color="auto"/>
              <w:bottom w:val="single" w:sz="6" w:space="0" w:color="auto"/>
            </w:tcBorders>
            <w:shd w:val="clear" w:color="auto" w:fill="auto"/>
            <w:noWrap/>
            <w:vAlign w:val="center"/>
          </w:tcPr>
          <w:p w:rsidR="00E86FA0" w:rsidRPr="00E86FA0" w:rsidRDefault="00E86FA0">
            <w:pPr>
              <w:jc w:val="center"/>
              <w:rPr>
                <w:rFonts w:asciiTheme="majorHAnsi" w:hAnsiTheme="majorHAnsi"/>
                <w:bCs/>
                <w:color w:val="000000"/>
                <w:sz w:val="20"/>
                <w:szCs w:val="20"/>
              </w:rPr>
            </w:pPr>
            <w:r w:rsidRPr="00E86FA0">
              <w:rPr>
                <w:rFonts w:asciiTheme="majorHAnsi" w:hAnsiTheme="majorHAnsi"/>
                <w:bCs/>
                <w:color w:val="000000"/>
                <w:sz w:val="20"/>
                <w:szCs w:val="20"/>
              </w:rPr>
              <w:t xml:space="preserve">36 155 911  </w:t>
            </w:r>
          </w:p>
        </w:tc>
      </w:tr>
      <w:tr w:rsidR="00E86FA0" w:rsidRPr="00E4634B" w:rsidTr="00AC0C31">
        <w:trPr>
          <w:trHeight w:val="23"/>
          <w:jc w:val="center"/>
        </w:trPr>
        <w:tc>
          <w:tcPr>
            <w:tcW w:w="567" w:type="dxa"/>
            <w:tcBorders>
              <w:top w:val="single" w:sz="6" w:space="0" w:color="auto"/>
            </w:tcBorders>
            <w:shd w:val="clear" w:color="auto" w:fill="auto"/>
            <w:vAlign w:val="center"/>
          </w:tcPr>
          <w:p w:rsidR="00E86FA0" w:rsidRPr="00E4634B" w:rsidRDefault="00E86FA0" w:rsidP="00E4634B">
            <w:pPr>
              <w:ind w:left="-108" w:right="-59"/>
              <w:jc w:val="center"/>
              <w:rPr>
                <w:rFonts w:ascii="Cambria" w:hAnsi="Cambria" w:cs="Arial CYR"/>
                <w:sz w:val="20"/>
                <w:szCs w:val="20"/>
              </w:rPr>
            </w:pPr>
          </w:p>
        </w:tc>
        <w:tc>
          <w:tcPr>
            <w:tcW w:w="3140" w:type="dxa"/>
            <w:tcBorders>
              <w:top w:val="single" w:sz="6" w:space="0" w:color="auto"/>
            </w:tcBorders>
            <w:shd w:val="clear" w:color="auto" w:fill="auto"/>
            <w:vAlign w:val="center"/>
          </w:tcPr>
          <w:p w:rsidR="00E86FA0" w:rsidRPr="00E4634B" w:rsidRDefault="00E86FA0" w:rsidP="00E4634B">
            <w:pPr>
              <w:jc w:val="center"/>
              <w:rPr>
                <w:rFonts w:ascii="Cambria" w:hAnsi="Cambria"/>
                <w:color w:val="000000"/>
                <w:sz w:val="20"/>
                <w:szCs w:val="20"/>
              </w:rPr>
            </w:pPr>
            <w:r w:rsidRPr="00E4634B">
              <w:rPr>
                <w:rFonts w:ascii="Cambria" w:hAnsi="Cambria"/>
                <w:color w:val="000000"/>
                <w:sz w:val="20"/>
                <w:szCs w:val="20"/>
              </w:rPr>
              <w:t>ИТОГО:</w:t>
            </w:r>
          </w:p>
        </w:tc>
        <w:tc>
          <w:tcPr>
            <w:tcW w:w="1433" w:type="dxa"/>
            <w:tcBorders>
              <w:top w:val="single" w:sz="6" w:space="0" w:color="auto"/>
            </w:tcBorders>
            <w:shd w:val="clear" w:color="auto" w:fill="auto"/>
            <w:vAlign w:val="center"/>
          </w:tcPr>
          <w:p w:rsidR="00E86FA0" w:rsidRPr="00E4634B" w:rsidRDefault="00E86FA0" w:rsidP="00E4634B">
            <w:pPr>
              <w:ind w:left="-108" w:right="-59"/>
              <w:jc w:val="center"/>
              <w:rPr>
                <w:rFonts w:ascii="Cambria" w:hAnsi="Cambria" w:cs="Arial CYR"/>
                <w:sz w:val="20"/>
                <w:szCs w:val="20"/>
              </w:rPr>
            </w:pPr>
          </w:p>
        </w:tc>
        <w:tc>
          <w:tcPr>
            <w:tcW w:w="1495" w:type="dxa"/>
            <w:tcBorders>
              <w:top w:val="single" w:sz="6" w:space="0" w:color="auto"/>
            </w:tcBorders>
            <w:vAlign w:val="center"/>
          </w:tcPr>
          <w:p w:rsidR="00E86FA0" w:rsidRPr="00E4634B" w:rsidRDefault="00E86FA0" w:rsidP="00E4634B">
            <w:pPr>
              <w:ind w:left="-108" w:right="-59"/>
              <w:jc w:val="center"/>
              <w:rPr>
                <w:rFonts w:ascii="Cambria" w:hAnsi="Cambria" w:cs="Arial CYR"/>
                <w:sz w:val="20"/>
                <w:szCs w:val="20"/>
              </w:rPr>
            </w:pPr>
          </w:p>
        </w:tc>
        <w:tc>
          <w:tcPr>
            <w:tcW w:w="1667" w:type="dxa"/>
            <w:tcBorders>
              <w:top w:val="single" w:sz="6" w:space="0" w:color="auto"/>
            </w:tcBorders>
            <w:shd w:val="clear" w:color="auto" w:fill="auto"/>
            <w:noWrap/>
            <w:vAlign w:val="bottom"/>
          </w:tcPr>
          <w:p w:rsidR="00E86FA0" w:rsidRPr="00E86FA0" w:rsidRDefault="00E86FA0" w:rsidP="00E86FA0">
            <w:pPr>
              <w:jc w:val="center"/>
              <w:rPr>
                <w:rFonts w:asciiTheme="majorHAnsi" w:hAnsiTheme="majorHAnsi"/>
                <w:b/>
                <w:color w:val="000000"/>
                <w:sz w:val="20"/>
                <w:szCs w:val="20"/>
              </w:rPr>
            </w:pPr>
            <w:r w:rsidRPr="00E86FA0">
              <w:rPr>
                <w:rFonts w:asciiTheme="majorHAnsi" w:hAnsiTheme="majorHAnsi"/>
                <w:b/>
                <w:color w:val="000000"/>
                <w:sz w:val="20"/>
                <w:szCs w:val="20"/>
              </w:rPr>
              <w:t>121 456 143</w:t>
            </w:r>
          </w:p>
        </w:tc>
        <w:tc>
          <w:tcPr>
            <w:tcW w:w="1665" w:type="dxa"/>
            <w:tcBorders>
              <w:top w:val="single" w:sz="6" w:space="0" w:color="auto"/>
            </w:tcBorders>
            <w:shd w:val="clear" w:color="auto" w:fill="auto"/>
            <w:noWrap/>
            <w:vAlign w:val="bottom"/>
          </w:tcPr>
          <w:p w:rsidR="00E86FA0" w:rsidRPr="00E86FA0" w:rsidRDefault="00E86FA0" w:rsidP="00E86FA0">
            <w:pPr>
              <w:jc w:val="center"/>
              <w:rPr>
                <w:rFonts w:asciiTheme="majorHAnsi" w:hAnsiTheme="majorHAnsi"/>
                <w:color w:val="000000"/>
                <w:sz w:val="20"/>
                <w:szCs w:val="20"/>
              </w:rPr>
            </w:pPr>
            <w:r w:rsidRPr="00E86FA0">
              <w:rPr>
                <w:rFonts w:asciiTheme="majorHAnsi" w:hAnsiTheme="majorHAnsi"/>
                <w:color w:val="000000"/>
                <w:sz w:val="20"/>
                <w:szCs w:val="20"/>
              </w:rPr>
              <w:t>102 928 934</w:t>
            </w:r>
          </w:p>
        </w:tc>
      </w:tr>
    </w:tbl>
    <w:p w:rsidR="00E4634B" w:rsidRPr="00E4634B" w:rsidRDefault="00E4634B" w:rsidP="00E4634B">
      <w:pPr>
        <w:ind w:firstLine="708"/>
        <w:rPr>
          <w:rFonts w:ascii="Cambria" w:hAnsi="Cambria"/>
          <w:bCs/>
          <w:sz w:val="20"/>
          <w:szCs w:val="20"/>
        </w:rPr>
      </w:pPr>
    </w:p>
    <w:p w:rsidR="00E4634B" w:rsidRPr="00E4634B" w:rsidRDefault="00E4634B" w:rsidP="00E4634B">
      <w:pPr>
        <w:ind w:firstLine="708"/>
        <w:rPr>
          <w:rFonts w:ascii="Cambria" w:hAnsi="Cambria"/>
          <w:bCs/>
          <w:sz w:val="20"/>
          <w:szCs w:val="20"/>
        </w:rPr>
      </w:pPr>
    </w:p>
    <w:p w:rsidR="00E4634B" w:rsidRPr="00E4634B" w:rsidRDefault="00E4634B" w:rsidP="00E4634B">
      <w:pPr>
        <w:ind w:firstLine="708"/>
        <w:rPr>
          <w:rFonts w:ascii="Cambria" w:hAnsi="Cambria"/>
          <w:bCs/>
          <w:sz w:val="20"/>
          <w:szCs w:val="20"/>
        </w:rPr>
      </w:pPr>
      <w:r w:rsidRPr="00E4634B">
        <w:rPr>
          <w:rFonts w:ascii="Cambria" w:hAnsi="Cambria"/>
          <w:bCs/>
          <w:sz w:val="20"/>
          <w:szCs w:val="20"/>
        </w:rPr>
        <w:t>Обращаем Ваше внимание, что это письмо не является отчетом об оценке, а только предваряет отчет, приведенный далее.</w:t>
      </w:r>
    </w:p>
    <w:p w:rsidR="00E4634B" w:rsidRPr="00E4634B" w:rsidRDefault="00E4634B" w:rsidP="00E4634B">
      <w:pPr>
        <w:ind w:firstLine="709"/>
        <w:jc w:val="both"/>
        <w:rPr>
          <w:rFonts w:ascii="Cambria" w:hAnsi="Cambria"/>
          <w:bCs/>
          <w:sz w:val="20"/>
          <w:szCs w:val="20"/>
        </w:rPr>
      </w:pPr>
      <w:r w:rsidRPr="00E4634B">
        <w:rPr>
          <w:rFonts w:ascii="Cambria" w:hAnsi="Cambria"/>
          <w:bCs/>
          <w:sz w:val="20"/>
          <w:szCs w:val="20"/>
        </w:rPr>
        <w:t>Всю информацию и анализ, использованные для оценки стоимости, Вы найдете в соответствующих разделах отчета.</w:t>
      </w:r>
    </w:p>
    <w:p w:rsidR="00E4634B" w:rsidRPr="00E4634B" w:rsidRDefault="00E4634B" w:rsidP="00E4634B">
      <w:pPr>
        <w:ind w:firstLine="709"/>
        <w:jc w:val="both"/>
        <w:rPr>
          <w:rFonts w:ascii="Cambria" w:hAnsi="Cambria"/>
          <w:bCs/>
          <w:sz w:val="20"/>
          <w:szCs w:val="20"/>
        </w:rPr>
      </w:pPr>
      <w:r w:rsidRPr="00E4634B">
        <w:rPr>
          <w:rFonts w:ascii="Cambria" w:hAnsi="Cambria"/>
          <w:bCs/>
          <w:sz w:val="20"/>
          <w:szCs w:val="20"/>
        </w:rPr>
        <w:t>Если у Вас возникнут какие-либо вопросы по оценке рыночной стоимости объекта оценки или по методике ее проведения, использованной нами, пожалуйста, обращайтесь к нам.</w:t>
      </w:r>
    </w:p>
    <w:p w:rsidR="00E4634B" w:rsidRPr="00E4634B" w:rsidRDefault="00E4634B" w:rsidP="00E4634B">
      <w:pPr>
        <w:ind w:firstLine="709"/>
        <w:jc w:val="both"/>
        <w:rPr>
          <w:rFonts w:ascii="Cambria" w:hAnsi="Cambria"/>
          <w:bCs/>
          <w:sz w:val="20"/>
          <w:szCs w:val="20"/>
        </w:rPr>
      </w:pPr>
      <w:r w:rsidRPr="00E4634B">
        <w:rPr>
          <w:rFonts w:ascii="Cambria" w:hAnsi="Cambria"/>
          <w:bCs/>
          <w:sz w:val="20"/>
          <w:szCs w:val="20"/>
        </w:rPr>
        <w:t xml:space="preserve">Благодарим Вас за возможность оказать услуги для Вашей организации, </w:t>
      </w:r>
    </w:p>
    <w:p w:rsidR="00E4634B" w:rsidRPr="00E4634B" w:rsidRDefault="00E4634B" w:rsidP="00E4634B">
      <w:pPr>
        <w:ind w:firstLine="709"/>
        <w:jc w:val="both"/>
        <w:rPr>
          <w:rFonts w:ascii="Cambria" w:hAnsi="Cambria"/>
          <w:bCs/>
          <w:sz w:val="20"/>
          <w:szCs w:val="20"/>
        </w:rPr>
      </w:pPr>
    </w:p>
    <w:p w:rsidR="00E4634B" w:rsidRPr="00E4634B" w:rsidRDefault="00E4634B" w:rsidP="00E4634B">
      <w:pPr>
        <w:ind w:firstLine="709"/>
        <w:jc w:val="both"/>
        <w:rPr>
          <w:rFonts w:ascii="Cambria" w:hAnsi="Cambria"/>
          <w:bCs/>
          <w:sz w:val="20"/>
          <w:szCs w:val="20"/>
        </w:rPr>
      </w:pPr>
      <w:r w:rsidRPr="00E4634B">
        <w:rPr>
          <w:rFonts w:ascii="Cambria" w:hAnsi="Cambria"/>
          <w:bCs/>
          <w:sz w:val="20"/>
          <w:szCs w:val="20"/>
        </w:rPr>
        <w:t>С уважением,</w:t>
      </w:r>
    </w:p>
    <w:p w:rsidR="00E4634B" w:rsidRPr="00E4634B" w:rsidRDefault="00E4634B" w:rsidP="00E4634B">
      <w:pPr>
        <w:jc w:val="both"/>
        <w:rPr>
          <w:rFonts w:ascii="Cambria" w:hAnsi="Cambria"/>
          <w:bCs/>
          <w:sz w:val="20"/>
          <w:szCs w:val="20"/>
        </w:rPr>
      </w:pPr>
      <w:r w:rsidRPr="00E4634B">
        <w:rPr>
          <w:rFonts w:ascii="Cambria" w:hAnsi="Cambria"/>
          <w:bCs/>
          <w:sz w:val="20"/>
          <w:szCs w:val="20"/>
        </w:rPr>
        <w:t xml:space="preserve">                Директор                                                                                                                                                            С.Н. Лаврентьев</w:t>
      </w:r>
    </w:p>
    <w:p w:rsidR="00E4634B" w:rsidRPr="00E4634B" w:rsidRDefault="00E4634B" w:rsidP="00E4634B">
      <w:pPr>
        <w:rPr>
          <w:rFonts w:ascii="Cambria" w:hAnsi="Cambria"/>
          <w:bCs/>
          <w:sz w:val="20"/>
          <w:szCs w:val="20"/>
        </w:rPr>
      </w:pPr>
      <w:r w:rsidRPr="00E4634B">
        <w:rPr>
          <w:rFonts w:ascii="Cambria" w:hAnsi="Cambria"/>
          <w:bCs/>
          <w:sz w:val="20"/>
          <w:szCs w:val="20"/>
        </w:rPr>
        <w:t xml:space="preserve">               </w:t>
      </w:r>
    </w:p>
    <w:p w:rsidR="00E4634B" w:rsidRPr="00E4634B" w:rsidRDefault="00E4634B" w:rsidP="00E4634B">
      <w:pPr>
        <w:ind w:firstLine="708"/>
        <w:rPr>
          <w:rFonts w:ascii="Cambria" w:hAnsi="Cambria"/>
          <w:bCs/>
          <w:sz w:val="20"/>
          <w:szCs w:val="20"/>
        </w:rPr>
      </w:pPr>
      <w:r w:rsidRPr="00E4634B">
        <w:rPr>
          <w:rFonts w:ascii="Cambria" w:hAnsi="Cambria"/>
          <w:bCs/>
          <w:sz w:val="20"/>
          <w:szCs w:val="20"/>
        </w:rPr>
        <w:t xml:space="preserve"> ООО Управляющая Компания  </w:t>
      </w:r>
    </w:p>
    <w:p w:rsidR="00E4634B" w:rsidRPr="00E4634B" w:rsidRDefault="00E4634B" w:rsidP="00E4634B">
      <w:pPr>
        <w:spacing w:line="480" w:lineRule="auto"/>
        <w:rPr>
          <w:rFonts w:ascii="Cambria" w:hAnsi="Cambria"/>
          <w:bCs/>
          <w:color w:val="C0504D"/>
          <w:sz w:val="20"/>
          <w:szCs w:val="20"/>
          <w:u w:val="single"/>
        </w:rPr>
        <w:sectPr w:rsidR="00E4634B" w:rsidRPr="00E4634B" w:rsidSect="00E4634B">
          <w:pgSz w:w="11906" w:h="16838"/>
          <w:pgMar w:top="567" w:right="851" w:bottom="567" w:left="1134" w:header="709" w:footer="709" w:gutter="0"/>
          <w:pgBorders w:offsetFrom="page">
            <w:top w:val="single" w:sz="4" w:space="24" w:color="4F81BD"/>
            <w:left w:val="single" w:sz="4" w:space="24" w:color="4F81BD"/>
            <w:bottom w:val="single" w:sz="4" w:space="24" w:color="4F81BD"/>
            <w:right w:val="single" w:sz="4" w:space="24" w:color="4F81BD"/>
          </w:pgBorders>
          <w:cols w:space="720"/>
        </w:sectPr>
      </w:pPr>
      <w:r w:rsidRPr="00E4634B">
        <w:rPr>
          <w:rFonts w:ascii="Cambria" w:hAnsi="Cambria"/>
          <w:bCs/>
          <w:sz w:val="20"/>
          <w:szCs w:val="20"/>
        </w:rPr>
        <w:t xml:space="preserve">                «ФИНАНСЫ НЕДВИЖИМОСТЬ КОНСАЛТИНГ»</w:t>
      </w:r>
    </w:p>
    <w:p w:rsidR="003262B9" w:rsidRPr="000E4C77" w:rsidRDefault="00086C49" w:rsidP="000E4C77">
      <w:pPr>
        <w:spacing w:before="100" w:beforeAutospacing="1" w:after="100" w:afterAutospacing="1"/>
        <w:jc w:val="center"/>
        <w:rPr>
          <w:rFonts w:eastAsiaTheme="majorEastAsia" w:cstheme="majorBidi"/>
          <w:b/>
          <w:bCs/>
          <w:sz w:val="28"/>
          <w:szCs w:val="28"/>
        </w:rPr>
      </w:pPr>
      <w:r w:rsidRPr="000E4C77">
        <w:rPr>
          <w:rFonts w:eastAsiaTheme="majorEastAsia" w:cstheme="majorBidi"/>
          <w:b/>
          <w:bCs/>
          <w:sz w:val="28"/>
          <w:szCs w:val="28"/>
        </w:rPr>
        <w:lastRenderedPageBreak/>
        <w:t>1</w:t>
      </w:r>
      <w:r w:rsidR="003262B9" w:rsidRPr="000E4C77">
        <w:rPr>
          <w:rFonts w:eastAsiaTheme="majorEastAsia" w:cstheme="majorBidi"/>
          <w:b/>
          <w:bCs/>
          <w:sz w:val="28"/>
          <w:szCs w:val="28"/>
        </w:rPr>
        <w:t>. Задание на оценку в соответствии с требованиями федеральных  стандартов оценки.</w:t>
      </w:r>
    </w:p>
    <w:p w:rsidR="003262B9" w:rsidRPr="00E03510" w:rsidRDefault="00991118" w:rsidP="00991118">
      <w:pPr>
        <w:ind w:left="1134" w:hanging="850"/>
        <w:rPr>
          <w:rFonts w:asciiTheme="majorHAnsi" w:eastAsiaTheme="majorEastAsia" w:hAnsiTheme="majorHAnsi" w:cstheme="majorBidi"/>
          <w:b/>
          <w:bCs/>
          <w:smallCaps/>
          <w:sz w:val="20"/>
          <w:szCs w:val="20"/>
        </w:rPr>
      </w:pPr>
      <w:r>
        <w:rPr>
          <w:rFonts w:asciiTheme="majorHAnsi" w:eastAsiaTheme="majorEastAsia" w:hAnsiTheme="majorHAnsi" w:cstheme="majorBidi"/>
          <w:b/>
          <w:bCs/>
          <w:smallCaps/>
          <w:szCs w:val="26"/>
        </w:rPr>
        <w:t xml:space="preserve">  </w:t>
      </w:r>
      <w:r w:rsidRPr="00E03510">
        <w:rPr>
          <w:rFonts w:asciiTheme="majorHAnsi" w:eastAsiaTheme="majorEastAsia" w:hAnsiTheme="majorHAnsi" w:cstheme="majorBidi"/>
          <w:b/>
          <w:bCs/>
          <w:smallCaps/>
          <w:sz w:val="20"/>
          <w:szCs w:val="20"/>
        </w:rPr>
        <w:t xml:space="preserve">1.1.        </w:t>
      </w:r>
      <w:r w:rsidR="003262B9" w:rsidRPr="00E03510">
        <w:rPr>
          <w:rFonts w:asciiTheme="majorHAnsi" w:eastAsiaTheme="majorEastAsia" w:hAnsiTheme="majorHAnsi" w:cstheme="majorBidi"/>
          <w:b/>
          <w:bCs/>
          <w:sz w:val="20"/>
          <w:szCs w:val="20"/>
          <w:lang w:bidi="en-US"/>
        </w:rPr>
        <w:t>Объект оценки:</w:t>
      </w:r>
    </w:p>
    <w:p w:rsidR="00ED0361" w:rsidRDefault="00714794" w:rsidP="00DF2995">
      <w:pPr>
        <w:ind w:firstLine="708"/>
        <w:jc w:val="both"/>
        <w:rPr>
          <w:rFonts w:asciiTheme="majorHAnsi" w:eastAsiaTheme="minorHAnsi" w:hAnsiTheme="majorHAnsi" w:cstheme="minorBidi"/>
          <w:b/>
          <w:sz w:val="20"/>
          <w:szCs w:val="22"/>
          <w:lang w:eastAsia="en-US"/>
        </w:rPr>
      </w:pPr>
      <w:r w:rsidRPr="005433F9">
        <w:rPr>
          <w:rFonts w:asciiTheme="majorHAnsi" w:hAnsiTheme="majorHAnsi"/>
          <w:sz w:val="20"/>
          <w:szCs w:val="20"/>
        </w:rPr>
        <w:t>Объекты оценки представляют собой (по информации заказ</w:t>
      </w:r>
      <w:r w:rsidR="00F47947" w:rsidRPr="005433F9">
        <w:rPr>
          <w:rFonts w:asciiTheme="majorHAnsi" w:hAnsiTheme="majorHAnsi"/>
          <w:sz w:val="20"/>
          <w:szCs w:val="20"/>
        </w:rPr>
        <w:t xml:space="preserve">чика) </w:t>
      </w:r>
      <w:r w:rsidR="00AC0C31">
        <w:rPr>
          <w:rFonts w:asciiTheme="majorHAnsi" w:hAnsiTheme="majorHAnsi"/>
          <w:bCs/>
          <w:sz w:val="20"/>
          <w:szCs w:val="20"/>
        </w:rPr>
        <w:t xml:space="preserve">объекты капитального строительства, принадлежащие </w:t>
      </w:r>
      <w:r w:rsidR="00077CDB">
        <w:rPr>
          <w:rFonts w:asciiTheme="majorHAnsi" w:hAnsiTheme="majorHAnsi"/>
          <w:bCs/>
          <w:sz w:val="20"/>
          <w:szCs w:val="20"/>
        </w:rPr>
        <w:t xml:space="preserve">Лауте Игорю </w:t>
      </w:r>
      <w:r w:rsidR="004F632A">
        <w:rPr>
          <w:rFonts w:asciiTheme="majorHAnsi" w:hAnsiTheme="majorHAnsi"/>
          <w:bCs/>
          <w:sz w:val="20"/>
          <w:szCs w:val="20"/>
        </w:rPr>
        <w:t>Викторовичу</w:t>
      </w:r>
      <w:r w:rsidR="00A2756E" w:rsidRPr="005433F9">
        <w:rPr>
          <w:rFonts w:asciiTheme="majorHAnsi" w:hAnsiTheme="majorHAnsi"/>
          <w:sz w:val="20"/>
          <w:szCs w:val="20"/>
        </w:rPr>
        <w:t>, в том числе:</w:t>
      </w:r>
      <w:r w:rsidR="00ED0361" w:rsidRPr="00ED0361">
        <w:rPr>
          <w:rFonts w:asciiTheme="majorHAnsi" w:eastAsiaTheme="minorHAnsi" w:hAnsiTheme="majorHAnsi" w:cstheme="minorBidi"/>
          <w:b/>
          <w:sz w:val="20"/>
          <w:szCs w:val="22"/>
          <w:lang w:eastAsia="en-US"/>
        </w:rPr>
        <w:t xml:space="preserve"> </w:t>
      </w:r>
    </w:p>
    <w:p w:rsidR="00ED0361" w:rsidRDefault="008F55C7" w:rsidP="000B7405">
      <w:pPr>
        <w:tabs>
          <w:tab w:val="left" w:pos="2925"/>
        </w:tabs>
        <w:spacing w:before="120" w:after="120"/>
        <w:ind w:firstLine="709"/>
        <w:jc w:val="both"/>
        <w:rPr>
          <w:rFonts w:ascii="Cambria" w:hAnsi="Cambria"/>
          <w:b/>
          <w:bCs/>
          <w:sz w:val="20"/>
          <w:szCs w:val="20"/>
        </w:rPr>
      </w:pPr>
      <w:r w:rsidRPr="008F55C7">
        <w:rPr>
          <w:rFonts w:ascii="Cambria" w:hAnsi="Cambria"/>
          <w:b/>
          <w:bCs/>
          <w:sz w:val="20"/>
          <w:szCs w:val="20"/>
        </w:rPr>
        <w:t>– производственн</w:t>
      </w:r>
      <w:r>
        <w:rPr>
          <w:rFonts w:ascii="Cambria" w:hAnsi="Cambria"/>
          <w:b/>
          <w:bCs/>
          <w:sz w:val="20"/>
          <w:szCs w:val="20"/>
        </w:rPr>
        <w:t>ый комплекс</w:t>
      </w:r>
    </w:p>
    <w:tbl>
      <w:tblPr>
        <w:tblW w:w="0" w:type="auto"/>
        <w:jc w:val="center"/>
        <w:tblLook w:val="04A0" w:firstRow="1" w:lastRow="0" w:firstColumn="1" w:lastColumn="0" w:noHBand="0" w:noVBand="1"/>
      </w:tblPr>
      <w:tblGrid>
        <w:gridCol w:w="3625"/>
        <w:gridCol w:w="6556"/>
      </w:tblGrid>
      <w:tr w:rsidR="00ED0361" w:rsidRPr="00ED0361" w:rsidTr="00DF2995">
        <w:trPr>
          <w:trHeight w:val="20"/>
          <w:jc w:val="center"/>
        </w:trPr>
        <w:tc>
          <w:tcPr>
            <w:tcW w:w="0" w:type="auto"/>
            <w:gridSpan w:val="2"/>
            <w:tcBorders>
              <w:top w:val="double" w:sz="4" w:space="0" w:color="auto"/>
              <w:left w:val="double" w:sz="4" w:space="0" w:color="auto"/>
              <w:bottom w:val="single" w:sz="4" w:space="0" w:color="auto"/>
              <w:right w:val="double" w:sz="4" w:space="0" w:color="auto"/>
            </w:tcBorders>
            <w:shd w:val="clear" w:color="auto" w:fill="F2F2F2" w:themeFill="background1" w:themeFillShade="F2"/>
            <w:vAlign w:val="center"/>
            <w:hideMark/>
          </w:tcPr>
          <w:p w:rsidR="00ED0361" w:rsidRPr="00ED0361" w:rsidRDefault="00ED0361" w:rsidP="00AC0C31">
            <w:pPr>
              <w:jc w:val="center"/>
              <w:rPr>
                <w:rFonts w:ascii="Cambria" w:hAnsi="Cambria"/>
                <w:b/>
                <w:bCs/>
                <w:color w:val="000000"/>
                <w:sz w:val="18"/>
                <w:szCs w:val="18"/>
              </w:rPr>
            </w:pPr>
            <w:r w:rsidRPr="00ED0361">
              <w:rPr>
                <w:rFonts w:ascii="Cambria" w:hAnsi="Cambria"/>
                <w:b/>
                <w:bCs/>
                <w:color w:val="000000"/>
                <w:sz w:val="18"/>
                <w:szCs w:val="18"/>
              </w:rPr>
              <w:t>Общая информация, идентифицирующая объект недвижимости</w:t>
            </w:r>
            <w:r>
              <w:rPr>
                <w:rFonts w:ascii="Cambria" w:hAnsi="Cambria"/>
                <w:b/>
                <w:bCs/>
                <w:color w:val="000000"/>
                <w:sz w:val="18"/>
                <w:szCs w:val="18"/>
              </w:rPr>
              <w:t xml:space="preserve"> – нежил</w:t>
            </w:r>
            <w:r w:rsidR="00AC0C31">
              <w:rPr>
                <w:rFonts w:ascii="Cambria" w:hAnsi="Cambria"/>
                <w:b/>
                <w:bCs/>
                <w:color w:val="000000"/>
                <w:sz w:val="18"/>
                <w:szCs w:val="18"/>
              </w:rPr>
              <w:t>ые строения производственного корпуса</w:t>
            </w:r>
          </w:p>
        </w:tc>
      </w:tr>
      <w:tr w:rsidR="00ED0361" w:rsidRPr="00ED0361" w:rsidTr="00DF2995">
        <w:trPr>
          <w:trHeight w:val="20"/>
          <w:jc w:val="center"/>
        </w:trPr>
        <w:tc>
          <w:tcPr>
            <w:tcW w:w="0" w:type="auto"/>
            <w:tcBorders>
              <w:top w:val="nil"/>
              <w:left w:val="double" w:sz="4" w:space="0" w:color="auto"/>
              <w:bottom w:val="single" w:sz="4" w:space="0" w:color="auto"/>
              <w:right w:val="single" w:sz="4" w:space="0" w:color="auto"/>
            </w:tcBorders>
            <w:shd w:val="clear" w:color="000000" w:fill="F2F2F2"/>
            <w:vAlign w:val="center"/>
            <w:hideMark/>
          </w:tcPr>
          <w:p w:rsidR="00ED0361" w:rsidRPr="00ED0361" w:rsidRDefault="00ED0361" w:rsidP="00ED0361">
            <w:pPr>
              <w:jc w:val="center"/>
              <w:rPr>
                <w:rFonts w:ascii="Cambria" w:hAnsi="Cambria"/>
                <w:b/>
                <w:bCs/>
                <w:color w:val="000000"/>
                <w:sz w:val="18"/>
                <w:szCs w:val="18"/>
              </w:rPr>
            </w:pPr>
            <w:r w:rsidRPr="00ED0361">
              <w:rPr>
                <w:rFonts w:ascii="Cambria" w:hAnsi="Cambria"/>
                <w:b/>
                <w:bCs/>
                <w:color w:val="000000"/>
                <w:sz w:val="18"/>
                <w:szCs w:val="18"/>
              </w:rPr>
              <w:t>Адрес объекта оценки</w:t>
            </w:r>
          </w:p>
        </w:tc>
        <w:tc>
          <w:tcPr>
            <w:tcW w:w="0" w:type="auto"/>
            <w:tcBorders>
              <w:top w:val="single" w:sz="4" w:space="0" w:color="auto"/>
              <w:left w:val="nil"/>
              <w:bottom w:val="single" w:sz="4" w:space="0" w:color="auto"/>
              <w:right w:val="double" w:sz="4" w:space="0" w:color="auto"/>
            </w:tcBorders>
            <w:shd w:val="clear" w:color="auto" w:fill="auto"/>
            <w:vAlign w:val="center"/>
            <w:hideMark/>
          </w:tcPr>
          <w:p w:rsidR="00ED0361" w:rsidRPr="00AC0C31" w:rsidRDefault="00AC0C31" w:rsidP="00AC0C31">
            <w:pPr>
              <w:jc w:val="center"/>
              <w:rPr>
                <w:rFonts w:ascii="Cambria" w:hAnsi="Cambria"/>
                <w:color w:val="000000"/>
              </w:rPr>
            </w:pPr>
            <w:r w:rsidRPr="00AC0C31">
              <w:rPr>
                <w:rFonts w:ascii="Cambria" w:hAnsi="Cambria"/>
                <w:color w:val="000000"/>
                <w:sz w:val="18"/>
                <w:szCs w:val="18"/>
              </w:rPr>
              <w:t>Белгородская обл. г. Белгород, ул Мирная, 21</w:t>
            </w:r>
          </w:p>
        </w:tc>
      </w:tr>
      <w:tr w:rsidR="00ED0361" w:rsidRPr="00ED0361" w:rsidTr="00DF2995">
        <w:trPr>
          <w:trHeight w:val="20"/>
          <w:jc w:val="center"/>
        </w:trPr>
        <w:tc>
          <w:tcPr>
            <w:tcW w:w="0" w:type="auto"/>
            <w:tcBorders>
              <w:top w:val="nil"/>
              <w:left w:val="double" w:sz="4" w:space="0" w:color="auto"/>
              <w:bottom w:val="single" w:sz="4" w:space="0" w:color="auto"/>
              <w:right w:val="single" w:sz="4" w:space="0" w:color="auto"/>
            </w:tcBorders>
            <w:shd w:val="clear" w:color="000000" w:fill="F2F2F2"/>
            <w:vAlign w:val="center"/>
            <w:hideMark/>
          </w:tcPr>
          <w:p w:rsidR="00ED0361" w:rsidRPr="00ED0361" w:rsidRDefault="00ED0361" w:rsidP="00ED0361">
            <w:pPr>
              <w:jc w:val="center"/>
              <w:rPr>
                <w:rFonts w:ascii="Cambria" w:hAnsi="Cambria"/>
                <w:b/>
                <w:bCs/>
                <w:color w:val="000000"/>
                <w:sz w:val="18"/>
                <w:szCs w:val="18"/>
              </w:rPr>
            </w:pPr>
            <w:r w:rsidRPr="00ED0361">
              <w:rPr>
                <w:rFonts w:ascii="Cambria" w:hAnsi="Cambria"/>
                <w:b/>
                <w:bCs/>
                <w:color w:val="000000"/>
                <w:sz w:val="18"/>
                <w:szCs w:val="18"/>
              </w:rPr>
              <w:t>Собственник:</w:t>
            </w:r>
          </w:p>
        </w:tc>
        <w:tc>
          <w:tcPr>
            <w:tcW w:w="0" w:type="auto"/>
            <w:tcBorders>
              <w:top w:val="single" w:sz="4" w:space="0" w:color="auto"/>
              <w:left w:val="nil"/>
              <w:bottom w:val="single" w:sz="4" w:space="0" w:color="auto"/>
              <w:right w:val="double" w:sz="4" w:space="0" w:color="auto"/>
            </w:tcBorders>
            <w:shd w:val="clear" w:color="000000" w:fill="FFFFFF"/>
            <w:vAlign w:val="center"/>
            <w:hideMark/>
          </w:tcPr>
          <w:p w:rsidR="00ED0361" w:rsidRPr="00ED0361" w:rsidRDefault="00077CDB" w:rsidP="00AC0C31">
            <w:pPr>
              <w:jc w:val="center"/>
              <w:rPr>
                <w:rFonts w:ascii="Cambria" w:hAnsi="Cambria"/>
                <w:color w:val="000000"/>
                <w:sz w:val="18"/>
                <w:szCs w:val="18"/>
              </w:rPr>
            </w:pPr>
            <w:r>
              <w:rPr>
                <w:rFonts w:ascii="Cambria" w:hAnsi="Cambria"/>
                <w:color w:val="000000"/>
                <w:sz w:val="18"/>
                <w:szCs w:val="18"/>
              </w:rPr>
              <w:t xml:space="preserve">Лаута Игорь </w:t>
            </w:r>
            <w:r w:rsidR="004F632A" w:rsidRPr="004F632A">
              <w:rPr>
                <w:rFonts w:ascii="Cambria" w:hAnsi="Cambria"/>
                <w:color w:val="000000"/>
                <w:sz w:val="18"/>
                <w:szCs w:val="18"/>
              </w:rPr>
              <w:t>Викторович</w:t>
            </w:r>
          </w:p>
        </w:tc>
      </w:tr>
      <w:tr w:rsidR="00ED0361" w:rsidRPr="00ED0361" w:rsidTr="00DF2995">
        <w:trPr>
          <w:trHeight w:val="20"/>
          <w:jc w:val="center"/>
        </w:trPr>
        <w:tc>
          <w:tcPr>
            <w:tcW w:w="0" w:type="auto"/>
            <w:tcBorders>
              <w:top w:val="nil"/>
              <w:left w:val="double" w:sz="4" w:space="0" w:color="auto"/>
              <w:bottom w:val="double" w:sz="4" w:space="0" w:color="auto"/>
              <w:right w:val="single" w:sz="4" w:space="0" w:color="auto"/>
            </w:tcBorders>
            <w:shd w:val="clear" w:color="000000" w:fill="F2F2F2"/>
            <w:vAlign w:val="center"/>
            <w:hideMark/>
          </w:tcPr>
          <w:p w:rsidR="00ED0361" w:rsidRPr="00ED0361" w:rsidRDefault="00ED0361" w:rsidP="00ED0361">
            <w:pPr>
              <w:jc w:val="center"/>
              <w:rPr>
                <w:rFonts w:ascii="Cambria" w:hAnsi="Cambria"/>
                <w:b/>
                <w:bCs/>
                <w:color w:val="000000"/>
                <w:sz w:val="18"/>
                <w:szCs w:val="18"/>
              </w:rPr>
            </w:pPr>
            <w:r w:rsidRPr="00ED0361">
              <w:rPr>
                <w:rFonts w:ascii="Cambria" w:hAnsi="Cambria"/>
                <w:b/>
                <w:bCs/>
                <w:color w:val="000000"/>
                <w:sz w:val="18"/>
                <w:szCs w:val="18"/>
              </w:rPr>
              <w:t>Вид права:</w:t>
            </w:r>
          </w:p>
        </w:tc>
        <w:tc>
          <w:tcPr>
            <w:tcW w:w="0" w:type="auto"/>
            <w:tcBorders>
              <w:top w:val="single" w:sz="4" w:space="0" w:color="auto"/>
              <w:left w:val="nil"/>
              <w:bottom w:val="double" w:sz="4" w:space="0" w:color="auto"/>
              <w:right w:val="double" w:sz="4" w:space="0" w:color="auto"/>
            </w:tcBorders>
            <w:shd w:val="clear" w:color="auto" w:fill="auto"/>
            <w:vAlign w:val="center"/>
            <w:hideMark/>
          </w:tcPr>
          <w:p w:rsidR="00ED0361" w:rsidRPr="00ED0361" w:rsidRDefault="00ED0361" w:rsidP="00ED0361">
            <w:pPr>
              <w:jc w:val="center"/>
              <w:rPr>
                <w:rFonts w:ascii="Cambria" w:hAnsi="Cambria"/>
                <w:color w:val="000000"/>
                <w:sz w:val="18"/>
                <w:szCs w:val="18"/>
              </w:rPr>
            </w:pPr>
            <w:r w:rsidRPr="00ED0361">
              <w:rPr>
                <w:rFonts w:ascii="Cambria" w:hAnsi="Cambria"/>
                <w:color w:val="000000"/>
                <w:sz w:val="18"/>
                <w:szCs w:val="18"/>
              </w:rPr>
              <w:t>Собственность</w:t>
            </w:r>
          </w:p>
        </w:tc>
      </w:tr>
    </w:tbl>
    <w:p w:rsidR="00ED0361" w:rsidRPr="00ED0361" w:rsidRDefault="00ED0361" w:rsidP="00ED0361">
      <w:pPr>
        <w:ind w:firstLine="709"/>
        <w:jc w:val="both"/>
        <w:rPr>
          <w:rFonts w:asciiTheme="majorHAnsi" w:eastAsiaTheme="minorHAnsi" w:hAnsiTheme="majorHAnsi" w:cstheme="minorBidi"/>
          <w:b/>
          <w:sz w:val="18"/>
          <w:szCs w:val="18"/>
          <w:lang w:eastAsia="en-US"/>
        </w:rPr>
      </w:pPr>
    </w:p>
    <w:tbl>
      <w:tblPr>
        <w:tblW w:w="10307"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380"/>
        <w:gridCol w:w="1372"/>
        <w:gridCol w:w="1013"/>
        <w:gridCol w:w="1588"/>
        <w:gridCol w:w="801"/>
        <w:gridCol w:w="1326"/>
        <w:gridCol w:w="1417"/>
        <w:gridCol w:w="1276"/>
        <w:gridCol w:w="1134"/>
      </w:tblGrid>
      <w:tr w:rsidR="00ED0361" w:rsidRPr="00ED0361" w:rsidTr="00631C59">
        <w:trPr>
          <w:trHeight w:val="20"/>
          <w:jc w:val="center"/>
        </w:trPr>
        <w:tc>
          <w:tcPr>
            <w:tcW w:w="380" w:type="dxa"/>
            <w:shd w:val="clear" w:color="000000" w:fill="F2F2F2"/>
            <w:vAlign w:val="center"/>
            <w:hideMark/>
          </w:tcPr>
          <w:p w:rsidR="00ED0361" w:rsidRPr="00ED0361" w:rsidRDefault="00ED0361" w:rsidP="000B7405">
            <w:pPr>
              <w:ind w:left="-57" w:right="-112"/>
              <w:jc w:val="center"/>
              <w:rPr>
                <w:rFonts w:ascii="Cambria" w:hAnsi="Cambria"/>
                <w:b/>
                <w:bCs/>
                <w:color w:val="000000"/>
                <w:sz w:val="18"/>
                <w:szCs w:val="18"/>
              </w:rPr>
            </w:pPr>
            <w:r w:rsidRPr="00ED0361">
              <w:rPr>
                <w:rFonts w:ascii="Cambria" w:hAnsi="Cambria"/>
                <w:b/>
                <w:bCs/>
                <w:color w:val="000000"/>
                <w:sz w:val="18"/>
                <w:szCs w:val="18"/>
              </w:rPr>
              <w:t>№ п/п</w:t>
            </w:r>
          </w:p>
        </w:tc>
        <w:tc>
          <w:tcPr>
            <w:tcW w:w="1372" w:type="dxa"/>
            <w:shd w:val="clear" w:color="000000" w:fill="F2F2F2"/>
            <w:vAlign w:val="center"/>
            <w:hideMark/>
          </w:tcPr>
          <w:p w:rsidR="00ED0361" w:rsidRPr="00ED0361" w:rsidRDefault="00ED0361" w:rsidP="000B7405">
            <w:pPr>
              <w:ind w:left="-57" w:right="-112"/>
              <w:jc w:val="center"/>
              <w:rPr>
                <w:rFonts w:ascii="Cambria" w:hAnsi="Cambria"/>
                <w:b/>
                <w:bCs/>
                <w:color w:val="000000"/>
                <w:sz w:val="18"/>
                <w:szCs w:val="18"/>
              </w:rPr>
            </w:pPr>
            <w:r w:rsidRPr="00ED0361">
              <w:rPr>
                <w:rFonts w:ascii="Cambria" w:hAnsi="Cambria"/>
                <w:b/>
                <w:bCs/>
                <w:color w:val="000000"/>
                <w:sz w:val="18"/>
                <w:szCs w:val="18"/>
              </w:rPr>
              <w:t>Наименование объекта</w:t>
            </w:r>
          </w:p>
        </w:tc>
        <w:tc>
          <w:tcPr>
            <w:tcW w:w="1013" w:type="dxa"/>
            <w:shd w:val="clear" w:color="000000" w:fill="F2F2F2"/>
            <w:vAlign w:val="center"/>
            <w:hideMark/>
          </w:tcPr>
          <w:p w:rsidR="00ED0361" w:rsidRPr="00ED0361" w:rsidRDefault="00D84BD8" w:rsidP="000B7405">
            <w:pPr>
              <w:ind w:left="-57" w:right="-112"/>
              <w:jc w:val="center"/>
              <w:rPr>
                <w:rFonts w:ascii="Cambria" w:hAnsi="Cambria"/>
                <w:b/>
                <w:bCs/>
                <w:color w:val="000000"/>
                <w:sz w:val="18"/>
                <w:szCs w:val="18"/>
              </w:rPr>
            </w:pPr>
            <w:r>
              <w:rPr>
                <w:rFonts w:ascii="Cambria" w:hAnsi="Cambria"/>
                <w:b/>
                <w:bCs/>
                <w:color w:val="000000"/>
                <w:sz w:val="18"/>
                <w:szCs w:val="18"/>
              </w:rPr>
              <w:t>Этажность</w:t>
            </w:r>
          </w:p>
        </w:tc>
        <w:tc>
          <w:tcPr>
            <w:tcW w:w="1588" w:type="dxa"/>
            <w:shd w:val="clear" w:color="000000" w:fill="F2F2F2"/>
            <w:vAlign w:val="center"/>
            <w:hideMark/>
          </w:tcPr>
          <w:p w:rsidR="00ED0361" w:rsidRPr="00ED0361" w:rsidRDefault="00ED0361" w:rsidP="000B7405">
            <w:pPr>
              <w:ind w:left="-57" w:right="-112"/>
              <w:jc w:val="center"/>
              <w:rPr>
                <w:rFonts w:ascii="Cambria" w:hAnsi="Cambria"/>
                <w:b/>
                <w:bCs/>
                <w:color w:val="000000"/>
                <w:sz w:val="18"/>
                <w:szCs w:val="18"/>
              </w:rPr>
            </w:pPr>
            <w:r w:rsidRPr="00ED0361">
              <w:rPr>
                <w:rFonts w:ascii="Cambria" w:hAnsi="Cambria"/>
                <w:b/>
                <w:bCs/>
                <w:color w:val="000000"/>
                <w:sz w:val="18"/>
                <w:szCs w:val="18"/>
              </w:rPr>
              <w:t>Функциональное назначение</w:t>
            </w:r>
          </w:p>
        </w:tc>
        <w:tc>
          <w:tcPr>
            <w:tcW w:w="801" w:type="dxa"/>
            <w:shd w:val="clear" w:color="000000" w:fill="F2F2F2"/>
            <w:vAlign w:val="center"/>
            <w:hideMark/>
          </w:tcPr>
          <w:p w:rsidR="00ED0361" w:rsidRPr="00ED0361" w:rsidRDefault="00ED0361" w:rsidP="000B7405">
            <w:pPr>
              <w:ind w:left="-57" w:right="-112"/>
              <w:jc w:val="center"/>
              <w:rPr>
                <w:rFonts w:ascii="Cambria" w:hAnsi="Cambria"/>
                <w:b/>
                <w:bCs/>
                <w:color w:val="000000"/>
                <w:sz w:val="18"/>
                <w:szCs w:val="18"/>
              </w:rPr>
            </w:pPr>
            <w:r w:rsidRPr="00ED0361">
              <w:rPr>
                <w:rFonts w:ascii="Cambria" w:hAnsi="Cambria"/>
                <w:b/>
                <w:bCs/>
                <w:color w:val="000000"/>
                <w:sz w:val="18"/>
                <w:szCs w:val="18"/>
              </w:rPr>
              <w:t>Литеры</w:t>
            </w:r>
          </w:p>
        </w:tc>
        <w:tc>
          <w:tcPr>
            <w:tcW w:w="1326" w:type="dxa"/>
            <w:shd w:val="clear" w:color="000000" w:fill="F2F2F2"/>
            <w:vAlign w:val="center"/>
            <w:hideMark/>
          </w:tcPr>
          <w:p w:rsidR="00ED0361" w:rsidRPr="00ED0361" w:rsidRDefault="00ED0361" w:rsidP="000B7405">
            <w:pPr>
              <w:ind w:left="-57" w:right="-112"/>
              <w:jc w:val="center"/>
              <w:rPr>
                <w:rFonts w:ascii="Cambria" w:hAnsi="Cambria"/>
                <w:b/>
                <w:bCs/>
                <w:color w:val="000000"/>
                <w:sz w:val="18"/>
                <w:szCs w:val="18"/>
              </w:rPr>
            </w:pPr>
            <w:r w:rsidRPr="00ED0361">
              <w:rPr>
                <w:rFonts w:ascii="Cambria" w:hAnsi="Cambria"/>
                <w:b/>
                <w:bCs/>
                <w:color w:val="000000"/>
                <w:sz w:val="18"/>
                <w:szCs w:val="18"/>
              </w:rPr>
              <w:t xml:space="preserve">Кадастр. </w:t>
            </w:r>
            <w:r w:rsidR="00341263" w:rsidRPr="00341263">
              <w:rPr>
                <w:rFonts w:ascii="Cambria" w:hAnsi="Cambria"/>
                <w:b/>
                <w:bCs/>
                <w:color w:val="000000"/>
                <w:sz w:val="18"/>
                <w:szCs w:val="18"/>
              </w:rPr>
              <w:t xml:space="preserve">номер </w:t>
            </w:r>
            <w:r w:rsidR="00341263">
              <w:rPr>
                <w:rFonts w:ascii="Cambria" w:hAnsi="Cambria"/>
                <w:b/>
                <w:bCs/>
                <w:color w:val="000000"/>
                <w:sz w:val="18"/>
                <w:szCs w:val="18"/>
              </w:rPr>
              <w:t xml:space="preserve">согласно свид. о гос. регистрации </w:t>
            </w:r>
          </w:p>
        </w:tc>
        <w:tc>
          <w:tcPr>
            <w:tcW w:w="1417" w:type="dxa"/>
            <w:shd w:val="clear" w:color="000000" w:fill="F2F2F2"/>
            <w:vAlign w:val="center"/>
            <w:hideMark/>
          </w:tcPr>
          <w:p w:rsidR="00ED0361" w:rsidRPr="00ED0361" w:rsidRDefault="00ED0361" w:rsidP="000B7405">
            <w:pPr>
              <w:ind w:left="-57" w:right="-112"/>
              <w:jc w:val="center"/>
              <w:rPr>
                <w:rFonts w:ascii="Cambria" w:hAnsi="Cambria"/>
                <w:b/>
                <w:bCs/>
                <w:color w:val="000000"/>
                <w:sz w:val="18"/>
                <w:szCs w:val="18"/>
              </w:rPr>
            </w:pPr>
            <w:r w:rsidRPr="00ED0361">
              <w:rPr>
                <w:rFonts w:ascii="Cambria" w:hAnsi="Cambria"/>
                <w:b/>
                <w:bCs/>
                <w:color w:val="000000"/>
                <w:sz w:val="18"/>
                <w:szCs w:val="18"/>
              </w:rPr>
              <w:t>Обременения</w:t>
            </w:r>
          </w:p>
        </w:tc>
        <w:tc>
          <w:tcPr>
            <w:tcW w:w="1276" w:type="dxa"/>
            <w:shd w:val="clear" w:color="000000" w:fill="F2F2F2"/>
            <w:vAlign w:val="center"/>
            <w:hideMark/>
          </w:tcPr>
          <w:p w:rsidR="00ED0361" w:rsidRPr="00ED0361" w:rsidRDefault="00ED0361" w:rsidP="000B7405">
            <w:pPr>
              <w:ind w:left="-57" w:right="-112"/>
              <w:jc w:val="center"/>
              <w:rPr>
                <w:rFonts w:ascii="Cambria" w:hAnsi="Cambria"/>
                <w:b/>
                <w:bCs/>
                <w:color w:val="000000"/>
                <w:sz w:val="18"/>
                <w:szCs w:val="18"/>
              </w:rPr>
            </w:pPr>
            <w:r w:rsidRPr="00ED0361">
              <w:rPr>
                <w:rFonts w:ascii="Cambria" w:hAnsi="Cambria"/>
                <w:b/>
                <w:bCs/>
                <w:color w:val="000000"/>
                <w:sz w:val="18"/>
                <w:szCs w:val="18"/>
              </w:rPr>
              <w:t>№№ и дата свидетельства о гос. регистр. прав</w:t>
            </w:r>
          </w:p>
        </w:tc>
        <w:tc>
          <w:tcPr>
            <w:tcW w:w="1134" w:type="dxa"/>
            <w:shd w:val="clear" w:color="000000" w:fill="F2F2F2"/>
            <w:vAlign w:val="center"/>
            <w:hideMark/>
          </w:tcPr>
          <w:p w:rsidR="00ED0361" w:rsidRPr="00ED0361" w:rsidRDefault="00ED0361" w:rsidP="000B7405">
            <w:pPr>
              <w:ind w:left="-57" w:right="-112"/>
              <w:jc w:val="center"/>
              <w:rPr>
                <w:rFonts w:ascii="Cambria" w:hAnsi="Cambria"/>
                <w:b/>
                <w:bCs/>
                <w:color w:val="000000"/>
                <w:sz w:val="18"/>
                <w:szCs w:val="18"/>
              </w:rPr>
            </w:pPr>
            <w:r w:rsidRPr="00ED0361">
              <w:rPr>
                <w:rFonts w:ascii="Cambria" w:hAnsi="Cambria"/>
                <w:b/>
                <w:bCs/>
                <w:color w:val="000000"/>
                <w:sz w:val="18"/>
                <w:szCs w:val="18"/>
              </w:rPr>
              <w:t xml:space="preserve">Сведения о </w:t>
            </w:r>
            <w:r w:rsidR="00D84BD8">
              <w:rPr>
                <w:rFonts w:ascii="Cambria" w:hAnsi="Cambria"/>
                <w:b/>
                <w:bCs/>
                <w:color w:val="000000"/>
                <w:sz w:val="18"/>
                <w:szCs w:val="18"/>
              </w:rPr>
              <w:t>б</w:t>
            </w:r>
            <w:r w:rsidRPr="00ED0361">
              <w:rPr>
                <w:rFonts w:ascii="Cambria" w:hAnsi="Cambria"/>
                <w:b/>
                <w:bCs/>
                <w:color w:val="000000"/>
                <w:sz w:val="18"/>
                <w:szCs w:val="18"/>
              </w:rPr>
              <w:t>алансовой стоимость объекта</w:t>
            </w:r>
          </w:p>
        </w:tc>
      </w:tr>
      <w:tr w:rsidR="00D84BD8" w:rsidRPr="00ED0361" w:rsidTr="00631C59">
        <w:trPr>
          <w:trHeight w:val="20"/>
          <w:jc w:val="center"/>
        </w:trPr>
        <w:tc>
          <w:tcPr>
            <w:tcW w:w="380" w:type="dxa"/>
            <w:shd w:val="clear" w:color="auto" w:fill="auto"/>
            <w:vAlign w:val="center"/>
            <w:hideMark/>
          </w:tcPr>
          <w:p w:rsidR="00D84BD8" w:rsidRPr="00ED0361" w:rsidRDefault="00D84BD8" w:rsidP="000B7405">
            <w:pPr>
              <w:ind w:left="-57" w:right="-112"/>
              <w:jc w:val="center"/>
              <w:rPr>
                <w:rFonts w:ascii="Cambria" w:hAnsi="Cambria"/>
                <w:color w:val="000000"/>
                <w:sz w:val="18"/>
                <w:szCs w:val="18"/>
              </w:rPr>
            </w:pPr>
            <w:r w:rsidRPr="00ED0361">
              <w:rPr>
                <w:rFonts w:ascii="Cambria" w:hAnsi="Cambria"/>
                <w:color w:val="000000"/>
                <w:sz w:val="18"/>
                <w:szCs w:val="18"/>
              </w:rPr>
              <w:t>1</w:t>
            </w:r>
          </w:p>
        </w:tc>
        <w:tc>
          <w:tcPr>
            <w:tcW w:w="1372" w:type="dxa"/>
            <w:shd w:val="clear" w:color="auto" w:fill="auto"/>
            <w:vAlign w:val="center"/>
            <w:hideMark/>
          </w:tcPr>
          <w:p w:rsidR="00D84BD8" w:rsidRPr="00AC0C31" w:rsidRDefault="00AC0C31" w:rsidP="000B7405">
            <w:pPr>
              <w:ind w:left="-57" w:right="-112"/>
              <w:jc w:val="center"/>
              <w:rPr>
                <w:rFonts w:ascii="Cambria" w:hAnsi="Cambria"/>
                <w:color w:val="000000"/>
                <w:sz w:val="18"/>
                <w:szCs w:val="18"/>
              </w:rPr>
            </w:pPr>
            <w:r w:rsidRPr="00AC0C31">
              <w:rPr>
                <w:rFonts w:ascii="Cambria" w:hAnsi="Cambria"/>
                <w:color w:val="000000"/>
                <w:sz w:val="18"/>
                <w:szCs w:val="18"/>
              </w:rPr>
              <w:t>Нежилые строения (Производственный корпус)</w:t>
            </w:r>
          </w:p>
        </w:tc>
        <w:tc>
          <w:tcPr>
            <w:tcW w:w="1013" w:type="dxa"/>
            <w:shd w:val="clear" w:color="auto" w:fill="auto"/>
            <w:vAlign w:val="center"/>
            <w:hideMark/>
          </w:tcPr>
          <w:p w:rsidR="00D84BD8" w:rsidRPr="00ED0361" w:rsidRDefault="000C650E" w:rsidP="000B7405">
            <w:pPr>
              <w:ind w:left="-57" w:right="-112"/>
              <w:jc w:val="center"/>
              <w:rPr>
                <w:rFonts w:ascii="Cambria" w:hAnsi="Cambria"/>
                <w:color w:val="000000"/>
                <w:sz w:val="18"/>
                <w:szCs w:val="18"/>
              </w:rPr>
            </w:pPr>
            <w:r>
              <w:rPr>
                <w:rFonts w:ascii="Cambria" w:hAnsi="Cambria"/>
                <w:color w:val="000000"/>
                <w:sz w:val="18"/>
                <w:szCs w:val="18"/>
              </w:rPr>
              <w:t>1</w:t>
            </w:r>
          </w:p>
        </w:tc>
        <w:tc>
          <w:tcPr>
            <w:tcW w:w="1588" w:type="dxa"/>
            <w:shd w:val="clear" w:color="auto" w:fill="auto"/>
            <w:vAlign w:val="center"/>
            <w:hideMark/>
          </w:tcPr>
          <w:p w:rsidR="00D84BD8" w:rsidRPr="00ED0361" w:rsidRDefault="00D84BD8" w:rsidP="000B7405">
            <w:pPr>
              <w:ind w:left="-57" w:right="-112"/>
              <w:jc w:val="center"/>
              <w:rPr>
                <w:rFonts w:ascii="Cambria" w:hAnsi="Cambria"/>
                <w:color w:val="000000"/>
                <w:sz w:val="18"/>
                <w:szCs w:val="18"/>
              </w:rPr>
            </w:pPr>
            <w:r w:rsidRPr="00ED0361">
              <w:rPr>
                <w:rFonts w:ascii="Cambria" w:hAnsi="Cambria"/>
                <w:color w:val="000000"/>
                <w:sz w:val="18"/>
                <w:szCs w:val="18"/>
              </w:rPr>
              <w:t>Нежилое помещение</w:t>
            </w:r>
          </w:p>
        </w:tc>
        <w:tc>
          <w:tcPr>
            <w:tcW w:w="801" w:type="dxa"/>
            <w:shd w:val="clear" w:color="auto" w:fill="auto"/>
            <w:vAlign w:val="center"/>
            <w:hideMark/>
          </w:tcPr>
          <w:p w:rsidR="00D84BD8" w:rsidRPr="00ED0361" w:rsidRDefault="000C650E" w:rsidP="000B7405">
            <w:pPr>
              <w:ind w:left="-57" w:right="-112"/>
              <w:jc w:val="center"/>
              <w:rPr>
                <w:rFonts w:ascii="Cambria" w:hAnsi="Cambria"/>
                <w:color w:val="000000"/>
                <w:sz w:val="18"/>
                <w:szCs w:val="18"/>
              </w:rPr>
            </w:pPr>
            <w:r w:rsidRPr="000C650E">
              <w:rPr>
                <w:rFonts w:ascii="Cambria" w:hAnsi="Cambria"/>
                <w:color w:val="000000"/>
                <w:sz w:val="18"/>
                <w:szCs w:val="18"/>
              </w:rPr>
              <w:t>Б,б</w:t>
            </w:r>
          </w:p>
        </w:tc>
        <w:tc>
          <w:tcPr>
            <w:tcW w:w="1326" w:type="dxa"/>
            <w:shd w:val="clear" w:color="auto" w:fill="auto"/>
            <w:vAlign w:val="center"/>
            <w:hideMark/>
          </w:tcPr>
          <w:p w:rsidR="00D84BD8" w:rsidRPr="00ED0361" w:rsidRDefault="00D84BD8" w:rsidP="000B7405">
            <w:pPr>
              <w:ind w:left="-57" w:right="-112"/>
              <w:jc w:val="center"/>
              <w:rPr>
                <w:rFonts w:ascii="Cambria" w:hAnsi="Cambria"/>
                <w:color w:val="000000"/>
                <w:sz w:val="18"/>
                <w:szCs w:val="18"/>
              </w:rPr>
            </w:pPr>
            <w:r w:rsidRPr="00ED0361">
              <w:rPr>
                <w:rFonts w:ascii="Cambria" w:hAnsi="Cambria"/>
                <w:color w:val="000000"/>
                <w:sz w:val="18"/>
                <w:szCs w:val="18"/>
              </w:rPr>
              <w:t>3</w:t>
            </w:r>
            <w:r>
              <w:rPr>
                <w:rFonts w:ascii="Cambria" w:hAnsi="Cambria"/>
                <w:color w:val="000000"/>
                <w:sz w:val="18"/>
                <w:szCs w:val="18"/>
              </w:rPr>
              <w:t>1</w:t>
            </w:r>
            <w:r w:rsidR="000C650E">
              <w:rPr>
                <w:rFonts w:ascii="Cambria" w:hAnsi="Cambria"/>
                <w:color w:val="000000"/>
                <w:sz w:val="18"/>
                <w:szCs w:val="18"/>
              </w:rPr>
              <w:t>:</w:t>
            </w:r>
            <w:r>
              <w:rPr>
                <w:rFonts w:ascii="Cambria" w:hAnsi="Cambria"/>
                <w:color w:val="000000"/>
                <w:sz w:val="18"/>
                <w:szCs w:val="18"/>
              </w:rPr>
              <w:t>1</w:t>
            </w:r>
            <w:r w:rsidRPr="00ED0361">
              <w:rPr>
                <w:rFonts w:ascii="Cambria" w:hAnsi="Cambria"/>
                <w:color w:val="000000"/>
                <w:sz w:val="18"/>
                <w:szCs w:val="18"/>
              </w:rPr>
              <w:t>6</w:t>
            </w:r>
            <w:r w:rsidR="000C650E">
              <w:rPr>
                <w:rFonts w:ascii="Cambria" w:hAnsi="Cambria"/>
                <w:color w:val="000000"/>
                <w:sz w:val="18"/>
                <w:szCs w:val="18"/>
              </w:rPr>
              <w:t>:23:1</w:t>
            </w:r>
            <w:r>
              <w:rPr>
                <w:rFonts w:ascii="Cambria" w:hAnsi="Cambria"/>
                <w:color w:val="000000"/>
                <w:sz w:val="18"/>
                <w:szCs w:val="18"/>
              </w:rPr>
              <w:t xml:space="preserve"> /</w:t>
            </w:r>
            <w:r w:rsidR="000C650E">
              <w:rPr>
                <w:rFonts w:ascii="Cambria" w:hAnsi="Cambria"/>
                <w:color w:val="000000"/>
                <w:sz w:val="18"/>
                <w:szCs w:val="18"/>
              </w:rPr>
              <w:t>99</w:t>
            </w:r>
            <w:r>
              <w:rPr>
                <w:rFonts w:ascii="Cambria" w:hAnsi="Cambria"/>
                <w:color w:val="000000"/>
                <w:sz w:val="18"/>
                <w:szCs w:val="18"/>
              </w:rPr>
              <w:t>:</w:t>
            </w:r>
            <w:r w:rsidR="000C650E">
              <w:rPr>
                <w:rFonts w:ascii="Cambria" w:hAnsi="Cambria"/>
                <w:color w:val="000000"/>
                <w:sz w:val="18"/>
                <w:szCs w:val="18"/>
              </w:rPr>
              <w:t>37</w:t>
            </w:r>
          </w:p>
        </w:tc>
        <w:tc>
          <w:tcPr>
            <w:tcW w:w="1417" w:type="dxa"/>
            <w:shd w:val="clear" w:color="000000" w:fill="FFFFFF"/>
            <w:vAlign w:val="center"/>
            <w:hideMark/>
          </w:tcPr>
          <w:p w:rsidR="00D84BD8" w:rsidRPr="00ED0361" w:rsidRDefault="00D84BD8" w:rsidP="000B7405">
            <w:pPr>
              <w:ind w:left="-57" w:right="-112"/>
              <w:jc w:val="center"/>
              <w:rPr>
                <w:rFonts w:ascii="Cambria" w:hAnsi="Cambria"/>
                <w:color w:val="000000"/>
                <w:sz w:val="18"/>
                <w:szCs w:val="18"/>
              </w:rPr>
            </w:pPr>
            <w:r w:rsidRPr="00D84BD8">
              <w:rPr>
                <w:rFonts w:ascii="Cambria" w:hAnsi="Cambria"/>
                <w:color w:val="000000"/>
                <w:sz w:val="18"/>
                <w:szCs w:val="18"/>
              </w:rPr>
              <w:t>залог у ПАО «</w:t>
            </w:r>
            <w:r w:rsidR="000C650E">
              <w:rPr>
                <w:rFonts w:ascii="Cambria" w:hAnsi="Cambria"/>
                <w:color w:val="000000"/>
                <w:sz w:val="18"/>
                <w:szCs w:val="18"/>
              </w:rPr>
              <w:t>ВТБ</w:t>
            </w:r>
            <w:r w:rsidRPr="00D84BD8">
              <w:rPr>
                <w:rFonts w:ascii="Cambria" w:hAnsi="Cambria"/>
                <w:color w:val="000000"/>
                <w:sz w:val="18"/>
                <w:szCs w:val="18"/>
              </w:rPr>
              <w:t>»</w:t>
            </w:r>
          </w:p>
        </w:tc>
        <w:tc>
          <w:tcPr>
            <w:tcW w:w="1276" w:type="dxa"/>
            <w:shd w:val="clear" w:color="000000" w:fill="FFFFFF"/>
            <w:vAlign w:val="center"/>
            <w:hideMark/>
          </w:tcPr>
          <w:p w:rsidR="00D84BD8" w:rsidRPr="00ED0361" w:rsidRDefault="00D84BD8" w:rsidP="000B7405">
            <w:pPr>
              <w:ind w:left="-57" w:right="-112"/>
              <w:jc w:val="center"/>
              <w:rPr>
                <w:rFonts w:ascii="Cambria" w:hAnsi="Cambria"/>
                <w:color w:val="000000"/>
                <w:sz w:val="18"/>
                <w:szCs w:val="18"/>
              </w:rPr>
            </w:pPr>
            <w:r>
              <w:rPr>
                <w:rFonts w:ascii="Cambria" w:hAnsi="Cambria"/>
                <w:color w:val="000000"/>
                <w:sz w:val="18"/>
                <w:szCs w:val="18"/>
              </w:rPr>
              <w:t>31 №</w:t>
            </w:r>
            <w:r w:rsidR="000C650E">
              <w:rPr>
                <w:rFonts w:ascii="Cambria" w:hAnsi="Cambria"/>
                <w:color w:val="000000"/>
                <w:sz w:val="18"/>
                <w:szCs w:val="18"/>
              </w:rPr>
              <w:t>5738</w:t>
            </w:r>
            <w:r>
              <w:rPr>
                <w:rFonts w:ascii="Cambria" w:hAnsi="Cambria"/>
                <w:color w:val="000000"/>
                <w:sz w:val="18"/>
                <w:szCs w:val="18"/>
              </w:rPr>
              <w:t xml:space="preserve"> от </w:t>
            </w:r>
            <w:r w:rsidR="000C650E">
              <w:rPr>
                <w:rFonts w:ascii="Cambria" w:hAnsi="Cambria"/>
                <w:color w:val="000000"/>
                <w:sz w:val="18"/>
                <w:szCs w:val="18"/>
              </w:rPr>
              <w:t>04</w:t>
            </w:r>
            <w:r>
              <w:rPr>
                <w:rFonts w:ascii="Cambria" w:hAnsi="Cambria"/>
                <w:color w:val="000000"/>
                <w:sz w:val="18"/>
                <w:szCs w:val="18"/>
              </w:rPr>
              <w:t>.</w:t>
            </w:r>
            <w:r w:rsidR="000C650E">
              <w:rPr>
                <w:rFonts w:ascii="Cambria" w:hAnsi="Cambria"/>
                <w:color w:val="000000"/>
                <w:sz w:val="18"/>
                <w:szCs w:val="18"/>
              </w:rPr>
              <w:t>10</w:t>
            </w:r>
            <w:r>
              <w:rPr>
                <w:rFonts w:ascii="Cambria" w:hAnsi="Cambria"/>
                <w:color w:val="000000"/>
                <w:sz w:val="18"/>
                <w:szCs w:val="18"/>
              </w:rPr>
              <w:t>.</w:t>
            </w:r>
            <w:r w:rsidR="000C650E">
              <w:rPr>
                <w:rFonts w:ascii="Cambria" w:hAnsi="Cambria"/>
                <w:color w:val="000000"/>
                <w:sz w:val="18"/>
                <w:szCs w:val="18"/>
              </w:rPr>
              <w:t>1999</w:t>
            </w:r>
          </w:p>
        </w:tc>
        <w:tc>
          <w:tcPr>
            <w:tcW w:w="1134" w:type="dxa"/>
            <w:shd w:val="clear" w:color="auto" w:fill="auto"/>
            <w:vAlign w:val="center"/>
            <w:hideMark/>
          </w:tcPr>
          <w:p w:rsidR="00D84BD8" w:rsidRPr="00ED0361" w:rsidRDefault="00D84BD8" w:rsidP="000B7405">
            <w:pPr>
              <w:ind w:left="-57" w:right="-112"/>
              <w:jc w:val="center"/>
              <w:rPr>
                <w:rFonts w:ascii="Cambria" w:hAnsi="Cambria"/>
                <w:color w:val="000000"/>
                <w:sz w:val="18"/>
                <w:szCs w:val="18"/>
              </w:rPr>
            </w:pPr>
            <w:r w:rsidRPr="00ED0361">
              <w:rPr>
                <w:rFonts w:ascii="Cambria" w:hAnsi="Cambria"/>
                <w:color w:val="000000"/>
                <w:sz w:val="18"/>
                <w:szCs w:val="18"/>
              </w:rPr>
              <w:t>Отсутствует</w:t>
            </w:r>
          </w:p>
        </w:tc>
      </w:tr>
    </w:tbl>
    <w:p w:rsidR="00D84BD8" w:rsidRPr="00D84BD8" w:rsidRDefault="00D84BD8" w:rsidP="00D84BD8">
      <w:pPr>
        <w:ind w:firstLine="709"/>
        <w:jc w:val="both"/>
        <w:rPr>
          <w:rFonts w:asciiTheme="majorHAnsi" w:eastAsiaTheme="minorHAnsi" w:hAnsiTheme="majorHAnsi" w:cstheme="minorBidi"/>
          <w:b/>
          <w:sz w:val="20"/>
          <w:szCs w:val="22"/>
          <w:lang w:eastAsia="en-US"/>
        </w:rPr>
      </w:pPr>
    </w:p>
    <w:tbl>
      <w:tblPr>
        <w:tblW w:w="0" w:type="auto"/>
        <w:jc w:val="center"/>
        <w:tblLook w:val="04A0" w:firstRow="1" w:lastRow="0" w:firstColumn="1" w:lastColumn="0" w:noHBand="0" w:noVBand="1"/>
      </w:tblPr>
      <w:tblGrid>
        <w:gridCol w:w="2684"/>
        <w:gridCol w:w="5179"/>
      </w:tblGrid>
      <w:tr w:rsidR="00D84BD8" w:rsidRPr="00D84BD8" w:rsidTr="00FE5926">
        <w:trPr>
          <w:trHeight w:val="18"/>
          <w:jc w:val="center"/>
        </w:trPr>
        <w:tc>
          <w:tcPr>
            <w:tcW w:w="7863" w:type="dxa"/>
            <w:gridSpan w:val="2"/>
            <w:tcBorders>
              <w:top w:val="double" w:sz="4" w:space="0" w:color="auto"/>
              <w:left w:val="double" w:sz="4" w:space="0" w:color="auto"/>
              <w:bottom w:val="single" w:sz="4" w:space="0" w:color="auto"/>
              <w:right w:val="double" w:sz="4" w:space="0" w:color="auto"/>
            </w:tcBorders>
            <w:shd w:val="clear" w:color="000000" w:fill="F2F2F2"/>
            <w:vAlign w:val="center"/>
            <w:hideMark/>
          </w:tcPr>
          <w:p w:rsidR="00D84BD8" w:rsidRPr="00D84BD8" w:rsidRDefault="00D84BD8" w:rsidP="00D84BD8">
            <w:pPr>
              <w:jc w:val="center"/>
              <w:rPr>
                <w:rFonts w:asciiTheme="majorHAnsi" w:hAnsiTheme="majorHAnsi"/>
                <w:b/>
                <w:bCs/>
                <w:color w:val="000000"/>
                <w:sz w:val="18"/>
                <w:szCs w:val="18"/>
              </w:rPr>
            </w:pPr>
            <w:r w:rsidRPr="00D84BD8">
              <w:rPr>
                <w:rFonts w:asciiTheme="majorHAnsi" w:hAnsiTheme="majorHAnsi"/>
                <w:b/>
                <w:bCs/>
                <w:color w:val="000000"/>
                <w:sz w:val="18"/>
                <w:szCs w:val="18"/>
              </w:rPr>
              <w:t>Сведения о земельном участке</w:t>
            </w:r>
            <w:r w:rsidR="008F55C7">
              <w:rPr>
                <w:rFonts w:asciiTheme="majorHAnsi" w:hAnsiTheme="majorHAnsi"/>
                <w:b/>
                <w:bCs/>
                <w:color w:val="000000"/>
                <w:sz w:val="18"/>
                <w:szCs w:val="18"/>
              </w:rPr>
              <w:t xml:space="preserve"> на котором расположены ОКС производственного корпуса</w:t>
            </w:r>
          </w:p>
        </w:tc>
      </w:tr>
      <w:tr w:rsidR="00D84BD8" w:rsidRPr="00D84BD8" w:rsidTr="00FE5926">
        <w:trPr>
          <w:trHeight w:val="18"/>
          <w:jc w:val="center"/>
        </w:trPr>
        <w:tc>
          <w:tcPr>
            <w:tcW w:w="2684" w:type="dxa"/>
            <w:tcBorders>
              <w:top w:val="nil"/>
              <w:left w:val="double" w:sz="4" w:space="0" w:color="auto"/>
              <w:bottom w:val="single" w:sz="4" w:space="0" w:color="auto"/>
              <w:right w:val="single" w:sz="4" w:space="0" w:color="auto"/>
            </w:tcBorders>
            <w:shd w:val="clear" w:color="000000" w:fill="F2F2F2"/>
            <w:vAlign w:val="center"/>
            <w:hideMark/>
          </w:tcPr>
          <w:p w:rsidR="00D84BD8" w:rsidRPr="00D84BD8" w:rsidRDefault="00D84BD8" w:rsidP="00D84BD8">
            <w:pPr>
              <w:jc w:val="center"/>
              <w:rPr>
                <w:rFonts w:asciiTheme="majorHAnsi" w:hAnsiTheme="majorHAnsi"/>
                <w:color w:val="000000"/>
                <w:sz w:val="18"/>
                <w:szCs w:val="18"/>
              </w:rPr>
            </w:pPr>
            <w:r w:rsidRPr="00D84BD8">
              <w:rPr>
                <w:rFonts w:asciiTheme="majorHAnsi" w:hAnsiTheme="majorHAnsi"/>
                <w:b/>
                <w:bCs/>
                <w:color w:val="000000"/>
                <w:sz w:val="18"/>
                <w:szCs w:val="18"/>
              </w:rPr>
              <w:t>Адрес объекта оценки</w:t>
            </w:r>
          </w:p>
        </w:tc>
        <w:tc>
          <w:tcPr>
            <w:tcW w:w="5179" w:type="dxa"/>
            <w:tcBorders>
              <w:top w:val="single" w:sz="4" w:space="0" w:color="auto"/>
              <w:left w:val="nil"/>
              <w:bottom w:val="single" w:sz="4" w:space="0" w:color="auto"/>
              <w:right w:val="double" w:sz="4" w:space="0" w:color="auto"/>
            </w:tcBorders>
            <w:shd w:val="clear" w:color="000000" w:fill="FFFFFF"/>
            <w:vAlign w:val="center"/>
            <w:hideMark/>
          </w:tcPr>
          <w:p w:rsidR="00D84BD8" w:rsidRPr="00D84BD8" w:rsidRDefault="000C650E" w:rsidP="00D84BD8">
            <w:pPr>
              <w:jc w:val="center"/>
              <w:rPr>
                <w:rFonts w:asciiTheme="majorHAnsi" w:hAnsiTheme="majorHAnsi"/>
                <w:color w:val="000000"/>
                <w:sz w:val="18"/>
                <w:szCs w:val="18"/>
              </w:rPr>
            </w:pPr>
            <w:r w:rsidRPr="000C650E">
              <w:rPr>
                <w:rFonts w:asciiTheme="majorHAnsi" w:hAnsiTheme="majorHAnsi"/>
                <w:color w:val="000000"/>
                <w:sz w:val="18"/>
                <w:szCs w:val="18"/>
              </w:rPr>
              <w:t>Белгородская обл. г. Белгород, ул Мирная, 21</w:t>
            </w:r>
          </w:p>
        </w:tc>
      </w:tr>
      <w:tr w:rsidR="00FE5926" w:rsidRPr="00D84BD8" w:rsidTr="00FE5926">
        <w:trPr>
          <w:trHeight w:val="18"/>
          <w:jc w:val="center"/>
        </w:trPr>
        <w:tc>
          <w:tcPr>
            <w:tcW w:w="2684" w:type="dxa"/>
            <w:tcBorders>
              <w:top w:val="nil"/>
              <w:left w:val="double" w:sz="4" w:space="0" w:color="auto"/>
              <w:bottom w:val="single" w:sz="4" w:space="0" w:color="auto"/>
              <w:right w:val="single" w:sz="4" w:space="0" w:color="auto"/>
            </w:tcBorders>
            <w:shd w:val="clear" w:color="000000" w:fill="F2F2F2"/>
            <w:vAlign w:val="center"/>
            <w:hideMark/>
          </w:tcPr>
          <w:p w:rsidR="00FE5926" w:rsidRPr="00D84BD8" w:rsidRDefault="00FE5926" w:rsidP="00FE5926">
            <w:pPr>
              <w:jc w:val="center"/>
              <w:rPr>
                <w:rFonts w:asciiTheme="majorHAnsi" w:hAnsiTheme="majorHAnsi"/>
                <w:b/>
                <w:bCs/>
                <w:color w:val="000000"/>
                <w:sz w:val="18"/>
                <w:szCs w:val="18"/>
              </w:rPr>
            </w:pPr>
            <w:r w:rsidRPr="00D84BD8">
              <w:rPr>
                <w:rFonts w:asciiTheme="majorHAnsi" w:hAnsiTheme="majorHAnsi"/>
                <w:b/>
                <w:bCs/>
                <w:color w:val="000000"/>
                <w:sz w:val="18"/>
                <w:szCs w:val="18"/>
              </w:rPr>
              <w:t>Субъект права</w:t>
            </w:r>
          </w:p>
        </w:tc>
        <w:tc>
          <w:tcPr>
            <w:tcW w:w="5179" w:type="dxa"/>
            <w:tcBorders>
              <w:top w:val="single" w:sz="4" w:space="0" w:color="auto"/>
              <w:left w:val="nil"/>
              <w:bottom w:val="single" w:sz="4" w:space="0" w:color="auto"/>
              <w:right w:val="double" w:sz="4" w:space="0" w:color="auto"/>
            </w:tcBorders>
            <w:shd w:val="clear" w:color="000000" w:fill="FFFFFF"/>
            <w:vAlign w:val="center"/>
            <w:hideMark/>
          </w:tcPr>
          <w:p w:rsidR="00FE5926" w:rsidRPr="00ED0361" w:rsidRDefault="004F632A" w:rsidP="00FE5926">
            <w:pPr>
              <w:jc w:val="center"/>
              <w:rPr>
                <w:rFonts w:ascii="Cambria" w:hAnsi="Cambria"/>
                <w:color w:val="000000"/>
                <w:sz w:val="18"/>
                <w:szCs w:val="18"/>
              </w:rPr>
            </w:pPr>
            <w:r>
              <w:rPr>
                <w:rFonts w:ascii="Cambria" w:hAnsi="Cambria"/>
                <w:color w:val="000000"/>
                <w:sz w:val="18"/>
                <w:szCs w:val="18"/>
              </w:rPr>
              <w:t>Лаута Игорь Викторович</w:t>
            </w:r>
          </w:p>
        </w:tc>
      </w:tr>
      <w:tr w:rsidR="00FE5926" w:rsidRPr="00D84BD8" w:rsidTr="00FE5926">
        <w:trPr>
          <w:trHeight w:val="18"/>
          <w:jc w:val="center"/>
        </w:trPr>
        <w:tc>
          <w:tcPr>
            <w:tcW w:w="2684" w:type="dxa"/>
            <w:tcBorders>
              <w:top w:val="nil"/>
              <w:left w:val="double" w:sz="4" w:space="0" w:color="auto"/>
              <w:bottom w:val="double" w:sz="4" w:space="0" w:color="auto"/>
              <w:right w:val="single" w:sz="4" w:space="0" w:color="auto"/>
            </w:tcBorders>
            <w:shd w:val="clear" w:color="000000" w:fill="F2F2F2"/>
            <w:vAlign w:val="center"/>
            <w:hideMark/>
          </w:tcPr>
          <w:p w:rsidR="00FE5926" w:rsidRPr="00D84BD8" w:rsidRDefault="00FE5926" w:rsidP="00FE5926">
            <w:pPr>
              <w:jc w:val="center"/>
              <w:rPr>
                <w:rFonts w:asciiTheme="majorHAnsi" w:hAnsiTheme="majorHAnsi"/>
                <w:b/>
                <w:bCs/>
                <w:color w:val="000000"/>
                <w:sz w:val="18"/>
                <w:szCs w:val="18"/>
              </w:rPr>
            </w:pPr>
            <w:r w:rsidRPr="00D84BD8">
              <w:rPr>
                <w:rFonts w:asciiTheme="majorHAnsi" w:hAnsiTheme="majorHAnsi"/>
                <w:b/>
                <w:bCs/>
                <w:color w:val="000000"/>
                <w:sz w:val="18"/>
                <w:szCs w:val="18"/>
              </w:rPr>
              <w:t>Вид права</w:t>
            </w:r>
          </w:p>
        </w:tc>
        <w:tc>
          <w:tcPr>
            <w:tcW w:w="5179" w:type="dxa"/>
            <w:tcBorders>
              <w:top w:val="single" w:sz="4" w:space="0" w:color="auto"/>
              <w:left w:val="nil"/>
              <w:bottom w:val="double" w:sz="4" w:space="0" w:color="auto"/>
              <w:right w:val="double" w:sz="4" w:space="0" w:color="auto"/>
            </w:tcBorders>
            <w:shd w:val="clear" w:color="auto" w:fill="auto"/>
            <w:vAlign w:val="center"/>
            <w:hideMark/>
          </w:tcPr>
          <w:p w:rsidR="00FE5926" w:rsidRPr="00ED0361" w:rsidRDefault="008F55C7" w:rsidP="00FE5926">
            <w:pPr>
              <w:jc w:val="center"/>
              <w:rPr>
                <w:rFonts w:ascii="Cambria" w:hAnsi="Cambria"/>
                <w:color w:val="000000"/>
                <w:sz w:val="18"/>
                <w:szCs w:val="18"/>
              </w:rPr>
            </w:pPr>
            <w:r>
              <w:rPr>
                <w:rFonts w:ascii="Cambria" w:hAnsi="Cambria"/>
                <w:color w:val="000000"/>
                <w:sz w:val="18"/>
                <w:szCs w:val="18"/>
              </w:rPr>
              <w:t>Постоянное право бессрочного пользования</w:t>
            </w:r>
          </w:p>
        </w:tc>
      </w:tr>
    </w:tbl>
    <w:p w:rsidR="00D84BD8" w:rsidRPr="00D84BD8" w:rsidRDefault="00D84BD8" w:rsidP="00D84BD8">
      <w:pPr>
        <w:ind w:firstLine="709"/>
        <w:jc w:val="both"/>
        <w:rPr>
          <w:rFonts w:asciiTheme="majorHAnsi" w:eastAsiaTheme="minorHAnsi" w:hAnsiTheme="majorHAnsi" w:cstheme="minorBidi"/>
          <w:b/>
          <w:sz w:val="18"/>
          <w:szCs w:val="18"/>
          <w:lang w:eastAsia="en-US"/>
        </w:rPr>
      </w:pPr>
    </w:p>
    <w:tbl>
      <w:tblPr>
        <w:tblW w:w="10354"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349"/>
        <w:gridCol w:w="747"/>
        <w:gridCol w:w="1321"/>
        <w:gridCol w:w="1134"/>
        <w:gridCol w:w="1455"/>
        <w:gridCol w:w="1522"/>
        <w:gridCol w:w="1401"/>
        <w:gridCol w:w="1425"/>
      </w:tblGrid>
      <w:tr w:rsidR="00D84BD8" w:rsidRPr="00D84BD8" w:rsidTr="00FE5926">
        <w:trPr>
          <w:trHeight w:val="726"/>
        </w:trPr>
        <w:tc>
          <w:tcPr>
            <w:tcW w:w="1349" w:type="dxa"/>
            <w:shd w:val="clear" w:color="000000" w:fill="F2F2F2"/>
            <w:vAlign w:val="center"/>
            <w:hideMark/>
          </w:tcPr>
          <w:p w:rsidR="00D84BD8" w:rsidRPr="00D84BD8" w:rsidRDefault="00D84BD8" w:rsidP="00FE5926">
            <w:pPr>
              <w:ind w:left="-93" w:right="-90"/>
              <w:jc w:val="center"/>
              <w:rPr>
                <w:rFonts w:ascii="Cambria" w:hAnsi="Cambria"/>
                <w:b/>
                <w:bCs/>
                <w:color w:val="000000"/>
                <w:sz w:val="18"/>
                <w:szCs w:val="18"/>
              </w:rPr>
            </w:pPr>
            <w:r w:rsidRPr="00D84BD8">
              <w:rPr>
                <w:rFonts w:ascii="Cambria" w:hAnsi="Cambria"/>
                <w:b/>
                <w:bCs/>
                <w:color w:val="000000"/>
                <w:sz w:val="18"/>
                <w:szCs w:val="18"/>
              </w:rPr>
              <w:t>Адрес земельного участка</w:t>
            </w:r>
          </w:p>
        </w:tc>
        <w:tc>
          <w:tcPr>
            <w:tcW w:w="747" w:type="dxa"/>
            <w:shd w:val="clear" w:color="000000" w:fill="F2F2F2"/>
            <w:vAlign w:val="center"/>
            <w:hideMark/>
          </w:tcPr>
          <w:p w:rsidR="00D84BD8" w:rsidRPr="00D84BD8" w:rsidRDefault="00D84BD8" w:rsidP="00FE5926">
            <w:pPr>
              <w:ind w:left="-93" w:right="-90"/>
              <w:jc w:val="center"/>
              <w:rPr>
                <w:rFonts w:ascii="Cambria" w:hAnsi="Cambria"/>
                <w:b/>
                <w:bCs/>
                <w:color w:val="000000"/>
                <w:sz w:val="18"/>
                <w:szCs w:val="18"/>
              </w:rPr>
            </w:pPr>
            <w:r w:rsidRPr="00D84BD8">
              <w:rPr>
                <w:rFonts w:ascii="Cambria" w:hAnsi="Cambria"/>
                <w:b/>
                <w:bCs/>
                <w:color w:val="000000"/>
                <w:sz w:val="18"/>
                <w:szCs w:val="18"/>
              </w:rPr>
              <w:t>Размер (кв. м.)</w:t>
            </w:r>
          </w:p>
        </w:tc>
        <w:tc>
          <w:tcPr>
            <w:tcW w:w="1321" w:type="dxa"/>
            <w:shd w:val="clear" w:color="000000" w:fill="F2F2F2"/>
            <w:vAlign w:val="center"/>
            <w:hideMark/>
          </w:tcPr>
          <w:p w:rsidR="00D84BD8" w:rsidRPr="00D84BD8" w:rsidRDefault="00D84BD8" w:rsidP="00FE5926">
            <w:pPr>
              <w:ind w:left="-93" w:right="-90"/>
              <w:jc w:val="center"/>
              <w:rPr>
                <w:rFonts w:ascii="Cambria" w:hAnsi="Cambria"/>
                <w:b/>
                <w:bCs/>
                <w:color w:val="000000"/>
                <w:sz w:val="18"/>
                <w:szCs w:val="18"/>
              </w:rPr>
            </w:pPr>
            <w:r w:rsidRPr="00D84BD8">
              <w:rPr>
                <w:rFonts w:ascii="Cambria" w:hAnsi="Cambria"/>
                <w:b/>
                <w:bCs/>
                <w:color w:val="000000"/>
                <w:sz w:val="18"/>
                <w:szCs w:val="18"/>
              </w:rPr>
              <w:t>Кадастровый  номер</w:t>
            </w:r>
          </w:p>
        </w:tc>
        <w:tc>
          <w:tcPr>
            <w:tcW w:w="1134" w:type="dxa"/>
            <w:shd w:val="clear" w:color="000000" w:fill="F2F2F2"/>
            <w:vAlign w:val="center"/>
            <w:hideMark/>
          </w:tcPr>
          <w:p w:rsidR="00D84BD8" w:rsidRPr="00D84BD8" w:rsidRDefault="00D84BD8" w:rsidP="00FE5926">
            <w:pPr>
              <w:ind w:left="-93" w:right="-90"/>
              <w:jc w:val="center"/>
              <w:rPr>
                <w:rFonts w:ascii="Cambria" w:hAnsi="Cambria"/>
                <w:b/>
                <w:bCs/>
                <w:color w:val="000000"/>
                <w:sz w:val="18"/>
                <w:szCs w:val="18"/>
              </w:rPr>
            </w:pPr>
            <w:r w:rsidRPr="00D84BD8">
              <w:rPr>
                <w:rFonts w:ascii="Cambria" w:hAnsi="Cambria"/>
                <w:b/>
                <w:bCs/>
                <w:color w:val="000000"/>
                <w:sz w:val="18"/>
                <w:szCs w:val="18"/>
              </w:rPr>
              <w:t>Назначение</w:t>
            </w:r>
          </w:p>
        </w:tc>
        <w:tc>
          <w:tcPr>
            <w:tcW w:w="1455" w:type="dxa"/>
            <w:shd w:val="clear" w:color="000000" w:fill="F2F2F2"/>
            <w:vAlign w:val="center"/>
            <w:hideMark/>
          </w:tcPr>
          <w:p w:rsidR="00D84BD8" w:rsidRPr="00D84BD8" w:rsidRDefault="00D84BD8" w:rsidP="00FE5926">
            <w:pPr>
              <w:ind w:left="-93" w:right="-90"/>
              <w:jc w:val="center"/>
              <w:rPr>
                <w:rFonts w:ascii="Cambria" w:hAnsi="Cambria"/>
                <w:b/>
                <w:bCs/>
                <w:color w:val="000000"/>
                <w:sz w:val="18"/>
                <w:szCs w:val="18"/>
              </w:rPr>
            </w:pPr>
            <w:r w:rsidRPr="00D84BD8">
              <w:rPr>
                <w:rFonts w:ascii="Cambria" w:hAnsi="Cambria"/>
                <w:b/>
                <w:bCs/>
                <w:color w:val="000000"/>
                <w:sz w:val="18"/>
                <w:szCs w:val="18"/>
              </w:rPr>
              <w:t>Разрешенное использование</w:t>
            </w:r>
          </w:p>
        </w:tc>
        <w:tc>
          <w:tcPr>
            <w:tcW w:w="1522" w:type="dxa"/>
            <w:shd w:val="clear" w:color="000000" w:fill="F2F2F2"/>
            <w:vAlign w:val="center"/>
            <w:hideMark/>
          </w:tcPr>
          <w:p w:rsidR="00D84BD8" w:rsidRPr="00D84BD8" w:rsidRDefault="00D84BD8" w:rsidP="00FE5926">
            <w:pPr>
              <w:ind w:left="-93" w:right="-90"/>
              <w:jc w:val="center"/>
              <w:rPr>
                <w:rFonts w:ascii="Cambria" w:hAnsi="Cambria"/>
                <w:b/>
                <w:bCs/>
                <w:color w:val="000000"/>
                <w:sz w:val="18"/>
                <w:szCs w:val="18"/>
              </w:rPr>
            </w:pPr>
            <w:r w:rsidRPr="00D84BD8">
              <w:rPr>
                <w:rFonts w:ascii="Cambria" w:hAnsi="Cambria"/>
                <w:b/>
                <w:bCs/>
                <w:color w:val="000000"/>
                <w:sz w:val="18"/>
                <w:szCs w:val="18"/>
              </w:rPr>
              <w:t>Фактическое использование</w:t>
            </w:r>
          </w:p>
        </w:tc>
        <w:tc>
          <w:tcPr>
            <w:tcW w:w="1401" w:type="dxa"/>
            <w:shd w:val="clear" w:color="000000" w:fill="F2F2F2"/>
            <w:vAlign w:val="center"/>
            <w:hideMark/>
          </w:tcPr>
          <w:p w:rsidR="00D84BD8" w:rsidRPr="00D84BD8" w:rsidRDefault="00D84BD8" w:rsidP="00FE5926">
            <w:pPr>
              <w:ind w:left="-93" w:right="-90"/>
              <w:jc w:val="center"/>
              <w:rPr>
                <w:rFonts w:ascii="Cambria" w:hAnsi="Cambria"/>
                <w:b/>
                <w:bCs/>
                <w:color w:val="000000"/>
                <w:sz w:val="18"/>
                <w:szCs w:val="18"/>
              </w:rPr>
            </w:pPr>
            <w:r w:rsidRPr="00D84BD8">
              <w:rPr>
                <w:rFonts w:ascii="Cambria" w:hAnsi="Cambria"/>
                <w:b/>
                <w:bCs/>
                <w:color w:val="000000"/>
                <w:sz w:val="18"/>
                <w:szCs w:val="18"/>
              </w:rPr>
              <w:t>№№ и дата свидетельства о гос. регистр. прав</w:t>
            </w:r>
          </w:p>
        </w:tc>
        <w:tc>
          <w:tcPr>
            <w:tcW w:w="1425" w:type="dxa"/>
            <w:shd w:val="clear" w:color="000000" w:fill="F2F2F2"/>
            <w:vAlign w:val="center"/>
            <w:hideMark/>
          </w:tcPr>
          <w:p w:rsidR="00D84BD8" w:rsidRPr="00D84BD8" w:rsidRDefault="00D84BD8" w:rsidP="008F55C7">
            <w:pPr>
              <w:ind w:left="-93" w:right="-90"/>
              <w:jc w:val="center"/>
              <w:rPr>
                <w:rFonts w:ascii="Cambria" w:hAnsi="Cambria"/>
                <w:b/>
                <w:bCs/>
                <w:color w:val="000000"/>
                <w:sz w:val="18"/>
                <w:szCs w:val="18"/>
              </w:rPr>
            </w:pPr>
            <w:r w:rsidRPr="00D84BD8">
              <w:rPr>
                <w:rFonts w:ascii="Cambria" w:hAnsi="Cambria"/>
                <w:b/>
                <w:bCs/>
                <w:color w:val="000000"/>
                <w:sz w:val="18"/>
                <w:szCs w:val="18"/>
              </w:rPr>
              <w:t xml:space="preserve">№№ и дата </w:t>
            </w:r>
            <w:r w:rsidR="008F55C7">
              <w:rPr>
                <w:rFonts w:ascii="Cambria" w:hAnsi="Cambria"/>
                <w:b/>
                <w:bCs/>
                <w:color w:val="000000"/>
                <w:sz w:val="18"/>
                <w:szCs w:val="18"/>
              </w:rPr>
              <w:t>регистрации в Едином гос. реестре прав на недвиж. имущ.</w:t>
            </w:r>
          </w:p>
        </w:tc>
      </w:tr>
      <w:tr w:rsidR="00D84BD8" w:rsidRPr="00D84BD8" w:rsidTr="00FE5926">
        <w:trPr>
          <w:trHeight w:val="1082"/>
        </w:trPr>
        <w:tc>
          <w:tcPr>
            <w:tcW w:w="1349" w:type="dxa"/>
            <w:shd w:val="clear" w:color="auto" w:fill="auto"/>
            <w:vAlign w:val="center"/>
            <w:hideMark/>
          </w:tcPr>
          <w:p w:rsidR="00D84BD8" w:rsidRPr="00D84BD8" w:rsidRDefault="008F55C7" w:rsidP="00FE5926">
            <w:pPr>
              <w:ind w:left="-93" w:right="-90"/>
              <w:jc w:val="center"/>
              <w:rPr>
                <w:rFonts w:ascii="Cambria" w:hAnsi="Cambria"/>
                <w:color w:val="000000"/>
                <w:sz w:val="18"/>
                <w:szCs w:val="18"/>
              </w:rPr>
            </w:pPr>
            <w:r>
              <w:rPr>
                <w:rFonts w:ascii="Cambria" w:hAnsi="Cambria"/>
                <w:color w:val="000000"/>
                <w:sz w:val="18"/>
                <w:szCs w:val="18"/>
              </w:rPr>
              <w:t>Белгородская обл. г. Белгород, ул Мирная, 21</w:t>
            </w:r>
          </w:p>
        </w:tc>
        <w:tc>
          <w:tcPr>
            <w:tcW w:w="747" w:type="dxa"/>
            <w:shd w:val="clear" w:color="auto" w:fill="auto"/>
            <w:vAlign w:val="center"/>
            <w:hideMark/>
          </w:tcPr>
          <w:p w:rsidR="00D84BD8" w:rsidRPr="00D84BD8" w:rsidRDefault="008F55C7" w:rsidP="00FE5926">
            <w:pPr>
              <w:ind w:left="-93" w:right="-90"/>
              <w:jc w:val="center"/>
              <w:rPr>
                <w:rFonts w:ascii="Cambria" w:hAnsi="Cambria"/>
                <w:color w:val="000000"/>
                <w:sz w:val="18"/>
                <w:szCs w:val="18"/>
              </w:rPr>
            </w:pPr>
            <w:r>
              <w:rPr>
                <w:rFonts w:ascii="Cambria" w:hAnsi="Cambria"/>
                <w:color w:val="000000"/>
                <w:sz w:val="18"/>
                <w:szCs w:val="18"/>
              </w:rPr>
              <w:t>83276</w:t>
            </w:r>
          </w:p>
        </w:tc>
        <w:tc>
          <w:tcPr>
            <w:tcW w:w="1321" w:type="dxa"/>
            <w:shd w:val="clear" w:color="auto" w:fill="auto"/>
            <w:vAlign w:val="center"/>
            <w:hideMark/>
          </w:tcPr>
          <w:p w:rsidR="00D84BD8" w:rsidRPr="00D84BD8" w:rsidRDefault="00D84BD8" w:rsidP="008F55C7">
            <w:pPr>
              <w:ind w:left="-93" w:right="-90"/>
              <w:jc w:val="center"/>
              <w:rPr>
                <w:rFonts w:ascii="Cambria" w:hAnsi="Cambria"/>
                <w:color w:val="000000"/>
                <w:sz w:val="18"/>
                <w:szCs w:val="18"/>
              </w:rPr>
            </w:pPr>
            <w:r w:rsidRPr="00D84BD8">
              <w:rPr>
                <w:rFonts w:ascii="Cambria" w:hAnsi="Cambria"/>
                <w:color w:val="000000"/>
                <w:sz w:val="18"/>
                <w:szCs w:val="18"/>
              </w:rPr>
              <w:t>3</w:t>
            </w:r>
            <w:r w:rsidR="00FE5926">
              <w:rPr>
                <w:rFonts w:ascii="Cambria" w:hAnsi="Cambria"/>
                <w:color w:val="000000"/>
                <w:sz w:val="18"/>
                <w:szCs w:val="18"/>
              </w:rPr>
              <w:t>1</w:t>
            </w:r>
            <w:r w:rsidRPr="00D84BD8">
              <w:rPr>
                <w:rFonts w:ascii="Cambria" w:hAnsi="Cambria"/>
                <w:color w:val="000000"/>
                <w:sz w:val="18"/>
                <w:szCs w:val="18"/>
              </w:rPr>
              <w:t>:</w:t>
            </w:r>
            <w:r w:rsidR="00FE5926">
              <w:rPr>
                <w:rFonts w:ascii="Cambria" w:hAnsi="Cambria"/>
                <w:color w:val="000000"/>
                <w:sz w:val="18"/>
                <w:szCs w:val="18"/>
              </w:rPr>
              <w:t>16</w:t>
            </w:r>
            <w:r w:rsidRPr="00D84BD8">
              <w:rPr>
                <w:rFonts w:ascii="Cambria" w:hAnsi="Cambria"/>
                <w:color w:val="000000"/>
                <w:sz w:val="18"/>
                <w:szCs w:val="18"/>
              </w:rPr>
              <w:t>:</w:t>
            </w:r>
            <w:r w:rsidR="00FE5926">
              <w:rPr>
                <w:rFonts w:ascii="Cambria" w:hAnsi="Cambria"/>
                <w:color w:val="000000"/>
                <w:sz w:val="18"/>
                <w:szCs w:val="18"/>
              </w:rPr>
              <w:t>01</w:t>
            </w:r>
            <w:r w:rsidR="008F55C7">
              <w:rPr>
                <w:rFonts w:ascii="Cambria" w:hAnsi="Cambria"/>
                <w:color w:val="000000"/>
                <w:sz w:val="18"/>
                <w:szCs w:val="18"/>
              </w:rPr>
              <w:t xml:space="preserve"> 10 15</w:t>
            </w:r>
            <w:r w:rsidRPr="00D84BD8">
              <w:rPr>
                <w:rFonts w:ascii="Cambria" w:hAnsi="Cambria"/>
                <w:color w:val="000000"/>
                <w:sz w:val="18"/>
                <w:szCs w:val="18"/>
              </w:rPr>
              <w:t>:</w:t>
            </w:r>
            <w:r w:rsidR="008F55C7">
              <w:rPr>
                <w:rFonts w:ascii="Cambria" w:hAnsi="Cambria"/>
                <w:color w:val="000000"/>
                <w:sz w:val="18"/>
                <w:szCs w:val="18"/>
              </w:rPr>
              <w:t>0</w:t>
            </w:r>
            <w:r w:rsidR="00FE5926">
              <w:rPr>
                <w:rFonts w:ascii="Cambria" w:hAnsi="Cambria"/>
                <w:color w:val="000000"/>
                <w:sz w:val="18"/>
                <w:szCs w:val="18"/>
              </w:rPr>
              <w:t>4</w:t>
            </w:r>
          </w:p>
        </w:tc>
        <w:tc>
          <w:tcPr>
            <w:tcW w:w="1134" w:type="dxa"/>
            <w:shd w:val="clear" w:color="auto" w:fill="auto"/>
            <w:vAlign w:val="center"/>
            <w:hideMark/>
          </w:tcPr>
          <w:p w:rsidR="00D84BD8" w:rsidRPr="00D84BD8" w:rsidRDefault="00D84BD8" w:rsidP="00FE5926">
            <w:pPr>
              <w:ind w:left="-93" w:right="-90"/>
              <w:jc w:val="center"/>
              <w:rPr>
                <w:rFonts w:ascii="Cambria" w:hAnsi="Cambria"/>
                <w:color w:val="000000"/>
                <w:sz w:val="18"/>
                <w:szCs w:val="18"/>
              </w:rPr>
            </w:pPr>
            <w:r w:rsidRPr="00D84BD8">
              <w:rPr>
                <w:rFonts w:ascii="Cambria" w:hAnsi="Cambria"/>
                <w:color w:val="000000"/>
                <w:sz w:val="18"/>
                <w:szCs w:val="18"/>
              </w:rPr>
              <w:t>Земли населенных пунктов</w:t>
            </w:r>
          </w:p>
        </w:tc>
        <w:tc>
          <w:tcPr>
            <w:tcW w:w="1455" w:type="dxa"/>
            <w:shd w:val="clear" w:color="auto" w:fill="auto"/>
            <w:vAlign w:val="center"/>
            <w:hideMark/>
          </w:tcPr>
          <w:p w:rsidR="00D84BD8" w:rsidRPr="00D84BD8" w:rsidRDefault="00FE5926" w:rsidP="008F55C7">
            <w:pPr>
              <w:ind w:left="-93" w:right="-90"/>
              <w:jc w:val="center"/>
              <w:rPr>
                <w:rFonts w:ascii="Cambria" w:hAnsi="Cambria"/>
                <w:color w:val="000000"/>
                <w:sz w:val="18"/>
                <w:szCs w:val="18"/>
              </w:rPr>
            </w:pPr>
            <w:r>
              <w:rPr>
                <w:rFonts w:ascii="Cambria" w:hAnsi="Cambria"/>
                <w:color w:val="000000"/>
                <w:sz w:val="18"/>
                <w:szCs w:val="18"/>
              </w:rPr>
              <w:t xml:space="preserve">Для </w:t>
            </w:r>
            <w:r w:rsidR="008F55C7">
              <w:rPr>
                <w:rFonts w:ascii="Cambria" w:hAnsi="Cambria"/>
                <w:color w:val="000000"/>
                <w:sz w:val="18"/>
                <w:szCs w:val="18"/>
              </w:rPr>
              <w:t>производственной деятельности</w:t>
            </w:r>
          </w:p>
        </w:tc>
        <w:tc>
          <w:tcPr>
            <w:tcW w:w="1522" w:type="dxa"/>
            <w:shd w:val="clear" w:color="auto" w:fill="auto"/>
            <w:vAlign w:val="center"/>
            <w:hideMark/>
          </w:tcPr>
          <w:p w:rsidR="00D84BD8" w:rsidRPr="00D84BD8" w:rsidRDefault="00FE5926" w:rsidP="008F55C7">
            <w:pPr>
              <w:ind w:left="-93" w:right="-90"/>
              <w:jc w:val="center"/>
              <w:rPr>
                <w:rFonts w:ascii="Cambria" w:hAnsi="Cambria"/>
                <w:color w:val="000000"/>
                <w:sz w:val="18"/>
                <w:szCs w:val="18"/>
              </w:rPr>
            </w:pPr>
            <w:r>
              <w:rPr>
                <w:rFonts w:ascii="Cambria" w:hAnsi="Cambria"/>
                <w:color w:val="000000"/>
                <w:sz w:val="18"/>
                <w:szCs w:val="18"/>
              </w:rPr>
              <w:t>Э</w:t>
            </w:r>
            <w:r w:rsidRPr="00FE5926">
              <w:rPr>
                <w:rFonts w:ascii="Cambria" w:hAnsi="Cambria"/>
                <w:color w:val="000000"/>
                <w:sz w:val="18"/>
                <w:szCs w:val="18"/>
              </w:rPr>
              <w:t>ксплуатаци</w:t>
            </w:r>
            <w:r>
              <w:rPr>
                <w:rFonts w:ascii="Cambria" w:hAnsi="Cambria"/>
                <w:color w:val="000000"/>
                <w:sz w:val="18"/>
                <w:szCs w:val="18"/>
              </w:rPr>
              <w:t>я</w:t>
            </w:r>
            <w:r w:rsidRPr="00FE5926">
              <w:rPr>
                <w:rFonts w:ascii="Cambria" w:hAnsi="Cambria"/>
                <w:color w:val="000000"/>
                <w:sz w:val="18"/>
                <w:szCs w:val="18"/>
              </w:rPr>
              <w:t xml:space="preserve"> нежил</w:t>
            </w:r>
            <w:r w:rsidR="008F55C7">
              <w:rPr>
                <w:rFonts w:ascii="Cambria" w:hAnsi="Cambria"/>
                <w:color w:val="000000"/>
                <w:sz w:val="18"/>
                <w:szCs w:val="18"/>
              </w:rPr>
              <w:t>ых помещений производственного корпуса</w:t>
            </w:r>
          </w:p>
        </w:tc>
        <w:tc>
          <w:tcPr>
            <w:tcW w:w="1401" w:type="dxa"/>
            <w:shd w:val="clear" w:color="auto" w:fill="auto"/>
            <w:vAlign w:val="center"/>
            <w:hideMark/>
          </w:tcPr>
          <w:p w:rsidR="00D84BD8" w:rsidRPr="00D84BD8" w:rsidRDefault="008F55C7" w:rsidP="008F55C7">
            <w:pPr>
              <w:ind w:left="-93" w:right="-90"/>
              <w:jc w:val="center"/>
              <w:rPr>
                <w:rFonts w:ascii="Cambria" w:hAnsi="Cambria"/>
                <w:color w:val="000000"/>
                <w:sz w:val="18"/>
                <w:szCs w:val="18"/>
              </w:rPr>
            </w:pPr>
            <w:r>
              <w:rPr>
                <w:rFonts w:ascii="Cambria" w:hAnsi="Cambria"/>
                <w:color w:val="000000"/>
                <w:sz w:val="18"/>
                <w:szCs w:val="18"/>
              </w:rPr>
              <w:t xml:space="preserve">АА №0045660 от </w:t>
            </w:r>
          </w:p>
        </w:tc>
        <w:tc>
          <w:tcPr>
            <w:tcW w:w="1425" w:type="dxa"/>
            <w:shd w:val="clear" w:color="auto" w:fill="auto"/>
            <w:vAlign w:val="center"/>
            <w:hideMark/>
          </w:tcPr>
          <w:p w:rsidR="00D84BD8" w:rsidRPr="00D84BD8" w:rsidRDefault="008F55C7" w:rsidP="00FE5926">
            <w:pPr>
              <w:ind w:left="-93" w:right="-90"/>
              <w:jc w:val="center"/>
              <w:rPr>
                <w:rFonts w:ascii="Cambria" w:hAnsi="Cambria"/>
                <w:color w:val="000000"/>
                <w:sz w:val="18"/>
                <w:szCs w:val="18"/>
              </w:rPr>
            </w:pPr>
            <w:r>
              <w:rPr>
                <w:rFonts w:ascii="Cambria" w:hAnsi="Cambria"/>
                <w:color w:val="000000"/>
                <w:sz w:val="18"/>
                <w:szCs w:val="18"/>
              </w:rPr>
              <w:t>31-01/00-3/ 2000-2463.2 от 16.10.2000</w:t>
            </w:r>
          </w:p>
        </w:tc>
      </w:tr>
    </w:tbl>
    <w:p w:rsidR="008F55C7" w:rsidRPr="008F55C7" w:rsidRDefault="008F55C7" w:rsidP="000B7405">
      <w:pPr>
        <w:tabs>
          <w:tab w:val="left" w:pos="2925"/>
        </w:tabs>
        <w:spacing w:before="120" w:after="120"/>
        <w:ind w:firstLine="709"/>
        <w:jc w:val="both"/>
        <w:rPr>
          <w:rFonts w:ascii="Cambria" w:hAnsi="Cambria"/>
          <w:b/>
          <w:bCs/>
          <w:sz w:val="20"/>
          <w:szCs w:val="20"/>
        </w:rPr>
      </w:pPr>
      <w:r w:rsidRPr="008F55C7">
        <w:rPr>
          <w:rFonts w:ascii="Cambria" w:hAnsi="Cambria"/>
          <w:b/>
          <w:bCs/>
          <w:sz w:val="20"/>
          <w:szCs w:val="20"/>
        </w:rPr>
        <w:t>– административно-бытово</w:t>
      </w:r>
      <w:r>
        <w:rPr>
          <w:rFonts w:ascii="Cambria" w:hAnsi="Cambria"/>
          <w:b/>
          <w:bCs/>
          <w:sz w:val="20"/>
          <w:szCs w:val="20"/>
        </w:rPr>
        <w:t>й</w:t>
      </w:r>
      <w:r w:rsidRPr="008F55C7">
        <w:rPr>
          <w:rFonts w:ascii="Cambria" w:hAnsi="Cambria"/>
          <w:b/>
          <w:bCs/>
          <w:sz w:val="20"/>
          <w:szCs w:val="20"/>
        </w:rPr>
        <w:t xml:space="preserve"> комплекс</w:t>
      </w:r>
    </w:p>
    <w:tbl>
      <w:tblPr>
        <w:tblW w:w="0" w:type="auto"/>
        <w:jc w:val="center"/>
        <w:tblLook w:val="04A0" w:firstRow="1" w:lastRow="0" w:firstColumn="1" w:lastColumn="0" w:noHBand="0" w:noVBand="1"/>
      </w:tblPr>
      <w:tblGrid>
        <w:gridCol w:w="3549"/>
        <w:gridCol w:w="6632"/>
      </w:tblGrid>
      <w:tr w:rsidR="008F55C7" w:rsidTr="008F55C7">
        <w:trPr>
          <w:trHeight w:val="20"/>
          <w:jc w:val="center"/>
        </w:trPr>
        <w:tc>
          <w:tcPr>
            <w:tcW w:w="0" w:type="auto"/>
            <w:gridSpan w:val="2"/>
            <w:tcBorders>
              <w:top w:val="double" w:sz="4" w:space="0" w:color="auto"/>
              <w:left w:val="double" w:sz="4" w:space="0" w:color="auto"/>
              <w:bottom w:val="single" w:sz="4" w:space="0" w:color="auto"/>
              <w:right w:val="double" w:sz="4" w:space="0" w:color="auto"/>
            </w:tcBorders>
            <w:shd w:val="clear" w:color="auto" w:fill="F2F2F2" w:themeFill="background1" w:themeFillShade="F2"/>
            <w:vAlign w:val="center"/>
            <w:hideMark/>
          </w:tcPr>
          <w:p w:rsidR="008F55C7" w:rsidRDefault="008F55C7">
            <w:pPr>
              <w:spacing w:line="276" w:lineRule="auto"/>
              <w:jc w:val="center"/>
              <w:rPr>
                <w:rFonts w:ascii="Cambria" w:hAnsi="Cambria"/>
                <w:b/>
                <w:bCs/>
                <w:color w:val="000000"/>
                <w:sz w:val="18"/>
                <w:szCs w:val="18"/>
                <w:lang w:eastAsia="en-US"/>
              </w:rPr>
            </w:pPr>
            <w:r>
              <w:rPr>
                <w:rFonts w:ascii="Cambria" w:hAnsi="Cambria"/>
                <w:b/>
                <w:bCs/>
                <w:color w:val="000000"/>
                <w:sz w:val="18"/>
                <w:szCs w:val="18"/>
                <w:lang w:eastAsia="en-US"/>
              </w:rPr>
              <w:t>Общая информация, идентифицирующая объект недвижимости – нежилые строения производственного корпуса</w:t>
            </w:r>
          </w:p>
        </w:tc>
      </w:tr>
      <w:tr w:rsidR="008F55C7" w:rsidTr="008F55C7">
        <w:trPr>
          <w:trHeight w:val="20"/>
          <w:jc w:val="center"/>
        </w:trPr>
        <w:tc>
          <w:tcPr>
            <w:tcW w:w="0" w:type="auto"/>
            <w:tcBorders>
              <w:top w:val="nil"/>
              <w:left w:val="double" w:sz="4" w:space="0" w:color="auto"/>
              <w:bottom w:val="single" w:sz="4" w:space="0" w:color="auto"/>
              <w:right w:val="single" w:sz="4" w:space="0" w:color="auto"/>
            </w:tcBorders>
            <w:shd w:val="clear" w:color="auto" w:fill="F2F2F2"/>
            <w:vAlign w:val="center"/>
            <w:hideMark/>
          </w:tcPr>
          <w:p w:rsidR="008F55C7" w:rsidRDefault="008F55C7">
            <w:pPr>
              <w:spacing w:line="276" w:lineRule="auto"/>
              <w:jc w:val="center"/>
              <w:rPr>
                <w:rFonts w:ascii="Cambria" w:hAnsi="Cambria"/>
                <w:b/>
                <w:bCs/>
                <w:color w:val="000000"/>
                <w:sz w:val="18"/>
                <w:szCs w:val="18"/>
                <w:lang w:eastAsia="en-US"/>
              </w:rPr>
            </w:pPr>
            <w:r>
              <w:rPr>
                <w:rFonts w:ascii="Cambria" w:hAnsi="Cambria"/>
                <w:b/>
                <w:bCs/>
                <w:color w:val="000000"/>
                <w:sz w:val="18"/>
                <w:szCs w:val="18"/>
                <w:lang w:eastAsia="en-US"/>
              </w:rPr>
              <w:t>Адрес объекта оценки</w:t>
            </w:r>
          </w:p>
        </w:tc>
        <w:tc>
          <w:tcPr>
            <w:tcW w:w="0" w:type="auto"/>
            <w:tcBorders>
              <w:top w:val="single" w:sz="4" w:space="0" w:color="auto"/>
              <w:left w:val="nil"/>
              <w:bottom w:val="single" w:sz="4" w:space="0" w:color="auto"/>
              <w:right w:val="double" w:sz="4" w:space="0" w:color="auto"/>
            </w:tcBorders>
            <w:vAlign w:val="center"/>
            <w:hideMark/>
          </w:tcPr>
          <w:p w:rsidR="008F55C7" w:rsidRDefault="000B7405">
            <w:pPr>
              <w:spacing w:line="276" w:lineRule="auto"/>
              <w:jc w:val="center"/>
              <w:rPr>
                <w:rFonts w:ascii="Cambria" w:hAnsi="Cambria"/>
                <w:color w:val="000000"/>
                <w:lang w:eastAsia="en-US"/>
              </w:rPr>
            </w:pPr>
            <w:r w:rsidRPr="000B7405">
              <w:rPr>
                <w:rFonts w:ascii="Cambria" w:hAnsi="Cambria"/>
                <w:color w:val="000000"/>
                <w:sz w:val="18"/>
                <w:szCs w:val="18"/>
                <w:lang w:eastAsia="en-US"/>
              </w:rPr>
              <w:t>Белгородская обл. г. Белгород, ул Сумская, 168</w:t>
            </w:r>
          </w:p>
        </w:tc>
      </w:tr>
      <w:tr w:rsidR="008F55C7" w:rsidTr="008F55C7">
        <w:trPr>
          <w:trHeight w:val="20"/>
          <w:jc w:val="center"/>
        </w:trPr>
        <w:tc>
          <w:tcPr>
            <w:tcW w:w="0" w:type="auto"/>
            <w:tcBorders>
              <w:top w:val="nil"/>
              <w:left w:val="double" w:sz="4" w:space="0" w:color="auto"/>
              <w:bottom w:val="single" w:sz="4" w:space="0" w:color="auto"/>
              <w:right w:val="single" w:sz="4" w:space="0" w:color="auto"/>
            </w:tcBorders>
            <w:shd w:val="clear" w:color="auto" w:fill="F2F2F2"/>
            <w:vAlign w:val="center"/>
            <w:hideMark/>
          </w:tcPr>
          <w:p w:rsidR="008F55C7" w:rsidRDefault="008F55C7">
            <w:pPr>
              <w:spacing w:line="276" w:lineRule="auto"/>
              <w:jc w:val="center"/>
              <w:rPr>
                <w:rFonts w:ascii="Cambria" w:hAnsi="Cambria"/>
                <w:b/>
                <w:bCs/>
                <w:color w:val="000000"/>
                <w:sz w:val="18"/>
                <w:szCs w:val="18"/>
                <w:lang w:eastAsia="en-US"/>
              </w:rPr>
            </w:pPr>
            <w:r>
              <w:rPr>
                <w:rFonts w:ascii="Cambria" w:hAnsi="Cambria"/>
                <w:b/>
                <w:bCs/>
                <w:color w:val="000000"/>
                <w:sz w:val="18"/>
                <w:szCs w:val="18"/>
                <w:lang w:eastAsia="en-US"/>
              </w:rPr>
              <w:t>Собственник:</w:t>
            </w:r>
          </w:p>
        </w:tc>
        <w:tc>
          <w:tcPr>
            <w:tcW w:w="0" w:type="auto"/>
            <w:tcBorders>
              <w:top w:val="single" w:sz="4" w:space="0" w:color="auto"/>
              <w:left w:val="nil"/>
              <w:bottom w:val="single" w:sz="4" w:space="0" w:color="auto"/>
              <w:right w:val="double" w:sz="4" w:space="0" w:color="auto"/>
            </w:tcBorders>
            <w:shd w:val="clear" w:color="auto" w:fill="FFFFFF"/>
            <w:vAlign w:val="center"/>
            <w:hideMark/>
          </w:tcPr>
          <w:p w:rsidR="008F55C7" w:rsidRDefault="004F632A">
            <w:pPr>
              <w:spacing w:line="276" w:lineRule="auto"/>
              <w:jc w:val="center"/>
              <w:rPr>
                <w:rFonts w:ascii="Cambria" w:hAnsi="Cambria"/>
                <w:color w:val="000000"/>
                <w:sz w:val="18"/>
                <w:szCs w:val="18"/>
                <w:lang w:eastAsia="en-US"/>
              </w:rPr>
            </w:pPr>
            <w:r>
              <w:rPr>
                <w:rFonts w:ascii="Cambria" w:hAnsi="Cambria"/>
                <w:color w:val="000000"/>
                <w:sz w:val="18"/>
                <w:szCs w:val="18"/>
              </w:rPr>
              <w:t>Лаута Игорь Викторович</w:t>
            </w:r>
          </w:p>
        </w:tc>
      </w:tr>
      <w:tr w:rsidR="008F55C7" w:rsidTr="008F55C7">
        <w:trPr>
          <w:trHeight w:val="20"/>
          <w:jc w:val="center"/>
        </w:trPr>
        <w:tc>
          <w:tcPr>
            <w:tcW w:w="0" w:type="auto"/>
            <w:tcBorders>
              <w:top w:val="nil"/>
              <w:left w:val="double" w:sz="4" w:space="0" w:color="auto"/>
              <w:bottom w:val="double" w:sz="4" w:space="0" w:color="auto"/>
              <w:right w:val="single" w:sz="4" w:space="0" w:color="auto"/>
            </w:tcBorders>
            <w:shd w:val="clear" w:color="auto" w:fill="F2F2F2"/>
            <w:vAlign w:val="center"/>
            <w:hideMark/>
          </w:tcPr>
          <w:p w:rsidR="008F55C7" w:rsidRDefault="008F55C7">
            <w:pPr>
              <w:spacing w:line="276" w:lineRule="auto"/>
              <w:jc w:val="center"/>
              <w:rPr>
                <w:rFonts w:ascii="Cambria" w:hAnsi="Cambria"/>
                <w:b/>
                <w:bCs/>
                <w:color w:val="000000"/>
                <w:sz w:val="18"/>
                <w:szCs w:val="18"/>
                <w:lang w:eastAsia="en-US"/>
              </w:rPr>
            </w:pPr>
            <w:r>
              <w:rPr>
                <w:rFonts w:ascii="Cambria" w:hAnsi="Cambria"/>
                <w:b/>
                <w:bCs/>
                <w:color w:val="000000"/>
                <w:sz w:val="18"/>
                <w:szCs w:val="18"/>
                <w:lang w:eastAsia="en-US"/>
              </w:rPr>
              <w:t>Вид права:</w:t>
            </w:r>
          </w:p>
        </w:tc>
        <w:tc>
          <w:tcPr>
            <w:tcW w:w="0" w:type="auto"/>
            <w:tcBorders>
              <w:top w:val="single" w:sz="4" w:space="0" w:color="auto"/>
              <w:left w:val="nil"/>
              <w:bottom w:val="double" w:sz="4" w:space="0" w:color="auto"/>
              <w:right w:val="double" w:sz="4" w:space="0" w:color="auto"/>
            </w:tcBorders>
            <w:vAlign w:val="center"/>
            <w:hideMark/>
          </w:tcPr>
          <w:p w:rsidR="008F55C7" w:rsidRDefault="008F55C7">
            <w:pPr>
              <w:spacing w:line="276" w:lineRule="auto"/>
              <w:jc w:val="center"/>
              <w:rPr>
                <w:rFonts w:ascii="Cambria" w:hAnsi="Cambria"/>
                <w:color w:val="000000"/>
                <w:sz w:val="18"/>
                <w:szCs w:val="18"/>
                <w:lang w:eastAsia="en-US"/>
              </w:rPr>
            </w:pPr>
            <w:r>
              <w:rPr>
                <w:rFonts w:ascii="Cambria" w:hAnsi="Cambria"/>
                <w:color w:val="000000"/>
                <w:sz w:val="18"/>
                <w:szCs w:val="18"/>
                <w:lang w:eastAsia="en-US"/>
              </w:rPr>
              <w:t>Собственность</w:t>
            </w:r>
          </w:p>
        </w:tc>
      </w:tr>
    </w:tbl>
    <w:p w:rsidR="008F55C7" w:rsidRDefault="008F55C7" w:rsidP="008F55C7">
      <w:pPr>
        <w:ind w:firstLine="709"/>
        <w:jc w:val="both"/>
        <w:rPr>
          <w:rFonts w:asciiTheme="majorHAnsi" w:eastAsiaTheme="minorHAnsi" w:hAnsiTheme="majorHAnsi" w:cstheme="minorBidi"/>
          <w:b/>
          <w:sz w:val="18"/>
          <w:szCs w:val="18"/>
          <w:lang w:eastAsia="en-US"/>
        </w:rPr>
      </w:pPr>
    </w:p>
    <w:tbl>
      <w:tblPr>
        <w:tblW w:w="10307"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380"/>
        <w:gridCol w:w="1656"/>
        <w:gridCol w:w="992"/>
        <w:gridCol w:w="1559"/>
        <w:gridCol w:w="709"/>
        <w:gridCol w:w="1276"/>
        <w:gridCol w:w="1325"/>
        <w:gridCol w:w="1276"/>
        <w:gridCol w:w="1134"/>
      </w:tblGrid>
      <w:tr w:rsidR="000B7405" w:rsidTr="000B7405">
        <w:trPr>
          <w:trHeight w:val="20"/>
          <w:jc w:val="center"/>
        </w:trPr>
        <w:tc>
          <w:tcPr>
            <w:tcW w:w="380" w:type="dxa"/>
            <w:tcBorders>
              <w:top w:val="double" w:sz="4" w:space="0" w:color="auto"/>
              <w:left w:val="double" w:sz="4" w:space="0" w:color="auto"/>
              <w:bottom w:val="single" w:sz="4" w:space="0" w:color="auto"/>
              <w:right w:val="single" w:sz="4" w:space="0" w:color="auto"/>
            </w:tcBorders>
            <w:shd w:val="clear" w:color="auto" w:fill="F2F2F2"/>
            <w:vAlign w:val="center"/>
            <w:hideMark/>
          </w:tcPr>
          <w:p w:rsidR="008F55C7" w:rsidRDefault="008F55C7" w:rsidP="000B7405">
            <w:pPr>
              <w:spacing w:line="276" w:lineRule="auto"/>
              <w:ind w:left="-199" w:right="-139"/>
              <w:jc w:val="center"/>
              <w:rPr>
                <w:rFonts w:ascii="Cambria" w:hAnsi="Cambria"/>
                <w:b/>
                <w:bCs/>
                <w:color w:val="000000"/>
                <w:sz w:val="18"/>
                <w:szCs w:val="18"/>
                <w:lang w:eastAsia="en-US"/>
              </w:rPr>
            </w:pPr>
            <w:r>
              <w:rPr>
                <w:rFonts w:ascii="Cambria" w:hAnsi="Cambria"/>
                <w:b/>
                <w:bCs/>
                <w:color w:val="000000"/>
                <w:sz w:val="18"/>
                <w:szCs w:val="18"/>
                <w:lang w:eastAsia="en-US"/>
              </w:rPr>
              <w:t>№ п/п</w:t>
            </w:r>
          </w:p>
        </w:tc>
        <w:tc>
          <w:tcPr>
            <w:tcW w:w="1656"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8F55C7" w:rsidRDefault="008F55C7" w:rsidP="000B7405">
            <w:pPr>
              <w:spacing w:line="276" w:lineRule="auto"/>
              <w:ind w:left="-199" w:right="-139"/>
              <w:jc w:val="center"/>
              <w:rPr>
                <w:rFonts w:ascii="Cambria" w:hAnsi="Cambria"/>
                <w:b/>
                <w:bCs/>
                <w:color w:val="000000"/>
                <w:sz w:val="18"/>
                <w:szCs w:val="18"/>
                <w:lang w:eastAsia="en-US"/>
              </w:rPr>
            </w:pPr>
            <w:r>
              <w:rPr>
                <w:rFonts w:ascii="Cambria" w:hAnsi="Cambria"/>
                <w:b/>
                <w:bCs/>
                <w:color w:val="000000"/>
                <w:sz w:val="18"/>
                <w:szCs w:val="18"/>
                <w:lang w:eastAsia="en-US"/>
              </w:rPr>
              <w:t>Наименование объекта</w:t>
            </w:r>
          </w:p>
        </w:tc>
        <w:tc>
          <w:tcPr>
            <w:tcW w:w="992"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8F55C7" w:rsidRDefault="008F55C7" w:rsidP="000B7405">
            <w:pPr>
              <w:spacing w:line="276" w:lineRule="auto"/>
              <w:ind w:left="-199" w:right="-139"/>
              <w:jc w:val="center"/>
              <w:rPr>
                <w:rFonts w:ascii="Cambria" w:hAnsi="Cambria"/>
                <w:b/>
                <w:bCs/>
                <w:color w:val="000000"/>
                <w:sz w:val="18"/>
                <w:szCs w:val="18"/>
                <w:lang w:eastAsia="en-US"/>
              </w:rPr>
            </w:pPr>
            <w:r>
              <w:rPr>
                <w:rFonts w:ascii="Cambria" w:hAnsi="Cambria"/>
                <w:b/>
                <w:bCs/>
                <w:color w:val="000000"/>
                <w:sz w:val="18"/>
                <w:szCs w:val="18"/>
                <w:lang w:eastAsia="en-US"/>
              </w:rPr>
              <w:t>Этажность</w:t>
            </w:r>
          </w:p>
        </w:tc>
        <w:tc>
          <w:tcPr>
            <w:tcW w:w="1559"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8F55C7" w:rsidRDefault="008F55C7" w:rsidP="000B7405">
            <w:pPr>
              <w:spacing w:line="276" w:lineRule="auto"/>
              <w:ind w:left="-199" w:right="-139"/>
              <w:jc w:val="center"/>
              <w:rPr>
                <w:rFonts w:ascii="Cambria" w:hAnsi="Cambria"/>
                <w:b/>
                <w:bCs/>
                <w:color w:val="000000"/>
                <w:sz w:val="18"/>
                <w:szCs w:val="18"/>
                <w:lang w:eastAsia="en-US"/>
              </w:rPr>
            </w:pPr>
            <w:r>
              <w:rPr>
                <w:rFonts w:ascii="Cambria" w:hAnsi="Cambria"/>
                <w:b/>
                <w:bCs/>
                <w:color w:val="000000"/>
                <w:sz w:val="18"/>
                <w:szCs w:val="18"/>
                <w:lang w:eastAsia="en-US"/>
              </w:rPr>
              <w:t>Функциональное назначение</w:t>
            </w:r>
          </w:p>
        </w:tc>
        <w:tc>
          <w:tcPr>
            <w:tcW w:w="709"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8F55C7" w:rsidRDefault="008F55C7" w:rsidP="000B7405">
            <w:pPr>
              <w:spacing w:line="276" w:lineRule="auto"/>
              <w:ind w:left="-199" w:right="-139"/>
              <w:jc w:val="center"/>
              <w:rPr>
                <w:rFonts w:ascii="Cambria" w:hAnsi="Cambria"/>
                <w:b/>
                <w:bCs/>
                <w:color w:val="000000"/>
                <w:sz w:val="18"/>
                <w:szCs w:val="18"/>
                <w:lang w:eastAsia="en-US"/>
              </w:rPr>
            </w:pPr>
            <w:r>
              <w:rPr>
                <w:rFonts w:ascii="Cambria" w:hAnsi="Cambria"/>
                <w:b/>
                <w:bCs/>
                <w:color w:val="000000"/>
                <w:sz w:val="18"/>
                <w:szCs w:val="18"/>
                <w:lang w:eastAsia="en-US"/>
              </w:rPr>
              <w:t>Литеры</w:t>
            </w:r>
          </w:p>
        </w:tc>
        <w:tc>
          <w:tcPr>
            <w:tcW w:w="1276"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8F55C7" w:rsidRDefault="008F55C7" w:rsidP="000B7405">
            <w:pPr>
              <w:spacing w:line="276" w:lineRule="auto"/>
              <w:ind w:left="-108" w:right="-139"/>
              <w:jc w:val="center"/>
              <w:rPr>
                <w:rFonts w:ascii="Cambria" w:hAnsi="Cambria"/>
                <w:b/>
                <w:bCs/>
                <w:color w:val="000000"/>
                <w:sz w:val="18"/>
                <w:szCs w:val="18"/>
                <w:lang w:eastAsia="en-US"/>
              </w:rPr>
            </w:pPr>
            <w:r>
              <w:rPr>
                <w:rFonts w:ascii="Cambria" w:hAnsi="Cambria"/>
                <w:b/>
                <w:bCs/>
                <w:color w:val="000000"/>
                <w:sz w:val="18"/>
                <w:szCs w:val="18"/>
                <w:lang w:eastAsia="en-US"/>
              </w:rPr>
              <w:t xml:space="preserve">Кадастр. номер согласно свид. о гос. регистрации </w:t>
            </w:r>
          </w:p>
        </w:tc>
        <w:tc>
          <w:tcPr>
            <w:tcW w:w="1325"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8F55C7" w:rsidRDefault="008F55C7" w:rsidP="000B7405">
            <w:pPr>
              <w:spacing w:line="276" w:lineRule="auto"/>
              <w:ind w:left="-199" w:right="-139"/>
              <w:jc w:val="center"/>
              <w:rPr>
                <w:rFonts w:ascii="Cambria" w:hAnsi="Cambria"/>
                <w:b/>
                <w:bCs/>
                <w:color w:val="000000"/>
                <w:sz w:val="18"/>
                <w:szCs w:val="18"/>
                <w:lang w:eastAsia="en-US"/>
              </w:rPr>
            </w:pPr>
            <w:r>
              <w:rPr>
                <w:rFonts w:ascii="Cambria" w:hAnsi="Cambria"/>
                <w:b/>
                <w:bCs/>
                <w:color w:val="000000"/>
                <w:sz w:val="18"/>
                <w:szCs w:val="18"/>
                <w:lang w:eastAsia="en-US"/>
              </w:rPr>
              <w:t>Обременения</w:t>
            </w:r>
          </w:p>
        </w:tc>
        <w:tc>
          <w:tcPr>
            <w:tcW w:w="1276"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8F55C7" w:rsidRDefault="008F55C7" w:rsidP="000B7405">
            <w:pPr>
              <w:spacing w:line="276" w:lineRule="auto"/>
              <w:ind w:left="-157" w:right="-139"/>
              <w:jc w:val="center"/>
              <w:rPr>
                <w:rFonts w:ascii="Cambria" w:hAnsi="Cambria"/>
                <w:b/>
                <w:bCs/>
                <w:color w:val="000000"/>
                <w:sz w:val="18"/>
                <w:szCs w:val="18"/>
                <w:lang w:eastAsia="en-US"/>
              </w:rPr>
            </w:pPr>
            <w:r>
              <w:rPr>
                <w:rFonts w:ascii="Cambria" w:hAnsi="Cambria"/>
                <w:b/>
                <w:bCs/>
                <w:color w:val="000000"/>
                <w:sz w:val="18"/>
                <w:szCs w:val="18"/>
                <w:lang w:eastAsia="en-US"/>
              </w:rPr>
              <w:t>№№ и дата свидетельства о гос. регистр. прав</w:t>
            </w:r>
          </w:p>
        </w:tc>
        <w:tc>
          <w:tcPr>
            <w:tcW w:w="1134" w:type="dxa"/>
            <w:tcBorders>
              <w:top w:val="double" w:sz="4" w:space="0" w:color="auto"/>
              <w:left w:val="single" w:sz="4" w:space="0" w:color="auto"/>
              <w:bottom w:val="single" w:sz="4" w:space="0" w:color="auto"/>
              <w:right w:val="double" w:sz="4" w:space="0" w:color="auto"/>
            </w:tcBorders>
            <w:shd w:val="clear" w:color="auto" w:fill="F2F2F2"/>
            <w:vAlign w:val="center"/>
            <w:hideMark/>
          </w:tcPr>
          <w:p w:rsidR="008F55C7" w:rsidRDefault="008F55C7" w:rsidP="000B7405">
            <w:pPr>
              <w:spacing w:line="276" w:lineRule="auto"/>
              <w:ind w:left="-199" w:right="-139"/>
              <w:jc w:val="center"/>
              <w:rPr>
                <w:rFonts w:ascii="Cambria" w:hAnsi="Cambria"/>
                <w:b/>
                <w:bCs/>
                <w:color w:val="000000"/>
                <w:sz w:val="18"/>
                <w:szCs w:val="18"/>
                <w:lang w:eastAsia="en-US"/>
              </w:rPr>
            </w:pPr>
            <w:r>
              <w:rPr>
                <w:rFonts w:ascii="Cambria" w:hAnsi="Cambria"/>
                <w:b/>
                <w:bCs/>
                <w:color w:val="000000"/>
                <w:sz w:val="18"/>
                <w:szCs w:val="18"/>
                <w:lang w:eastAsia="en-US"/>
              </w:rPr>
              <w:t>Сведения о балансовой стоимость объекта</w:t>
            </w:r>
          </w:p>
        </w:tc>
      </w:tr>
      <w:tr w:rsidR="008F55C7" w:rsidTr="000B7405">
        <w:trPr>
          <w:trHeight w:val="20"/>
          <w:jc w:val="center"/>
        </w:trPr>
        <w:tc>
          <w:tcPr>
            <w:tcW w:w="380" w:type="dxa"/>
            <w:tcBorders>
              <w:top w:val="single" w:sz="4" w:space="0" w:color="auto"/>
              <w:left w:val="double" w:sz="4" w:space="0" w:color="auto"/>
              <w:bottom w:val="double" w:sz="4" w:space="0" w:color="auto"/>
              <w:right w:val="single" w:sz="4" w:space="0" w:color="auto"/>
            </w:tcBorders>
            <w:vAlign w:val="center"/>
            <w:hideMark/>
          </w:tcPr>
          <w:p w:rsidR="008F55C7" w:rsidRDefault="008F55C7" w:rsidP="000B7405">
            <w:pPr>
              <w:spacing w:line="276" w:lineRule="auto"/>
              <w:ind w:left="-199" w:right="-139"/>
              <w:jc w:val="center"/>
              <w:rPr>
                <w:rFonts w:ascii="Cambria" w:hAnsi="Cambria"/>
                <w:color w:val="000000"/>
                <w:sz w:val="18"/>
                <w:szCs w:val="18"/>
                <w:lang w:eastAsia="en-US"/>
              </w:rPr>
            </w:pPr>
            <w:r>
              <w:rPr>
                <w:rFonts w:ascii="Cambria" w:hAnsi="Cambria"/>
                <w:color w:val="000000"/>
                <w:sz w:val="18"/>
                <w:szCs w:val="18"/>
                <w:lang w:eastAsia="en-US"/>
              </w:rPr>
              <w:t>1</w:t>
            </w:r>
          </w:p>
        </w:tc>
        <w:tc>
          <w:tcPr>
            <w:tcW w:w="1656" w:type="dxa"/>
            <w:tcBorders>
              <w:top w:val="single" w:sz="4" w:space="0" w:color="auto"/>
              <w:left w:val="single" w:sz="4" w:space="0" w:color="auto"/>
              <w:bottom w:val="double" w:sz="4" w:space="0" w:color="auto"/>
              <w:right w:val="single" w:sz="4" w:space="0" w:color="auto"/>
            </w:tcBorders>
            <w:vAlign w:val="center"/>
            <w:hideMark/>
          </w:tcPr>
          <w:p w:rsidR="008F55C7" w:rsidRDefault="000B7405" w:rsidP="000B7405">
            <w:pPr>
              <w:spacing w:line="276" w:lineRule="auto"/>
              <w:ind w:left="-153" w:right="-139"/>
              <w:jc w:val="center"/>
              <w:rPr>
                <w:rFonts w:ascii="Cambria" w:hAnsi="Cambria"/>
                <w:color w:val="000000"/>
                <w:sz w:val="18"/>
                <w:szCs w:val="18"/>
                <w:lang w:eastAsia="en-US"/>
              </w:rPr>
            </w:pPr>
            <w:r>
              <w:rPr>
                <w:rFonts w:ascii="Cambria" w:hAnsi="Cambria"/>
                <w:color w:val="000000"/>
                <w:sz w:val="18"/>
                <w:szCs w:val="18"/>
                <w:lang w:eastAsia="en-US"/>
              </w:rPr>
              <w:t>А</w:t>
            </w:r>
            <w:r w:rsidRPr="000B7405">
              <w:rPr>
                <w:rFonts w:ascii="Cambria" w:hAnsi="Cambria"/>
                <w:color w:val="000000"/>
                <w:sz w:val="18"/>
                <w:szCs w:val="18"/>
                <w:lang w:eastAsia="en-US"/>
              </w:rPr>
              <w:t>дминистративно-бытовой комплекс</w:t>
            </w:r>
          </w:p>
        </w:tc>
        <w:tc>
          <w:tcPr>
            <w:tcW w:w="992" w:type="dxa"/>
            <w:tcBorders>
              <w:top w:val="single" w:sz="4" w:space="0" w:color="auto"/>
              <w:left w:val="single" w:sz="4" w:space="0" w:color="auto"/>
              <w:bottom w:val="double" w:sz="4" w:space="0" w:color="auto"/>
              <w:right w:val="single" w:sz="4" w:space="0" w:color="auto"/>
            </w:tcBorders>
            <w:vAlign w:val="center"/>
            <w:hideMark/>
          </w:tcPr>
          <w:p w:rsidR="008F55C7" w:rsidRDefault="000B7405" w:rsidP="000B7405">
            <w:pPr>
              <w:spacing w:line="276" w:lineRule="auto"/>
              <w:ind w:left="-199" w:right="-139"/>
              <w:jc w:val="center"/>
              <w:rPr>
                <w:rFonts w:ascii="Cambria" w:hAnsi="Cambria"/>
                <w:color w:val="000000"/>
                <w:sz w:val="18"/>
                <w:szCs w:val="18"/>
                <w:lang w:eastAsia="en-US"/>
              </w:rPr>
            </w:pPr>
            <w:r>
              <w:rPr>
                <w:rFonts w:ascii="Cambria" w:hAnsi="Cambria"/>
                <w:color w:val="000000"/>
                <w:sz w:val="18"/>
                <w:szCs w:val="18"/>
                <w:lang w:eastAsia="en-US"/>
              </w:rPr>
              <w:t>6</w:t>
            </w:r>
          </w:p>
        </w:tc>
        <w:tc>
          <w:tcPr>
            <w:tcW w:w="1559" w:type="dxa"/>
            <w:tcBorders>
              <w:top w:val="single" w:sz="4" w:space="0" w:color="auto"/>
              <w:left w:val="single" w:sz="4" w:space="0" w:color="auto"/>
              <w:bottom w:val="double" w:sz="4" w:space="0" w:color="auto"/>
              <w:right w:val="single" w:sz="4" w:space="0" w:color="auto"/>
            </w:tcBorders>
            <w:vAlign w:val="center"/>
            <w:hideMark/>
          </w:tcPr>
          <w:p w:rsidR="008F55C7" w:rsidRDefault="008F55C7" w:rsidP="000B7405">
            <w:pPr>
              <w:spacing w:line="276" w:lineRule="auto"/>
              <w:ind w:left="-199" w:right="-139"/>
              <w:jc w:val="center"/>
              <w:rPr>
                <w:rFonts w:ascii="Cambria" w:hAnsi="Cambria"/>
                <w:color w:val="000000"/>
                <w:sz w:val="18"/>
                <w:szCs w:val="18"/>
                <w:lang w:eastAsia="en-US"/>
              </w:rPr>
            </w:pPr>
            <w:r>
              <w:rPr>
                <w:rFonts w:ascii="Cambria" w:hAnsi="Cambria"/>
                <w:color w:val="000000"/>
                <w:sz w:val="18"/>
                <w:szCs w:val="18"/>
                <w:lang w:eastAsia="en-US"/>
              </w:rPr>
              <w:t>Нежилое помещение</w:t>
            </w:r>
          </w:p>
        </w:tc>
        <w:tc>
          <w:tcPr>
            <w:tcW w:w="709" w:type="dxa"/>
            <w:tcBorders>
              <w:top w:val="single" w:sz="4" w:space="0" w:color="auto"/>
              <w:left w:val="single" w:sz="4" w:space="0" w:color="auto"/>
              <w:bottom w:val="double" w:sz="4" w:space="0" w:color="auto"/>
              <w:right w:val="single" w:sz="4" w:space="0" w:color="auto"/>
            </w:tcBorders>
            <w:vAlign w:val="center"/>
            <w:hideMark/>
          </w:tcPr>
          <w:p w:rsidR="008F55C7" w:rsidRDefault="000B7405" w:rsidP="000B7405">
            <w:pPr>
              <w:spacing w:line="276" w:lineRule="auto"/>
              <w:ind w:left="-199" w:right="-139"/>
              <w:jc w:val="center"/>
              <w:rPr>
                <w:rFonts w:ascii="Cambria" w:hAnsi="Cambria"/>
                <w:color w:val="000000"/>
                <w:sz w:val="18"/>
                <w:szCs w:val="18"/>
                <w:lang w:eastAsia="en-US"/>
              </w:rPr>
            </w:pPr>
            <w:r>
              <w:rPr>
                <w:rFonts w:ascii="Cambria" w:hAnsi="Cambria"/>
                <w:color w:val="000000"/>
                <w:sz w:val="18"/>
                <w:szCs w:val="18"/>
                <w:lang w:eastAsia="en-US"/>
              </w:rPr>
              <w:t>А</w:t>
            </w:r>
          </w:p>
        </w:tc>
        <w:tc>
          <w:tcPr>
            <w:tcW w:w="1276" w:type="dxa"/>
            <w:tcBorders>
              <w:top w:val="single" w:sz="4" w:space="0" w:color="auto"/>
              <w:left w:val="single" w:sz="4" w:space="0" w:color="auto"/>
              <w:bottom w:val="double" w:sz="4" w:space="0" w:color="auto"/>
              <w:right w:val="single" w:sz="4" w:space="0" w:color="auto"/>
            </w:tcBorders>
            <w:vAlign w:val="center"/>
            <w:hideMark/>
          </w:tcPr>
          <w:p w:rsidR="008F55C7" w:rsidRDefault="008F55C7" w:rsidP="000B7405">
            <w:pPr>
              <w:spacing w:line="276" w:lineRule="auto"/>
              <w:ind w:left="-108" w:right="-139"/>
              <w:jc w:val="center"/>
              <w:rPr>
                <w:rFonts w:ascii="Cambria" w:hAnsi="Cambria"/>
                <w:color w:val="000000"/>
                <w:sz w:val="18"/>
                <w:szCs w:val="18"/>
                <w:lang w:eastAsia="en-US"/>
              </w:rPr>
            </w:pPr>
            <w:r>
              <w:rPr>
                <w:rFonts w:ascii="Cambria" w:hAnsi="Cambria"/>
                <w:color w:val="000000"/>
                <w:sz w:val="18"/>
                <w:szCs w:val="18"/>
                <w:lang w:eastAsia="en-US"/>
              </w:rPr>
              <w:t>31:16:</w:t>
            </w:r>
            <w:r w:rsidR="000B7405">
              <w:rPr>
                <w:rFonts w:ascii="Cambria" w:hAnsi="Cambria"/>
                <w:color w:val="000000"/>
                <w:sz w:val="18"/>
                <w:szCs w:val="18"/>
                <w:lang w:eastAsia="en-US"/>
              </w:rPr>
              <w:t>0000 000:011456-00/001-1001/А</w:t>
            </w:r>
          </w:p>
        </w:tc>
        <w:tc>
          <w:tcPr>
            <w:tcW w:w="1325" w:type="dxa"/>
            <w:tcBorders>
              <w:top w:val="single" w:sz="4" w:space="0" w:color="auto"/>
              <w:left w:val="single" w:sz="4" w:space="0" w:color="auto"/>
              <w:bottom w:val="double" w:sz="4" w:space="0" w:color="auto"/>
              <w:right w:val="single" w:sz="4" w:space="0" w:color="auto"/>
            </w:tcBorders>
            <w:shd w:val="clear" w:color="auto" w:fill="FFFFFF"/>
            <w:vAlign w:val="center"/>
            <w:hideMark/>
          </w:tcPr>
          <w:p w:rsidR="008F55C7" w:rsidRDefault="008F55C7" w:rsidP="000B7405">
            <w:pPr>
              <w:spacing w:line="276" w:lineRule="auto"/>
              <w:ind w:left="-199" w:right="-139"/>
              <w:jc w:val="center"/>
              <w:rPr>
                <w:rFonts w:ascii="Cambria" w:hAnsi="Cambria"/>
                <w:color w:val="000000"/>
                <w:sz w:val="18"/>
                <w:szCs w:val="18"/>
                <w:lang w:eastAsia="en-US"/>
              </w:rPr>
            </w:pPr>
            <w:r>
              <w:rPr>
                <w:rFonts w:ascii="Cambria" w:hAnsi="Cambria"/>
                <w:color w:val="000000"/>
                <w:sz w:val="18"/>
                <w:szCs w:val="18"/>
                <w:lang w:eastAsia="en-US"/>
              </w:rPr>
              <w:t>залог у ПАО «ВТБ»</w:t>
            </w:r>
          </w:p>
        </w:tc>
        <w:tc>
          <w:tcPr>
            <w:tcW w:w="1276" w:type="dxa"/>
            <w:tcBorders>
              <w:top w:val="single" w:sz="4" w:space="0" w:color="auto"/>
              <w:left w:val="single" w:sz="4" w:space="0" w:color="auto"/>
              <w:bottom w:val="double" w:sz="4" w:space="0" w:color="auto"/>
              <w:right w:val="single" w:sz="4" w:space="0" w:color="auto"/>
            </w:tcBorders>
            <w:shd w:val="clear" w:color="auto" w:fill="FFFFFF"/>
            <w:vAlign w:val="center"/>
            <w:hideMark/>
          </w:tcPr>
          <w:p w:rsidR="008F55C7" w:rsidRDefault="008F55C7" w:rsidP="000B7405">
            <w:pPr>
              <w:spacing w:line="276" w:lineRule="auto"/>
              <w:ind w:left="-157" w:right="-139"/>
              <w:jc w:val="center"/>
              <w:rPr>
                <w:rFonts w:ascii="Cambria" w:hAnsi="Cambria"/>
                <w:color w:val="000000"/>
                <w:sz w:val="18"/>
                <w:szCs w:val="18"/>
                <w:lang w:eastAsia="en-US"/>
              </w:rPr>
            </w:pPr>
            <w:r>
              <w:rPr>
                <w:rFonts w:ascii="Cambria" w:hAnsi="Cambria"/>
                <w:color w:val="000000"/>
                <w:sz w:val="18"/>
                <w:szCs w:val="18"/>
                <w:lang w:eastAsia="en-US"/>
              </w:rPr>
              <w:t>31 №5</w:t>
            </w:r>
            <w:r w:rsidR="000B7405">
              <w:rPr>
                <w:rFonts w:ascii="Cambria" w:hAnsi="Cambria"/>
                <w:color w:val="000000"/>
                <w:sz w:val="18"/>
                <w:szCs w:val="18"/>
                <w:lang w:eastAsia="en-US"/>
              </w:rPr>
              <w:t>659</w:t>
            </w:r>
            <w:r>
              <w:rPr>
                <w:rFonts w:ascii="Cambria" w:hAnsi="Cambria"/>
                <w:color w:val="000000"/>
                <w:sz w:val="18"/>
                <w:szCs w:val="18"/>
                <w:lang w:eastAsia="en-US"/>
              </w:rPr>
              <w:t xml:space="preserve"> от </w:t>
            </w:r>
            <w:r w:rsidR="000B7405">
              <w:rPr>
                <w:rFonts w:ascii="Cambria" w:hAnsi="Cambria"/>
                <w:color w:val="000000"/>
                <w:sz w:val="18"/>
                <w:szCs w:val="18"/>
                <w:lang w:eastAsia="en-US"/>
              </w:rPr>
              <w:t>27.01</w:t>
            </w:r>
            <w:r>
              <w:rPr>
                <w:rFonts w:ascii="Cambria" w:hAnsi="Cambria"/>
                <w:color w:val="000000"/>
                <w:sz w:val="18"/>
                <w:szCs w:val="18"/>
                <w:lang w:eastAsia="en-US"/>
              </w:rPr>
              <w:t>.1999</w:t>
            </w:r>
          </w:p>
        </w:tc>
        <w:tc>
          <w:tcPr>
            <w:tcW w:w="1134" w:type="dxa"/>
            <w:tcBorders>
              <w:top w:val="single" w:sz="4" w:space="0" w:color="auto"/>
              <w:left w:val="single" w:sz="4" w:space="0" w:color="auto"/>
              <w:bottom w:val="double" w:sz="4" w:space="0" w:color="auto"/>
              <w:right w:val="double" w:sz="4" w:space="0" w:color="auto"/>
            </w:tcBorders>
            <w:vAlign w:val="center"/>
            <w:hideMark/>
          </w:tcPr>
          <w:p w:rsidR="008F55C7" w:rsidRDefault="008F55C7" w:rsidP="000B7405">
            <w:pPr>
              <w:spacing w:line="276" w:lineRule="auto"/>
              <w:ind w:left="-199" w:right="-139"/>
              <w:jc w:val="center"/>
              <w:rPr>
                <w:rFonts w:ascii="Cambria" w:hAnsi="Cambria"/>
                <w:color w:val="000000"/>
                <w:sz w:val="18"/>
                <w:szCs w:val="18"/>
                <w:lang w:eastAsia="en-US"/>
              </w:rPr>
            </w:pPr>
            <w:r>
              <w:rPr>
                <w:rFonts w:ascii="Cambria" w:hAnsi="Cambria"/>
                <w:color w:val="000000"/>
                <w:sz w:val="18"/>
                <w:szCs w:val="18"/>
                <w:lang w:eastAsia="en-US"/>
              </w:rPr>
              <w:t>Отсутствует</w:t>
            </w:r>
          </w:p>
        </w:tc>
      </w:tr>
    </w:tbl>
    <w:p w:rsidR="008F55C7" w:rsidRDefault="008F55C7" w:rsidP="008F55C7">
      <w:pPr>
        <w:ind w:firstLine="709"/>
        <w:jc w:val="both"/>
        <w:rPr>
          <w:rFonts w:asciiTheme="majorHAnsi" w:eastAsiaTheme="minorHAnsi" w:hAnsiTheme="majorHAnsi" w:cstheme="minorBidi"/>
          <w:b/>
          <w:sz w:val="20"/>
          <w:szCs w:val="22"/>
          <w:lang w:eastAsia="en-US"/>
        </w:rPr>
      </w:pPr>
    </w:p>
    <w:tbl>
      <w:tblPr>
        <w:tblW w:w="0" w:type="auto"/>
        <w:jc w:val="center"/>
        <w:tblLook w:val="04A0" w:firstRow="1" w:lastRow="0" w:firstColumn="1" w:lastColumn="0" w:noHBand="0" w:noVBand="1"/>
      </w:tblPr>
      <w:tblGrid>
        <w:gridCol w:w="2877"/>
        <w:gridCol w:w="5553"/>
      </w:tblGrid>
      <w:tr w:rsidR="008F55C7" w:rsidTr="000B7405">
        <w:trPr>
          <w:trHeight w:val="50"/>
          <w:jc w:val="center"/>
        </w:trPr>
        <w:tc>
          <w:tcPr>
            <w:tcW w:w="8430" w:type="dxa"/>
            <w:gridSpan w:val="2"/>
            <w:tcBorders>
              <w:top w:val="double" w:sz="4" w:space="0" w:color="auto"/>
              <w:left w:val="double" w:sz="4" w:space="0" w:color="auto"/>
              <w:bottom w:val="single" w:sz="4" w:space="0" w:color="auto"/>
              <w:right w:val="double" w:sz="4" w:space="0" w:color="auto"/>
            </w:tcBorders>
            <w:shd w:val="clear" w:color="auto" w:fill="F2F2F2"/>
            <w:vAlign w:val="center"/>
            <w:hideMark/>
          </w:tcPr>
          <w:p w:rsidR="008F55C7" w:rsidRDefault="008F55C7" w:rsidP="000B7405">
            <w:pPr>
              <w:spacing w:line="276" w:lineRule="auto"/>
              <w:jc w:val="center"/>
              <w:rPr>
                <w:rFonts w:asciiTheme="majorHAnsi" w:hAnsiTheme="majorHAnsi"/>
                <w:b/>
                <w:bCs/>
                <w:color w:val="000000"/>
                <w:sz w:val="18"/>
                <w:szCs w:val="18"/>
                <w:lang w:eastAsia="en-US"/>
              </w:rPr>
            </w:pPr>
            <w:r>
              <w:rPr>
                <w:rFonts w:asciiTheme="majorHAnsi" w:hAnsiTheme="majorHAnsi"/>
                <w:b/>
                <w:bCs/>
                <w:color w:val="000000"/>
                <w:sz w:val="18"/>
                <w:szCs w:val="18"/>
                <w:lang w:eastAsia="en-US"/>
              </w:rPr>
              <w:t>Сведения о земельном участке на котором расположен</w:t>
            </w:r>
            <w:r w:rsidR="000B7405">
              <w:rPr>
                <w:rFonts w:asciiTheme="majorHAnsi" w:hAnsiTheme="majorHAnsi"/>
                <w:b/>
                <w:bCs/>
                <w:color w:val="000000"/>
                <w:sz w:val="18"/>
                <w:szCs w:val="18"/>
                <w:lang w:eastAsia="en-US"/>
              </w:rPr>
              <w:t xml:space="preserve"> Административно-бытовой комплекс</w:t>
            </w:r>
          </w:p>
        </w:tc>
      </w:tr>
      <w:tr w:rsidR="008F55C7" w:rsidTr="000B7405">
        <w:trPr>
          <w:trHeight w:val="50"/>
          <w:jc w:val="center"/>
        </w:trPr>
        <w:tc>
          <w:tcPr>
            <w:tcW w:w="2877" w:type="dxa"/>
            <w:tcBorders>
              <w:top w:val="nil"/>
              <w:left w:val="double" w:sz="4" w:space="0" w:color="auto"/>
              <w:bottom w:val="single" w:sz="4" w:space="0" w:color="auto"/>
              <w:right w:val="single" w:sz="4" w:space="0" w:color="auto"/>
            </w:tcBorders>
            <w:shd w:val="clear" w:color="auto" w:fill="F2F2F2"/>
            <w:vAlign w:val="center"/>
            <w:hideMark/>
          </w:tcPr>
          <w:p w:rsidR="008F55C7" w:rsidRDefault="008F55C7">
            <w:pPr>
              <w:spacing w:line="276" w:lineRule="auto"/>
              <w:jc w:val="center"/>
              <w:rPr>
                <w:rFonts w:asciiTheme="majorHAnsi" w:hAnsiTheme="majorHAnsi"/>
                <w:color w:val="000000"/>
                <w:sz w:val="18"/>
                <w:szCs w:val="18"/>
                <w:lang w:eastAsia="en-US"/>
              </w:rPr>
            </w:pPr>
            <w:r>
              <w:rPr>
                <w:rFonts w:asciiTheme="majorHAnsi" w:hAnsiTheme="majorHAnsi"/>
                <w:b/>
                <w:bCs/>
                <w:color w:val="000000"/>
                <w:sz w:val="18"/>
                <w:szCs w:val="18"/>
                <w:lang w:eastAsia="en-US"/>
              </w:rPr>
              <w:t>Адрес объекта оценки</w:t>
            </w:r>
          </w:p>
        </w:tc>
        <w:tc>
          <w:tcPr>
            <w:tcW w:w="5553" w:type="dxa"/>
            <w:tcBorders>
              <w:top w:val="single" w:sz="4" w:space="0" w:color="auto"/>
              <w:left w:val="nil"/>
              <w:bottom w:val="single" w:sz="4" w:space="0" w:color="auto"/>
              <w:right w:val="double" w:sz="4" w:space="0" w:color="auto"/>
            </w:tcBorders>
            <w:shd w:val="clear" w:color="auto" w:fill="FFFFFF"/>
            <w:vAlign w:val="center"/>
            <w:hideMark/>
          </w:tcPr>
          <w:p w:rsidR="008F55C7" w:rsidRDefault="00384A1B" w:rsidP="00077CDB">
            <w:pPr>
              <w:spacing w:line="276" w:lineRule="auto"/>
              <w:jc w:val="center"/>
              <w:rPr>
                <w:rFonts w:asciiTheme="majorHAnsi" w:hAnsiTheme="majorHAnsi"/>
                <w:color w:val="000000"/>
                <w:sz w:val="18"/>
                <w:szCs w:val="18"/>
                <w:lang w:eastAsia="en-US"/>
              </w:rPr>
            </w:pPr>
            <w:r w:rsidRPr="00384A1B">
              <w:rPr>
                <w:rFonts w:asciiTheme="majorHAnsi" w:hAnsiTheme="majorHAnsi"/>
                <w:color w:val="000000"/>
                <w:sz w:val="18"/>
                <w:szCs w:val="18"/>
                <w:lang w:eastAsia="en-US"/>
              </w:rPr>
              <w:t>Белгородская обл. г. Белгород, ул Сумская,</w:t>
            </w:r>
            <w:r w:rsidR="00077CDB">
              <w:rPr>
                <w:rFonts w:asciiTheme="majorHAnsi" w:hAnsiTheme="majorHAnsi"/>
                <w:color w:val="000000"/>
                <w:sz w:val="18"/>
                <w:szCs w:val="18"/>
                <w:lang w:eastAsia="en-US"/>
              </w:rPr>
              <w:t>168</w:t>
            </w:r>
          </w:p>
        </w:tc>
      </w:tr>
      <w:tr w:rsidR="008F55C7" w:rsidTr="000B7405">
        <w:trPr>
          <w:trHeight w:val="50"/>
          <w:jc w:val="center"/>
        </w:trPr>
        <w:tc>
          <w:tcPr>
            <w:tcW w:w="2877" w:type="dxa"/>
            <w:tcBorders>
              <w:top w:val="nil"/>
              <w:left w:val="double" w:sz="4" w:space="0" w:color="auto"/>
              <w:bottom w:val="single" w:sz="4" w:space="0" w:color="auto"/>
              <w:right w:val="single" w:sz="4" w:space="0" w:color="auto"/>
            </w:tcBorders>
            <w:shd w:val="clear" w:color="auto" w:fill="F2F2F2"/>
            <w:vAlign w:val="center"/>
            <w:hideMark/>
          </w:tcPr>
          <w:p w:rsidR="008F55C7" w:rsidRDefault="008F55C7">
            <w:pPr>
              <w:spacing w:line="276" w:lineRule="auto"/>
              <w:jc w:val="center"/>
              <w:rPr>
                <w:rFonts w:asciiTheme="majorHAnsi" w:hAnsiTheme="majorHAnsi"/>
                <w:b/>
                <w:bCs/>
                <w:color w:val="000000"/>
                <w:sz w:val="18"/>
                <w:szCs w:val="18"/>
                <w:lang w:eastAsia="en-US"/>
              </w:rPr>
            </w:pPr>
            <w:r>
              <w:rPr>
                <w:rFonts w:asciiTheme="majorHAnsi" w:hAnsiTheme="majorHAnsi"/>
                <w:b/>
                <w:bCs/>
                <w:color w:val="000000"/>
                <w:sz w:val="18"/>
                <w:szCs w:val="18"/>
                <w:lang w:eastAsia="en-US"/>
              </w:rPr>
              <w:t>Субъект права</w:t>
            </w:r>
          </w:p>
        </w:tc>
        <w:tc>
          <w:tcPr>
            <w:tcW w:w="5553" w:type="dxa"/>
            <w:tcBorders>
              <w:top w:val="single" w:sz="4" w:space="0" w:color="auto"/>
              <w:left w:val="nil"/>
              <w:bottom w:val="single" w:sz="4" w:space="0" w:color="auto"/>
              <w:right w:val="double" w:sz="4" w:space="0" w:color="auto"/>
            </w:tcBorders>
            <w:shd w:val="clear" w:color="auto" w:fill="FFFFFF"/>
            <w:vAlign w:val="center"/>
            <w:hideMark/>
          </w:tcPr>
          <w:p w:rsidR="008F55C7" w:rsidRDefault="004F632A">
            <w:pPr>
              <w:spacing w:line="276" w:lineRule="auto"/>
              <w:jc w:val="center"/>
              <w:rPr>
                <w:rFonts w:ascii="Cambria" w:hAnsi="Cambria"/>
                <w:color w:val="000000"/>
                <w:sz w:val="18"/>
                <w:szCs w:val="18"/>
                <w:lang w:eastAsia="en-US"/>
              </w:rPr>
            </w:pPr>
            <w:r>
              <w:rPr>
                <w:rFonts w:ascii="Cambria" w:hAnsi="Cambria"/>
                <w:color w:val="000000"/>
                <w:sz w:val="18"/>
                <w:szCs w:val="18"/>
              </w:rPr>
              <w:t>Лаута Игорь Викторович</w:t>
            </w:r>
          </w:p>
        </w:tc>
      </w:tr>
      <w:tr w:rsidR="008F55C7" w:rsidTr="000B7405">
        <w:trPr>
          <w:trHeight w:val="50"/>
          <w:jc w:val="center"/>
        </w:trPr>
        <w:tc>
          <w:tcPr>
            <w:tcW w:w="2877" w:type="dxa"/>
            <w:tcBorders>
              <w:top w:val="nil"/>
              <w:left w:val="double" w:sz="4" w:space="0" w:color="auto"/>
              <w:bottom w:val="double" w:sz="4" w:space="0" w:color="auto"/>
              <w:right w:val="single" w:sz="4" w:space="0" w:color="auto"/>
            </w:tcBorders>
            <w:shd w:val="clear" w:color="auto" w:fill="F2F2F2"/>
            <w:vAlign w:val="center"/>
            <w:hideMark/>
          </w:tcPr>
          <w:p w:rsidR="008F55C7" w:rsidRDefault="008F55C7">
            <w:pPr>
              <w:spacing w:line="276" w:lineRule="auto"/>
              <w:jc w:val="center"/>
              <w:rPr>
                <w:rFonts w:asciiTheme="majorHAnsi" w:hAnsiTheme="majorHAnsi"/>
                <w:b/>
                <w:bCs/>
                <w:color w:val="000000"/>
                <w:sz w:val="18"/>
                <w:szCs w:val="18"/>
                <w:lang w:eastAsia="en-US"/>
              </w:rPr>
            </w:pPr>
            <w:r>
              <w:rPr>
                <w:rFonts w:asciiTheme="majorHAnsi" w:hAnsiTheme="majorHAnsi"/>
                <w:b/>
                <w:bCs/>
                <w:color w:val="000000"/>
                <w:sz w:val="18"/>
                <w:szCs w:val="18"/>
                <w:lang w:eastAsia="en-US"/>
              </w:rPr>
              <w:t>Вид права</w:t>
            </w:r>
          </w:p>
        </w:tc>
        <w:tc>
          <w:tcPr>
            <w:tcW w:w="5553" w:type="dxa"/>
            <w:tcBorders>
              <w:top w:val="single" w:sz="4" w:space="0" w:color="auto"/>
              <w:left w:val="nil"/>
              <w:bottom w:val="double" w:sz="4" w:space="0" w:color="auto"/>
              <w:right w:val="double" w:sz="4" w:space="0" w:color="auto"/>
            </w:tcBorders>
            <w:vAlign w:val="center"/>
            <w:hideMark/>
          </w:tcPr>
          <w:p w:rsidR="008F55C7" w:rsidRDefault="008F55C7">
            <w:pPr>
              <w:spacing w:line="276" w:lineRule="auto"/>
              <w:jc w:val="center"/>
              <w:rPr>
                <w:rFonts w:ascii="Cambria" w:hAnsi="Cambria"/>
                <w:color w:val="000000"/>
                <w:sz w:val="18"/>
                <w:szCs w:val="18"/>
                <w:lang w:eastAsia="en-US"/>
              </w:rPr>
            </w:pPr>
            <w:r>
              <w:rPr>
                <w:rFonts w:ascii="Cambria" w:hAnsi="Cambria"/>
                <w:color w:val="000000"/>
                <w:sz w:val="18"/>
                <w:szCs w:val="18"/>
                <w:lang w:eastAsia="en-US"/>
              </w:rPr>
              <w:t>Постоянное право бессрочного пользования</w:t>
            </w:r>
          </w:p>
        </w:tc>
      </w:tr>
    </w:tbl>
    <w:p w:rsidR="008F55C7" w:rsidRDefault="008F55C7" w:rsidP="000B7405">
      <w:pPr>
        <w:jc w:val="both"/>
        <w:rPr>
          <w:rFonts w:asciiTheme="majorHAnsi" w:eastAsiaTheme="minorHAnsi" w:hAnsiTheme="majorHAnsi" w:cstheme="minorBidi"/>
          <w:b/>
          <w:sz w:val="18"/>
          <w:szCs w:val="18"/>
          <w:lang w:eastAsia="en-US"/>
        </w:rPr>
      </w:pPr>
    </w:p>
    <w:tbl>
      <w:tblPr>
        <w:tblW w:w="0"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349"/>
        <w:gridCol w:w="747"/>
        <w:gridCol w:w="1321"/>
        <w:gridCol w:w="1134"/>
        <w:gridCol w:w="1455"/>
        <w:gridCol w:w="1522"/>
        <w:gridCol w:w="1401"/>
        <w:gridCol w:w="1425"/>
      </w:tblGrid>
      <w:tr w:rsidR="008F55C7" w:rsidTr="008F55C7">
        <w:trPr>
          <w:trHeight w:val="726"/>
        </w:trPr>
        <w:tc>
          <w:tcPr>
            <w:tcW w:w="1349" w:type="dxa"/>
            <w:tcBorders>
              <w:top w:val="double" w:sz="4" w:space="0" w:color="auto"/>
              <w:left w:val="double" w:sz="4" w:space="0" w:color="auto"/>
              <w:bottom w:val="single" w:sz="4" w:space="0" w:color="auto"/>
              <w:right w:val="single" w:sz="4" w:space="0" w:color="auto"/>
            </w:tcBorders>
            <w:shd w:val="clear" w:color="auto" w:fill="F2F2F2"/>
            <w:vAlign w:val="center"/>
            <w:hideMark/>
          </w:tcPr>
          <w:p w:rsidR="008F55C7" w:rsidRDefault="008F55C7" w:rsidP="000B7405">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Адрес земельного участка</w:t>
            </w:r>
          </w:p>
        </w:tc>
        <w:tc>
          <w:tcPr>
            <w:tcW w:w="747"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8F55C7" w:rsidRDefault="008F55C7" w:rsidP="000B7405">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Размер (кв. м.)</w:t>
            </w:r>
          </w:p>
        </w:tc>
        <w:tc>
          <w:tcPr>
            <w:tcW w:w="1321"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8F55C7" w:rsidRDefault="008F55C7" w:rsidP="000B7405">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Кадастровый  номер</w:t>
            </w:r>
          </w:p>
        </w:tc>
        <w:tc>
          <w:tcPr>
            <w:tcW w:w="1134"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8F55C7" w:rsidRDefault="008F55C7" w:rsidP="000B7405">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Назначение</w:t>
            </w:r>
          </w:p>
        </w:tc>
        <w:tc>
          <w:tcPr>
            <w:tcW w:w="1455"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8F55C7" w:rsidRDefault="008F55C7" w:rsidP="000B7405">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Разрешенное использование</w:t>
            </w:r>
          </w:p>
        </w:tc>
        <w:tc>
          <w:tcPr>
            <w:tcW w:w="1522"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8F55C7" w:rsidRDefault="008F55C7" w:rsidP="000B7405">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Фактическое использование</w:t>
            </w:r>
          </w:p>
        </w:tc>
        <w:tc>
          <w:tcPr>
            <w:tcW w:w="1401"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8F55C7" w:rsidRDefault="008F55C7" w:rsidP="000B7405">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 и дата свидетельства о гос. регистр. прав</w:t>
            </w:r>
          </w:p>
        </w:tc>
        <w:tc>
          <w:tcPr>
            <w:tcW w:w="1425" w:type="dxa"/>
            <w:tcBorders>
              <w:top w:val="double" w:sz="4" w:space="0" w:color="auto"/>
              <w:left w:val="single" w:sz="4" w:space="0" w:color="auto"/>
              <w:bottom w:val="single" w:sz="4" w:space="0" w:color="auto"/>
              <w:right w:val="double" w:sz="4" w:space="0" w:color="auto"/>
            </w:tcBorders>
            <w:shd w:val="clear" w:color="auto" w:fill="F2F2F2"/>
            <w:vAlign w:val="center"/>
            <w:hideMark/>
          </w:tcPr>
          <w:p w:rsidR="008F55C7" w:rsidRDefault="008F55C7" w:rsidP="000B7405">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 и дата регистрации в Едином гос. реестре прав на недвиж. имущ.</w:t>
            </w:r>
          </w:p>
        </w:tc>
      </w:tr>
      <w:tr w:rsidR="008F55C7" w:rsidTr="008F55C7">
        <w:trPr>
          <w:trHeight w:val="1082"/>
        </w:trPr>
        <w:tc>
          <w:tcPr>
            <w:tcW w:w="1349" w:type="dxa"/>
            <w:tcBorders>
              <w:top w:val="single" w:sz="4" w:space="0" w:color="auto"/>
              <w:left w:val="double" w:sz="4" w:space="0" w:color="auto"/>
              <w:bottom w:val="double" w:sz="4" w:space="0" w:color="auto"/>
              <w:right w:val="single" w:sz="4" w:space="0" w:color="auto"/>
            </w:tcBorders>
            <w:vAlign w:val="center"/>
            <w:hideMark/>
          </w:tcPr>
          <w:p w:rsidR="008F55C7" w:rsidRDefault="000B7405" w:rsidP="000B7405">
            <w:pPr>
              <w:ind w:left="-93" w:right="-90"/>
              <w:jc w:val="center"/>
              <w:rPr>
                <w:rFonts w:ascii="Cambria" w:hAnsi="Cambria"/>
                <w:color w:val="000000"/>
                <w:sz w:val="18"/>
                <w:szCs w:val="18"/>
                <w:lang w:eastAsia="en-US"/>
              </w:rPr>
            </w:pPr>
            <w:r>
              <w:rPr>
                <w:rFonts w:ascii="Cambria" w:hAnsi="Cambria"/>
                <w:color w:val="000000"/>
                <w:sz w:val="18"/>
                <w:szCs w:val="18"/>
                <w:lang w:eastAsia="en-US"/>
              </w:rPr>
              <w:t>Белгородская обл. г. Белгород, ул Сумская, №330</w:t>
            </w:r>
          </w:p>
        </w:tc>
        <w:tc>
          <w:tcPr>
            <w:tcW w:w="747" w:type="dxa"/>
            <w:tcBorders>
              <w:top w:val="single" w:sz="4" w:space="0" w:color="auto"/>
              <w:left w:val="single" w:sz="4" w:space="0" w:color="auto"/>
              <w:bottom w:val="double" w:sz="4" w:space="0" w:color="auto"/>
              <w:right w:val="single" w:sz="4" w:space="0" w:color="auto"/>
            </w:tcBorders>
            <w:vAlign w:val="center"/>
            <w:hideMark/>
          </w:tcPr>
          <w:p w:rsidR="008F55C7" w:rsidRDefault="000B7405" w:rsidP="000B7405">
            <w:pPr>
              <w:ind w:left="-93" w:right="-90"/>
              <w:jc w:val="center"/>
              <w:rPr>
                <w:rFonts w:ascii="Cambria" w:hAnsi="Cambria"/>
                <w:color w:val="000000"/>
                <w:sz w:val="18"/>
                <w:szCs w:val="18"/>
                <w:lang w:eastAsia="en-US"/>
              </w:rPr>
            </w:pPr>
            <w:r>
              <w:rPr>
                <w:rFonts w:ascii="Cambria" w:hAnsi="Cambria"/>
                <w:color w:val="000000"/>
                <w:sz w:val="18"/>
                <w:szCs w:val="18"/>
                <w:lang w:eastAsia="en-US"/>
              </w:rPr>
              <w:t>101370</w:t>
            </w:r>
          </w:p>
        </w:tc>
        <w:tc>
          <w:tcPr>
            <w:tcW w:w="1321" w:type="dxa"/>
            <w:tcBorders>
              <w:top w:val="single" w:sz="4" w:space="0" w:color="auto"/>
              <w:left w:val="single" w:sz="4" w:space="0" w:color="auto"/>
              <w:bottom w:val="double" w:sz="4" w:space="0" w:color="auto"/>
              <w:right w:val="single" w:sz="4" w:space="0" w:color="auto"/>
            </w:tcBorders>
            <w:vAlign w:val="center"/>
            <w:hideMark/>
          </w:tcPr>
          <w:p w:rsidR="008F55C7" w:rsidRDefault="008F55C7" w:rsidP="00384A1B">
            <w:pPr>
              <w:ind w:left="-93" w:right="-90"/>
              <w:jc w:val="center"/>
              <w:rPr>
                <w:rFonts w:ascii="Cambria" w:hAnsi="Cambria"/>
                <w:color w:val="000000"/>
                <w:sz w:val="18"/>
                <w:szCs w:val="18"/>
                <w:lang w:eastAsia="en-US"/>
              </w:rPr>
            </w:pPr>
            <w:r>
              <w:rPr>
                <w:rFonts w:ascii="Cambria" w:hAnsi="Cambria"/>
                <w:color w:val="000000"/>
                <w:sz w:val="18"/>
                <w:szCs w:val="18"/>
                <w:lang w:eastAsia="en-US"/>
              </w:rPr>
              <w:t xml:space="preserve">31:16:01 10 </w:t>
            </w:r>
            <w:r w:rsidR="00384A1B">
              <w:rPr>
                <w:rFonts w:ascii="Cambria" w:hAnsi="Cambria"/>
                <w:color w:val="000000"/>
                <w:sz w:val="18"/>
                <w:szCs w:val="18"/>
                <w:lang w:eastAsia="en-US"/>
              </w:rPr>
              <w:t>09</w:t>
            </w:r>
            <w:r>
              <w:rPr>
                <w:rFonts w:ascii="Cambria" w:hAnsi="Cambria"/>
                <w:color w:val="000000"/>
                <w:sz w:val="18"/>
                <w:szCs w:val="18"/>
                <w:lang w:eastAsia="en-US"/>
              </w:rPr>
              <w:t>:0</w:t>
            </w:r>
            <w:r w:rsidR="00384A1B">
              <w:rPr>
                <w:rFonts w:ascii="Cambria" w:hAnsi="Cambria"/>
                <w:color w:val="000000"/>
                <w:sz w:val="18"/>
                <w:szCs w:val="18"/>
                <w:lang w:eastAsia="en-US"/>
              </w:rPr>
              <w:t>001</w:t>
            </w:r>
          </w:p>
        </w:tc>
        <w:tc>
          <w:tcPr>
            <w:tcW w:w="1134" w:type="dxa"/>
            <w:tcBorders>
              <w:top w:val="single" w:sz="4" w:space="0" w:color="auto"/>
              <w:left w:val="single" w:sz="4" w:space="0" w:color="auto"/>
              <w:bottom w:val="double" w:sz="4" w:space="0" w:color="auto"/>
              <w:right w:val="single" w:sz="4" w:space="0" w:color="auto"/>
            </w:tcBorders>
            <w:vAlign w:val="center"/>
            <w:hideMark/>
          </w:tcPr>
          <w:p w:rsidR="008F55C7" w:rsidRDefault="008F55C7" w:rsidP="000B7405">
            <w:pPr>
              <w:ind w:left="-93" w:right="-90"/>
              <w:jc w:val="center"/>
              <w:rPr>
                <w:rFonts w:ascii="Cambria" w:hAnsi="Cambria"/>
                <w:color w:val="000000"/>
                <w:sz w:val="18"/>
                <w:szCs w:val="18"/>
                <w:lang w:eastAsia="en-US"/>
              </w:rPr>
            </w:pPr>
            <w:r>
              <w:rPr>
                <w:rFonts w:ascii="Cambria" w:hAnsi="Cambria"/>
                <w:color w:val="000000"/>
                <w:sz w:val="18"/>
                <w:szCs w:val="18"/>
                <w:lang w:eastAsia="en-US"/>
              </w:rPr>
              <w:t>Земли населенных пунктов</w:t>
            </w:r>
          </w:p>
        </w:tc>
        <w:tc>
          <w:tcPr>
            <w:tcW w:w="1455" w:type="dxa"/>
            <w:tcBorders>
              <w:top w:val="single" w:sz="4" w:space="0" w:color="auto"/>
              <w:left w:val="single" w:sz="4" w:space="0" w:color="auto"/>
              <w:bottom w:val="double" w:sz="4" w:space="0" w:color="auto"/>
              <w:right w:val="single" w:sz="4" w:space="0" w:color="auto"/>
            </w:tcBorders>
            <w:vAlign w:val="center"/>
            <w:hideMark/>
          </w:tcPr>
          <w:p w:rsidR="008F55C7" w:rsidRDefault="00384A1B" w:rsidP="000B7405">
            <w:pPr>
              <w:ind w:left="-93" w:right="-90"/>
              <w:jc w:val="center"/>
              <w:rPr>
                <w:rFonts w:ascii="Cambria" w:hAnsi="Cambria"/>
                <w:color w:val="000000"/>
                <w:sz w:val="18"/>
                <w:szCs w:val="18"/>
                <w:lang w:eastAsia="en-US"/>
              </w:rPr>
            </w:pPr>
            <w:r>
              <w:rPr>
                <w:rFonts w:ascii="Cambria" w:hAnsi="Cambria"/>
                <w:color w:val="000000"/>
                <w:sz w:val="18"/>
                <w:szCs w:val="18"/>
                <w:lang w:eastAsia="en-US"/>
              </w:rPr>
              <w:t>Сведения Заказчиком не предоставлены</w:t>
            </w:r>
          </w:p>
        </w:tc>
        <w:tc>
          <w:tcPr>
            <w:tcW w:w="1522" w:type="dxa"/>
            <w:tcBorders>
              <w:top w:val="single" w:sz="4" w:space="0" w:color="auto"/>
              <w:left w:val="single" w:sz="4" w:space="0" w:color="auto"/>
              <w:bottom w:val="double" w:sz="4" w:space="0" w:color="auto"/>
              <w:right w:val="single" w:sz="4" w:space="0" w:color="auto"/>
            </w:tcBorders>
            <w:vAlign w:val="center"/>
            <w:hideMark/>
          </w:tcPr>
          <w:p w:rsidR="008F55C7" w:rsidRDefault="008F55C7" w:rsidP="00384A1B">
            <w:pPr>
              <w:ind w:left="-93" w:right="-90"/>
              <w:jc w:val="center"/>
              <w:rPr>
                <w:rFonts w:ascii="Cambria" w:hAnsi="Cambria"/>
                <w:color w:val="000000"/>
                <w:sz w:val="18"/>
                <w:szCs w:val="18"/>
                <w:lang w:eastAsia="en-US"/>
              </w:rPr>
            </w:pPr>
            <w:r>
              <w:rPr>
                <w:rFonts w:ascii="Cambria" w:hAnsi="Cambria"/>
                <w:color w:val="000000"/>
                <w:sz w:val="18"/>
                <w:szCs w:val="18"/>
                <w:lang w:eastAsia="en-US"/>
              </w:rPr>
              <w:t xml:space="preserve">Эксплуатация </w:t>
            </w:r>
            <w:r w:rsidR="00384A1B">
              <w:rPr>
                <w:rFonts w:ascii="Cambria" w:hAnsi="Cambria"/>
                <w:color w:val="000000"/>
                <w:sz w:val="18"/>
                <w:szCs w:val="18"/>
                <w:lang w:eastAsia="en-US"/>
              </w:rPr>
              <w:t>нежилого здания административно-бытового корпуса</w:t>
            </w:r>
          </w:p>
        </w:tc>
        <w:tc>
          <w:tcPr>
            <w:tcW w:w="1401" w:type="dxa"/>
            <w:tcBorders>
              <w:top w:val="single" w:sz="4" w:space="0" w:color="auto"/>
              <w:left w:val="single" w:sz="4" w:space="0" w:color="auto"/>
              <w:bottom w:val="double" w:sz="4" w:space="0" w:color="auto"/>
              <w:right w:val="single" w:sz="4" w:space="0" w:color="auto"/>
            </w:tcBorders>
            <w:vAlign w:val="center"/>
            <w:hideMark/>
          </w:tcPr>
          <w:p w:rsidR="008F55C7" w:rsidRDefault="008F55C7" w:rsidP="00384A1B">
            <w:pPr>
              <w:ind w:left="-93" w:right="-90"/>
              <w:jc w:val="center"/>
              <w:rPr>
                <w:rFonts w:ascii="Cambria" w:hAnsi="Cambria"/>
                <w:color w:val="000000"/>
                <w:sz w:val="18"/>
                <w:szCs w:val="18"/>
                <w:lang w:eastAsia="en-US"/>
              </w:rPr>
            </w:pPr>
            <w:r>
              <w:rPr>
                <w:rFonts w:ascii="Cambria" w:hAnsi="Cambria"/>
                <w:color w:val="000000"/>
                <w:sz w:val="18"/>
                <w:szCs w:val="18"/>
                <w:lang w:eastAsia="en-US"/>
              </w:rPr>
              <w:t>АА №004</w:t>
            </w:r>
            <w:r w:rsidR="00384A1B">
              <w:rPr>
                <w:rFonts w:ascii="Cambria" w:hAnsi="Cambria"/>
                <w:color w:val="000000"/>
                <w:sz w:val="18"/>
                <w:szCs w:val="18"/>
                <w:lang w:eastAsia="en-US"/>
              </w:rPr>
              <w:t>1733</w:t>
            </w:r>
            <w:r>
              <w:rPr>
                <w:rFonts w:ascii="Cambria" w:hAnsi="Cambria"/>
                <w:color w:val="000000"/>
                <w:sz w:val="18"/>
                <w:szCs w:val="18"/>
                <w:lang w:eastAsia="en-US"/>
              </w:rPr>
              <w:t xml:space="preserve"> </w:t>
            </w:r>
          </w:p>
        </w:tc>
        <w:tc>
          <w:tcPr>
            <w:tcW w:w="1425" w:type="dxa"/>
            <w:tcBorders>
              <w:top w:val="single" w:sz="4" w:space="0" w:color="auto"/>
              <w:left w:val="single" w:sz="4" w:space="0" w:color="auto"/>
              <w:bottom w:val="double" w:sz="4" w:space="0" w:color="auto"/>
              <w:right w:val="double" w:sz="4" w:space="0" w:color="auto"/>
            </w:tcBorders>
            <w:vAlign w:val="center"/>
            <w:hideMark/>
          </w:tcPr>
          <w:p w:rsidR="008F55C7" w:rsidRDefault="008F55C7" w:rsidP="00384A1B">
            <w:pPr>
              <w:ind w:left="-93" w:right="-90"/>
              <w:jc w:val="center"/>
              <w:rPr>
                <w:rFonts w:ascii="Cambria" w:hAnsi="Cambria"/>
                <w:color w:val="000000"/>
                <w:sz w:val="18"/>
                <w:szCs w:val="18"/>
                <w:lang w:eastAsia="en-US"/>
              </w:rPr>
            </w:pPr>
            <w:r>
              <w:rPr>
                <w:rFonts w:ascii="Cambria" w:hAnsi="Cambria"/>
                <w:color w:val="000000"/>
                <w:sz w:val="18"/>
                <w:szCs w:val="18"/>
                <w:lang w:eastAsia="en-US"/>
              </w:rPr>
              <w:t>31-01/00-3/ 2000-2</w:t>
            </w:r>
            <w:r w:rsidR="00384A1B">
              <w:rPr>
                <w:rFonts w:ascii="Cambria" w:hAnsi="Cambria"/>
                <w:color w:val="000000"/>
                <w:sz w:val="18"/>
                <w:szCs w:val="18"/>
                <w:lang w:eastAsia="en-US"/>
              </w:rPr>
              <w:t>125</w:t>
            </w:r>
            <w:r>
              <w:rPr>
                <w:rFonts w:ascii="Cambria" w:hAnsi="Cambria"/>
                <w:color w:val="000000"/>
                <w:sz w:val="18"/>
                <w:szCs w:val="18"/>
                <w:lang w:eastAsia="en-US"/>
              </w:rPr>
              <w:t xml:space="preserve">.2 от </w:t>
            </w:r>
            <w:r w:rsidR="00384A1B">
              <w:rPr>
                <w:rFonts w:ascii="Cambria" w:hAnsi="Cambria"/>
                <w:color w:val="000000"/>
                <w:sz w:val="18"/>
                <w:szCs w:val="18"/>
                <w:lang w:eastAsia="en-US"/>
              </w:rPr>
              <w:t>29</w:t>
            </w:r>
            <w:r>
              <w:rPr>
                <w:rFonts w:ascii="Cambria" w:hAnsi="Cambria"/>
                <w:color w:val="000000"/>
                <w:sz w:val="18"/>
                <w:szCs w:val="18"/>
                <w:lang w:eastAsia="en-US"/>
              </w:rPr>
              <w:t>.</w:t>
            </w:r>
            <w:r w:rsidR="00384A1B">
              <w:rPr>
                <w:rFonts w:ascii="Cambria" w:hAnsi="Cambria"/>
                <w:color w:val="000000"/>
                <w:sz w:val="18"/>
                <w:szCs w:val="18"/>
                <w:lang w:eastAsia="en-US"/>
              </w:rPr>
              <w:t>08</w:t>
            </w:r>
            <w:r>
              <w:rPr>
                <w:rFonts w:ascii="Cambria" w:hAnsi="Cambria"/>
                <w:color w:val="000000"/>
                <w:sz w:val="18"/>
                <w:szCs w:val="18"/>
                <w:lang w:eastAsia="en-US"/>
              </w:rPr>
              <w:t>.2000</w:t>
            </w:r>
          </w:p>
        </w:tc>
      </w:tr>
    </w:tbl>
    <w:p w:rsidR="008F55C7" w:rsidRDefault="008F55C7" w:rsidP="000E4C77">
      <w:pPr>
        <w:ind w:firstLine="708"/>
        <w:jc w:val="both"/>
        <w:rPr>
          <w:rFonts w:asciiTheme="majorHAnsi" w:hAnsiTheme="majorHAnsi"/>
          <w:b/>
          <w:sz w:val="20"/>
          <w:szCs w:val="20"/>
        </w:rPr>
      </w:pPr>
    </w:p>
    <w:p w:rsidR="000E4C77" w:rsidRPr="005433F9" w:rsidRDefault="000E4C77" w:rsidP="000E4C77">
      <w:pPr>
        <w:ind w:firstLine="708"/>
        <w:jc w:val="both"/>
        <w:rPr>
          <w:rFonts w:asciiTheme="majorHAnsi" w:hAnsiTheme="majorHAnsi"/>
          <w:b/>
          <w:sz w:val="20"/>
          <w:szCs w:val="20"/>
        </w:rPr>
      </w:pPr>
      <w:r w:rsidRPr="005433F9">
        <w:rPr>
          <w:rFonts w:asciiTheme="majorHAnsi" w:hAnsiTheme="majorHAnsi"/>
          <w:b/>
          <w:sz w:val="20"/>
          <w:szCs w:val="20"/>
        </w:rPr>
        <w:t>Характеристики объекта оценки и его оцениваемых частей или ссылки на доступные для оценщика документы, содержащие такие характеристики* –</w:t>
      </w:r>
    </w:p>
    <w:p w:rsidR="00543B11" w:rsidRDefault="00543B11" w:rsidP="00543B11">
      <w:pPr>
        <w:spacing w:before="120" w:after="120"/>
        <w:ind w:firstLine="709"/>
        <w:jc w:val="both"/>
        <w:rPr>
          <w:rFonts w:asciiTheme="majorHAnsi" w:eastAsiaTheme="minorHAnsi" w:hAnsiTheme="majorHAnsi" w:cstheme="minorBidi"/>
          <w:sz w:val="20"/>
          <w:szCs w:val="22"/>
          <w:lang w:eastAsia="en-US"/>
        </w:rPr>
      </w:pPr>
      <w:r w:rsidRPr="00543B11">
        <w:rPr>
          <w:rFonts w:asciiTheme="majorHAnsi" w:eastAsiaTheme="minorHAnsi" w:hAnsiTheme="majorHAnsi" w:cstheme="minorBidi"/>
          <w:sz w:val="20"/>
          <w:szCs w:val="22"/>
          <w:lang w:eastAsia="en-US"/>
        </w:rPr>
        <w:t>Документы, характеризующие объемно-планировочные характеристики и техническое состояние зданий (технические паспорта):</w:t>
      </w:r>
      <w:r>
        <w:rPr>
          <w:rFonts w:asciiTheme="majorHAnsi" w:eastAsiaTheme="minorHAnsi" w:hAnsiTheme="majorHAnsi" w:cstheme="minorBidi"/>
          <w:sz w:val="20"/>
          <w:szCs w:val="22"/>
          <w:lang w:eastAsia="en-US"/>
        </w:rPr>
        <w:t xml:space="preserve"> </w:t>
      </w:r>
      <w:r w:rsidRPr="00543B11">
        <w:rPr>
          <w:rFonts w:asciiTheme="majorHAnsi" w:eastAsiaTheme="minorHAnsi" w:hAnsiTheme="majorHAnsi" w:cstheme="minorBidi"/>
          <w:sz w:val="20"/>
          <w:szCs w:val="22"/>
          <w:lang w:eastAsia="en-US"/>
        </w:rPr>
        <w:t xml:space="preserve">см.п. </w:t>
      </w:r>
      <w:r>
        <w:rPr>
          <w:rFonts w:asciiTheme="majorHAnsi" w:eastAsiaTheme="minorHAnsi" w:hAnsiTheme="majorHAnsi" w:cstheme="minorBidi"/>
          <w:sz w:val="20"/>
          <w:szCs w:val="22"/>
          <w:lang w:eastAsia="en-US"/>
        </w:rPr>
        <w:t>7</w:t>
      </w:r>
      <w:r w:rsidRPr="00543B11">
        <w:rPr>
          <w:rFonts w:asciiTheme="majorHAnsi" w:eastAsiaTheme="minorHAnsi" w:hAnsiTheme="majorHAnsi" w:cstheme="minorBidi"/>
          <w:sz w:val="20"/>
          <w:szCs w:val="22"/>
          <w:lang w:eastAsia="en-US"/>
        </w:rPr>
        <w:t xml:space="preserve"> настоящего Отчета.</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346"/>
        <w:gridCol w:w="1706"/>
        <w:gridCol w:w="1134"/>
        <w:gridCol w:w="562"/>
        <w:gridCol w:w="1134"/>
        <w:gridCol w:w="708"/>
        <w:gridCol w:w="1205"/>
        <w:gridCol w:w="877"/>
        <w:gridCol w:w="1418"/>
        <w:gridCol w:w="475"/>
        <w:gridCol w:w="425"/>
        <w:gridCol w:w="349"/>
      </w:tblGrid>
      <w:tr w:rsidR="00631C59" w:rsidRPr="00341263" w:rsidTr="006C24AA">
        <w:trPr>
          <w:trHeight w:val="209"/>
          <w:jc w:val="center"/>
        </w:trPr>
        <w:tc>
          <w:tcPr>
            <w:tcW w:w="346" w:type="dxa"/>
            <w:vMerge w:val="restart"/>
            <w:shd w:val="clear" w:color="000000" w:fill="F2F2F2"/>
            <w:vAlign w:val="center"/>
            <w:hideMark/>
          </w:tcPr>
          <w:p w:rsidR="00543B11" w:rsidRPr="00341263" w:rsidRDefault="00543B11" w:rsidP="00543B11">
            <w:pPr>
              <w:ind w:left="-93" w:right="-123"/>
              <w:jc w:val="center"/>
              <w:rPr>
                <w:rFonts w:asciiTheme="majorHAnsi" w:hAnsiTheme="majorHAnsi"/>
                <w:b/>
                <w:bCs/>
                <w:color w:val="000000"/>
                <w:sz w:val="18"/>
                <w:szCs w:val="18"/>
              </w:rPr>
            </w:pPr>
            <w:r w:rsidRPr="00341263">
              <w:rPr>
                <w:rFonts w:asciiTheme="majorHAnsi" w:hAnsiTheme="majorHAnsi"/>
                <w:b/>
                <w:bCs/>
                <w:color w:val="000000"/>
                <w:sz w:val="18"/>
                <w:szCs w:val="18"/>
              </w:rPr>
              <w:t>№ п/п</w:t>
            </w:r>
          </w:p>
        </w:tc>
        <w:tc>
          <w:tcPr>
            <w:tcW w:w="1706" w:type="dxa"/>
            <w:vMerge w:val="restart"/>
            <w:shd w:val="clear" w:color="000000" w:fill="F2F2F2"/>
            <w:vAlign w:val="center"/>
            <w:hideMark/>
          </w:tcPr>
          <w:p w:rsidR="00543B11" w:rsidRPr="00341263" w:rsidRDefault="00543B11" w:rsidP="00543B11">
            <w:pPr>
              <w:ind w:left="-93" w:right="-123"/>
              <w:jc w:val="center"/>
              <w:rPr>
                <w:rFonts w:asciiTheme="majorHAnsi" w:hAnsiTheme="majorHAnsi"/>
                <w:b/>
                <w:bCs/>
                <w:color w:val="000000"/>
                <w:sz w:val="18"/>
                <w:szCs w:val="18"/>
              </w:rPr>
            </w:pPr>
            <w:r w:rsidRPr="00341263">
              <w:rPr>
                <w:rFonts w:asciiTheme="majorHAnsi" w:hAnsiTheme="majorHAnsi"/>
                <w:b/>
                <w:bCs/>
                <w:color w:val="000000"/>
                <w:sz w:val="18"/>
                <w:szCs w:val="18"/>
              </w:rPr>
              <w:t>Наименование объекта</w:t>
            </w:r>
          </w:p>
        </w:tc>
        <w:tc>
          <w:tcPr>
            <w:tcW w:w="1134" w:type="dxa"/>
            <w:vMerge w:val="restart"/>
            <w:shd w:val="clear" w:color="000000" w:fill="F2F2F2"/>
            <w:vAlign w:val="center"/>
            <w:hideMark/>
          </w:tcPr>
          <w:p w:rsidR="006C24AA" w:rsidRDefault="00543B11" w:rsidP="006C24AA">
            <w:pPr>
              <w:ind w:left="-108" w:right="-123"/>
              <w:jc w:val="center"/>
              <w:rPr>
                <w:rFonts w:asciiTheme="majorHAnsi" w:hAnsiTheme="majorHAnsi"/>
                <w:b/>
                <w:bCs/>
                <w:color w:val="000000"/>
                <w:sz w:val="18"/>
                <w:szCs w:val="18"/>
              </w:rPr>
            </w:pPr>
            <w:r w:rsidRPr="00341263">
              <w:rPr>
                <w:rFonts w:asciiTheme="majorHAnsi" w:hAnsiTheme="majorHAnsi"/>
                <w:b/>
                <w:bCs/>
                <w:color w:val="000000"/>
                <w:sz w:val="18"/>
                <w:szCs w:val="18"/>
              </w:rPr>
              <w:t>Функционал</w:t>
            </w:r>
            <w:r w:rsidR="006C24AA">
              <w:rPr>
                <w:rFonts w:asciiTheme="majorHAnsi" w:hAnsiTheme="majorHAnsi"/>
                <w:b/>
                <w:bCs/>
                <w:color w:val="000000"/>
                <w:sz w:val="18"/>
                <w:szCs w:val="18"/>
              </w:rPr>
              <w:t>.</w:t>
            </w:r>
          </w:p>
          <w:p w:rsidR="00543B11" w:rsidRPr="00341263" w:rsidRDefault="00543B11" w:rsidP="006C24AA">
            <w:pPr>
              <w:ind w:left="-108" w:right="-123"/>
              <w:jc w:val="center"/>
              <w:rPr>
                <w:rFonts w:asciiTheme="majorHAnsi" w:hAnsiTheme="majorHAnsi"/>
                <w:b/>
                <w:bCs/>
                <w:color w:val="000000"/>
                <w:sz w:val="18"/>
                <w:szCs w:val="18"/>
              </w:rPr>
            </w:pPr>
            <w:r w:rsidRPr="00341263">
              <w:rPr>
                <w:rFonts w:asciiTheme="majorHAnsi" w:hAnsiTheme="majorHAnsi"/>
                <w:b/>
                <w:bCs/>
                <w:color w:val="000000"/>
                <w:sz w:val="18"/>
                <w:szCs w:val="18"/>
              </w:rPr>
              <w:t>на</w:t>
            </w:r>
            <w:r w:rsidR="006C24AA">
              <w:rPr>
                <w:rFonts w:asciiTheme="majorHAnsi" w:hAnsiTheme="majorHAnsi"/>
                <w:b/>
                <w:bCs/>
                <w:color w:val="000000"/>
                <w:sz w:val="18"/>
                <w:szCs w:val="18"/>
              </w:rPr>
              <w:t>зна</w:t>
            </w:r>
            <w:r w:rsidRPr="00341263">
              <w:rPr>
                <w:rFonts w:asciiTheme="majorHAnsi" w:hAnsiTheme="majorHAnsi"/>
                <w:b/>
                <w:bCs/>
                <w:color w:val="000000"/>
                <w:sz w:val="18"/>
                <w:szCs w:val="18"/>
              </w:rPr>
              <w:t>чение</w:t>
            </w:r>
          </w:p>
        </w:tc>
        <w:tc>
          <w:tcPr>
            <w:tcW w:w="562" w:type="dxa"/>
            <w:vMerge w:val="restart"/>
            <w:shd w:val="clear" w:color="000000" w:fill="F2F2F2"/>
            <w:vAlign w:val="center"/>
            <w:hideMark/>
          </w:tcPr>
          <w:p w:rsidR="00543B11" w:rsidRPr="00341263" w:rsidRDefault="00631C59" w:rsidP="006C24AA">
            <w:pPr>
              <w:ind w:left="-108" w:right="-123"/>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   </w:t>
            </w:r>
            <w:r w:rsidR="00543B11" w:rsidRPr="00341263">
              <w:rPr>
                <w:rFonts w:asciiTheme="majorHAnsi" w:hAnsiTheme="majorHAnsi"/>
                <w:b/>
                <w:bCs/>
                <w:color w:val="000000"/>
                <w:sz w:val="18"/>
                <w:szCs w:val="18"/>
              </w:rPr>
              <w:t>Литер</w:t>
            </w:r>
          </w:p>
        </w:tc>
        <w:tc>
          <w:tcPr>
            <w:tcW w:w="1134" w:type="dxa"/>
            <w:vMerge w:val="restart"/>
            <w:shd w:val="clear" w:color="000000" w:fill="F2F2F2"/>
            <w:vAlign w:val="center"/>
            <w:hideMark/>
          </w:tcPr>
          <w:p w:rsidR="00543B11" w:rsidRPr="00341263" w:rsidRDefault="00543B11" w:rsidP="00631C59">
            <w:pPr>
              <w:ind w:left="-108" w:right="-123"/>
              <w:jc w:val="center"/>
              <w:rPr>
                <w:rFonts w:asciiTheme="majorHAnsi" w:hAnsiTheme="majorHAnsi"/>
                <w:b/>
                <w:bCs/>
                <w:color w:val="000000"/>
                <w:sz w:val="18"/>
                <w:szCs w:val="18"/>
              </w:rPr>
            </w:pPr>
            <w:r w:rsidRPr="00341263">
              <w:rPr>
                <w:rFonts w:asciiTheme="majorHAnsi" w:hAnsiTheme="majorHAnsi"/>
                <w:b/>
                <w:bCs/>
                <w:color w:val="000000"/>
                <w:sz w:val="18"/>
                <w:szCs w:val="18"/>
              </w:rPr>
              <w:t>Год постройки</w:t>
            </w:r>
          </w:p>
        </w:tc>
        <w:tc>
          <w:tcPr>
            <w:tcW w:w="708" w:type="dxa"/>
            <w:vMerge w:val="restart"/>
            <w:shd w:val="clear" w:color="000000" w:fill="F2F2F2"/>
            <w:vAlign w:val="center"/>
            <w:hideMark/>
          </w:tcPr>
          <w:p w:rsidR="00543B11" w:rsidRPr="00341263" w:rsidRDefault="00543B11" w:rsidP="00631C59">
            <w:pPr>
              <w:ind w:left="-113" w:right="-123"/>
              <w:jc w:val="center"/>
              <w:rPr>
                <w:rFonts w:asciiTheme="majorHAnsi" w:hAnsiTheme="majorHAnsi"/>
                <w:b/>
                <w:bCs/>
                <w:color w:val="000000"/>
                <w:sz w:val="18"/>
                <w:szCs w:val="18"/>
              </w:rPr>
            </w:pPr>
            <w:r w:rsidRPr="00341263">
              <w:rPr>
                <w:rFonts w:asciiTheme="majorHAnsi" w:hAnsiTheme="majorHAnsi"/>
                <w:b/>
                <w:bCs/>
                <w:color w:val="000000"/>
                <w:sz w:val="18"/>
                <w:szCs w:val="18"/>
              </w:rPr>
              <w:t>Группа кап-ти</w:t>
            </w:r>
          </w:p>
        </w:tc>
        <w:tc>
          <w:tcPr>
            <w:tcW w:w="1205" w:type="dxa"/>
            <w:vMerge w:val="restart"/>
            <w:shd w:val="clear" w:color="000000" w:fill="F2F2F2"/>
            <w:vAlign w:val="center"/>
            <w:hideMark/>
          </w:tcPr>
          <w:p w:rsidR="00543B11" w:rsidRPr="00341263" w:rsidRDefault="00543B11" w:rsidP="00631C59">
            <w:pPr>
              <w:ind w:left="-178" w:right="-123"/>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Дата последнего </w:t>
            </w:r>
            <w:r w:rsidR="00631C59" w:rsidRPr="00341263">
              <w:rPr>
                <w:rFonts w:asciiTheme="majorHAnsi" w:hAnsiTheme="majorHAnsi"/>
                <w:b/>
                <w:bCs/>
                <w:color w:val="000000"/>
                <w:sz w:val="18"/>
                <w:szCs w:val="18"/>
              </w:rPr>
              <w:t xml:space="preserve">   </w:t>
            </w:r>
            <w:r w:rsidRPr="00341263">
              <w:rPr>
                <w:rFonts w:asciiTheme="majorHAnsi" w:hAnsiTheme="majorHAnsi"/>
                <w:b/>
                <w:bCs/>
                <w:color w:val="000000"/>
                <w:sz w:val="18"/>
                <w:szCs w:val="18"/>
              </w:rPr>
              <w:t>капремонта</w:t>
            </w:r>
          </w:p>
        </w:tc>
        <w:tc>
          <w:tcPr>
            <w:tcW w:w="877" w:type="dxa"/>
            <w:vMerge w:val="restart"/>
            <w:shd w:val="clear" w:color="000000" w:fill="F2F2F2"/>
            <w:vAlign w:val="center"/>
            <w:hideMark/>
          </w:tcPr>
          <w:p w:rsidR="00543B11" w:rsidRPr="00341263" w:rsidRDefault="00543B11" w:rsidP="00631C59">
            <w:pPr>
              <w:ind w:left="-108" w:right="-123"/>
              <w:jc w:val="center"/>
              <w:rPr>
                <w:rFonts w:asciiTheme="majorHAnsi" w:hAnsiTheme="majorHAnsi"/>
                <w:b/>
                <w:bCs/>
                <w:color w:val="000000"/>
                <w:sz w:val="18"/>
                <w:szCs w:val="18"/>
              </w:rPr>
            </w:pPr>
            <w:r w:rsidRPr="00341263">
              <w:rPr>
                <w:rFonts w:asciiTheme="majorHAnsi" w:hAnsiTheme="majorHAnsi"/>
                <w:b/>
                <w:bCs/>
                <w:color w:val="000000"/>
                <w:sz w:val="18"/>
                <w:szCs w:val="18"/>
              </w:rPr>
              <w:t>Площадь объекта (кв. м.)</w:t>
            </w:r>
          </w:p>
        </w:tc>
        <w:tc>
          <w:tcPr>
            <w:tcW w:w="1418" w:type="dxa"/>
            <w:vMerge w:val="restart"/>
            <w:shd w:val="clear" w:color="000000" w:fill="F2F2F2"/>
            <w:vAlign w:val="center"/>
            <w:hideMark/>
          </w:tcPr>
          <w:p w:rsidR="00543B11" w:rsidRPr="00341263" w:rsidRDefault="00543B11" w:rsidP="006C24AA">
            <w:pPr>
              <w:ind w:left="-93" w:right="-123"/>
              <w:jc w:val="center"/>
              <w:rPr>
                <w:rFonts w:asciiTheme="majorHAnsi" w:hAnsiTheme="majorHAnsi"/>
                <w:b/>
                <w:bCs/>
                <w:color w:val="000000"/>
                <w:sz w:val="18"/>
                <w:szCs w:val="18"/>
              </w:rPr>
            </w:pPr>
            <w:r w:rsidRPr="00341263">
              <w:rPr>
                <w:rFonts w:asciiTheme="majorHAnsi" w:hAnsiTheme="majorHAnsi"/>
                <w:b/>
                <w:bCs/>
                <w:color w:val="000000"/>
                <w:sz w:val="18"/>
                <w:szCs w:val="18"/>
              </w:rPr>
              <w:t>Этаж</w:t>
            </w:r>
            <w:r w:rsidR="006C24AA">
              <w:rPr>
                <w:rFonts w:asciiTheme="majorHAnsi" w:hAnsiTheme="majorHAnsi"/>
                <w:b/>
                <w:bCs/>
                <w:color w:val="000000"/>
                <w:sz w:val="18"/>
                <w:szCs w:val="18"/>
              </w:rPr>
              <w:t>ность</w:t>
            </w:r>
          </w:p>
        </w:tc>
        <w:tc>
          <w:tcPr>
            <w:tcW w:w="1249" w:type="dxa"/>
            <w:gridSpan w:val="3"/>
            <w:shd w:val="clear" w:color="000000" w:fill="F2F2F2"/>
            <w:vAlign w:val="center"/>
            <w:hideMark/>
          </w:tcPr>
          <w:p w:rsidR="00543B11" w:rsidRPr="00341263" w:rsidRDefault="00543B11" w:rsidP="00543B11">
            <w:pPr>
              <w:ind w:left="-93" w:right="-123"/>
              <w:jc w:val="center"/>
              <w:rPr>
                <w:rFonts w:asciiTheme="majorHAnsi" w:hAnsiTheme="majorHAnsi"/>
                <w:b/>
                <w:bCs/>
                <w:color w:val="000000"/>
                <w:sz w:val="18"/>
                <w:szCs w:val="18"/>
              </w:rPr>
            </w:pPr>
            <w:r w:rsidRPr="00341263">
              <w:rPr>
                <w:rFonts w:asciiTheme="majorHAnsi" w:hAnsiTheme="majorHAnsi"/>
                <w:b/>
                <w:bCs/>
                <w:color w:val="000000"/>
                <w:sz w:val="18"/>
                <w:szCs w:val="18"/>
              </w:rPr>
              <w:t>Износ (%)</w:t>
            </w:r>
          </w:p>
        </w:tc>
      </w:tr>
      <w:tr w:rsidR="00631C59" w:rsidRPr="00341263" w:rsidTr="006C24AA">
        <w:trPr>
          <w:cantSplit/>
          <w:trHeight w:val="1522"/>
          <w:jc w:val="center"/>
        </w:trPr>
        <w:tc>
          <w:tcPr>
            <w:tcW w:w="346" w:type="dxa"/>
            <w:vMerge/>
            <w:vAlign w:val="center"/>
            <w:hideMark/>
          </w:tcPr>
          <w:p w:rsidR="00543B11" w:rsidRPr="00341263" w:rsidRDefault="00543B11" w:rsidP="00543B11">
            <w:pPr>
              <w:ind w:left="-93" w:right="-123"/>
              <w:jc w:val="center"/>
              <w:rPr>
                <w:rFonts w:asciiTheme="majorHAnsi" w:hAnsiTheme="majorHAnsi"/>
                <w:b/>
                <w:bCs/>
                <w:color w:val="000000"/>
                <w:sz w:val="18"/>
                <w:szCs w:val="18"/>
              </w:rPr>
            </w:pPr>
          </w:p>
        </w:tc>
        <w:tc>
          <w:tcPr>
            <w:tcW w:w="1706" w:type="dxa"/>
            <w:vMerge/>
            <w:vAlign w:val="center"/>
            <w:hideMark/>
          </w:tcPr>
          <w:p w:rsidR="00543B11" w:rsidRPr="00341263" w:rsidRDefault="00543B11" w:rsidP="00543B11">
            <w:pPr>
              <w:ind w:left="-93" w:right="-123"/>
              <w:jc w:val="center"/>
              <w:rPr>
                <w:rFonts w:asciiTheme="majorHAnsi" w:hAnsiTheme="majorHAnsi"/>
                <w:b/>
                <w:bCs/>
                <w:color w:val="000000"/>
                <w:sz w:val="18"/>
                <w:szCs w:val="18"/>
              </w:rPr>
            </w:pPr>
          </w:p>
        </w:tc>
        <w:tc>
          <w:tcPr>
            <w:tcW w:w="1134" w:type="dxa"/>
            <w:vMerge/>
            <w:vAlign w:val="center"/>
            <w:hideMark/>
          </w:tcPr>
          <w:p w:rsidR="00543B11" w:rsidRPr="00341263" w:rsidRDefault="00543B11" w:rsidP="00543B11">
            <w:pPr>
              <w:ind w:left="-93" w:right="-123"/>
              <w:jc w:val="center"/>
              <w:rPr>
                <w:rFonts w:asciiTheme="majorHAnsi" w:hAnsiTheme="majorHAnsi"/>
                <w:b/>
                <w:bCs/>
                <w:color w:val="000000"/>
                <w:sz w:val="18"/>
                <w:szCs w:val="18"/>
              </w:rPr>
            </w:pPr>
          </w:p>
        </w:tc>
        <w:tc>
          <w:tcPr>
            <w:tcW w:w="562" w:type="dxa"/>
            <w:vMerge/>
            <w:vAlign w:val="center"/>
            <w:hideMark/>
          </w:tcPr>
          <w:p w:rsidR="00543B11" w:rsidRPr="00341263" w:rsidRDefault="00543B11" w:rsidP="00543B11">
            <w:pPr>
              <w:ind w:left="-93" w:right="-123"/>
              <w:jc w:val="center"/>
              <w:rPr>
                <w:rFonts w:asciiTheme="majorHAnsi" w:hAnsiTheme="majorHAnsi"/>
                <w:b/>
                <w:bCs/>
                <w:color w:val="000000"/>
                <w:sz w:val="18"/>
                <w:szCs w:val="18"/>
              </w:rPr>
            </w:pPr>
          </w:p>
        </w:tc>
        <w:tc>
          <w:tcPr>
            <w:tcW w:w="1134" w:type="dxa"/>
            <w:vMerge/>
            <w:vAlign w:val="center"/>
            <w:hideMark/>
          </w:tcPr>
          <w:p w:rsidR="00543B11" w:rsidRPr="00341263" w:rsidRDefault="00543B11" w:rsidP="00543B11">
            <w:pPr>
              <w:ind w:left="-93" w:right="-123"/>
              <w:jc w:val="center"/>
              <w:rPr>
                <w:rFonts w:asciiTheme="majorHAnsi" w:hAnsiTheme="majorHAnsi"/>
                <w:b/>
                <w:bCs/>
                <w:color w:val="000000"/>
                <w:sz w:val="18"/>
                <w:szCs w:val="18"/>
              </w:rPr>
            </w:pPr>
          </w:p>
        </w:tc>
        <w:tc>
          <w:tcPr>
            <w:tcW w:w="708" w:type="dxa"/>
            <w:vMerge/>
            <w:vAlign w:val="center"/>
            <w:hideMark/>
          </w:tcPr>
          <w:p w:rsidR="00543B11" w:rsidRPr="00341263" w:rsidRDefault="00543B11" w:rsidP="00543B11">
            <w:pPr>
              <w:ind w:left="-93" w:right="-123"/>
              <w:jc w:val="center"/>
              <w:rPr>
                <w:rFonts w:asciiTheme="majorHAnsi" w:hAnsiTheme="majorHAnsi"/>
                <w:b/>
                <w:bCs/>
                <w:color w:val="000000"/>
                <w:sz w:val="18"/>
                <w:szCs w:val="18"/>
              </w:rPr>
            </w:pPr>
          </w:p>
        </w:tc>
        <w:tc>
          <w:tcPr>
            <w:tcW w:w="1205" w:type="dxa"/>
            <w:vMerge/>
            <w:vAlign w:val="center"/>
            <w:hideMark/>
          </w:tcPr>
          <w:p w:rsidR="00543B11" w:rsidRPr="00341263" w:rsidRDefault="00543B11" w:rsidP="00631C59">
            <w:pPr>
              <w:ind w:left="-178" w:right="-123"/>
              <w:jc w:val="center"/>
              <w:rPr>
                <w:rFonts w:asciiTheme="majorHAnsi" w:hAnsiTheme="majorHAnsi"/>
                <w:b/>
                <w:bCs/>
                <w:color w:val="000000"/>
                <w:sz w:val="18"/>
                <w:szCs w:val="18"/>
              </w:rPr>
            </w:pPr>
          </w:p>
        </w:tc>
        <w:tc>
          <w:tcPr>
            <w:tcW w:w="877" w:type="dxa"/>
            <w:vMerge/>
            <w:vAlign w:val="center"/>
            <w:hideMark/>
          </w:tcPr>
          <w:p w:rsidR="00543B11" w:rsidRPr="00341263" w:rsidRDefault="00543B11" w:rsidP="00543B11">
            <w:pPr>
              <w:ind w:left="-93" w:right="-123"/>
              <w:jc w:val="center"/>
              <w:rPr>
                <w:rFonts w:asciiTheme="majorHAnsi" w:hAnsiTheme="majorHAnsi"/>
                <w:b/>
                <w:bCs/>
                <w:color w:val="000000"/>
                <w:sz w:val="18"/>
                <w:szCs w:val="18"/>
              </w:rPr>
            </w:pPr>
          </w:p>
        </w:tc>
        <w:tc>
          <w:tcPr>
            <w:tcW w:w="1418" w:type="dxa"/>
            <w:vMerge/>
            <w:vAlign w:val="center"/>
            <w:hideMark/>
          </w:tcPr>
          <w:p w:rsidR="00543B11" w:rsidRPr="00341263" w:rsidRDefault="00543B11" w:rsidP="00543B11">
            <w:pPr>
              <w:ind w:left="-93" w:right="-123"/>
              <w:jc w:val="center"/>
              <w:rPr>
                <w:rFonts w:asciiTheme="majorHAnsi" w:hAnsiTheme="majorHAnsi"/>
                <w:b/>
                <w:bCs/>
                <w:color w:val="000000"/>
                <w:sz w:val="18"/>
                <w:szCs w:val="18"/>
              </w:rPr>
            </w:pPr>
          </w:p>
        </w:tc>
        <w:tc>
          <w:tcPr>
            <w:tcW w:w="475" w:type="dxa"/>
            <w:shd w:val="clear" w:color="000000" w:fill="F2F2F2"/>
            <w:textDirection w:val="btLr"/>
            <w:vAlign w:val="center"/>
            <w:hideMark/>
          </w:tcPr>
          <w:p w:rsidR="00543B11" w:rsidRPr="00341263" w:rsidRDefault="00543B11" w:rsidP="00543B11">
            <w:pPr>
              <w:ind w:left="-93" w:right="-123"/>
              <w:jc w:val="center"/>
              <w:rPr>
                <w:rFonts w:asciiTheme="majorHAnsi" w:hAnsiTheme="majorHAnsi"/>
                <w:b/>
                <w:bCs/>
                <w:color w:val="000000"/>
                <w:sz w:val="18"/>
                <w:szCs w:val="18"/>
              </w:rPr>
            </w:pPr>
            <w:r w:rsidRPr="00341263">
              <w:rPr>
                <w:rFonts w:asciiTheme="majorHAnsi" w:hAnsiTheme="majorHAnsi"/>
                <w:b/>
                <w:bCs/>
                <w:color w:val="000000"/>
                <w:sz w:val="18"/>
                <w:szCs w:val="18"/>
              </w:rPr>
              <w:t>Физический</w:t>
            </w:r>
          </w:p>
        </w:tc>
        <w:tc>
          <w:tcPr>
            <w:tcW w:w="425" w:type="dxa"/>
            <w:shd w:val="clear" w:color="000000" w:fill="F2F2F2"/>
            <w:textDirection w:val="btLr"/>
            <w:vAlign w:val="center"/>
            <w:hideMark/>
          </w:tcPr>
          <w:p w:rsidR="00543B11" w:rsidRPr="00341263" w:rsidRDefault="00543B11" w:rsidP="00543B11">
            <w:pPr>
              <w:ind w:left="-93" w:right="-123"/>
              <w:jc w:val="center"/>
              <w:rPr>
                <w:rFonts w:asciiTheme="majorHAnsi" w:hAnsiTheme="majorHAnsi"/>
                <w:b/>
                <w:bCs/>
                <w:color w:val="000000"/>
                <w:sz w:val="18"/>
                <w:szCs w:val="18"/>
              </w:rPr>
            </w:pPr>
            <w:r w:rsidRPr="00341263">
              <w:rPr>
                <w:rFonts w:asciiTheme="majorHAnsi" w:hAnsiTheme="majorHAnsi"/>
                <w:b/>
                <w:bCs/>
                <w:color w:val="000000"/>
                <w:sz w:val="18"/>
                <w:szCs w:val="18"/>
              </w:rPr>
              <w:t>Экономический</w:t>
            </w:r>
          </w:p>
        </w:tc>
        <w:tc>
          <w:tcPr>
            <w:tcW w:w="349" w:type="dxa"/>
            <w:shd w:val="clear" w:color="000000" w:fill="F2F2F2"/>
            <w:textDirection w:val="btLr"/>
            <w:vAlign w:val="center"/>
            <w:hideMark/>
          </w:tcPr>
          <w:p w:rsidR="00543B11" w:rsidRPr="00341263" w:rsidRDefault="00543B11" w:rsidP="00543B11">
            <w:pPr>
              <w:ind w:left="-93" w:right="-123"/>
              <w:jc w:val="center"/>
              <w:rPr>
                <w:rFonts w:asciiTheme="majorHAnsi" w:hAnsiTheme="majorHAnsi"/>
                <w:b/>
                <w:bCs/>
                <w:color w:val="000000"/>
                <w:sz w:val="18"/>
                <w:szCs w:val="18"/>
              </w:rPr>
            </w:pPr>
            <w:r w:rsidRPr="00341263">
              <w:rPr>
                <w:rFonts w:asciiTheme="majorHAnsi" w:hAnsiTheme="majorHAnsi"/>
                <w:b/>
                <w:bCs/>
                <w:color w:val="000000"/>
                <w:sz w:val="18"/>
                <w:szCs w:val="18"/>
              </w:rPr>
              <w:t>Моральный</w:t>
            </w:r>
          </w:p>
        </w:tc>
      </w:tr>
      <w:tr w:rsidR="00631C59" w:rsidRPr="00341263" w:rsidTr="006C24AA">
        <w:trPr>
          <w:trHeight w:val="765"/>
          <w:jc w:val="center"/>
        </w:trPr>
        <w:tc>
          <w:tcPr>
            <w:tcW w:w="346" w:type="dxa"/>
            <w:shd w:val="clear" w:color="auto" w:fill="auto"/>
            <w:noWrap/>
            <w:vAlign w:val="center"/>
            <w:hideMark/>
          </w:tcPr>
          <w:p w:rsidR="00543B11" w:rsidRPr="00341263" w:rsidRDefault="00543B11" w:rsidP="00543B11">
            <w:pPr>
              <w:ind w:left="-93" w:right="-123"/>
              <w:jc w:val="center"/>
              <w:rPr>
                <w:rFonts w:asciiTheme="majorHAnsi" w:hAnsiTheme="majorHAnsi"/>
                <w:color w:val="000000"/>
                <w:sz w:val="18"/>
                <w:szCs w:val="18"/>
              </w:rPr>
            </w:pPr>
            <w:r w:rsidRPr="00341263">
              <w:rPr>
                <w:rFonts w:asciiTheme="majorHAnsi" w:hAnsiTheme="majorHAnsi"/>
                <w:color w:val="000000"/>
                <w:sz w:val="18"/>
                <w:szCs w:val="18"/>
              </w:rPr>
              <w:t>1</w:t>
            </w:r>
          </w:p>
        </w:tc>
        <w:tc>
          <w:tcPr>
            <w:tcW w:w="1706" w:type="dxa"/>
            <w:shd w:val="clear" w:color="000000" w:fill="FFFFFF"/>
            <w:vAlign w:val="center"/>
            <w:hideMark/>
          </w:tcPr>
          <w:p w:rsidR="00543B11" w:rsidRPr="00341263" w:rsidRDefault="00384A1B" w:rsidP="00384A1B">
            <w:pPr>
              <w:ind w:left="-103" w:right="-125"/>
              <w:jc w:val="center"/>
              <w:rPr>
                <w:rFonts w:asciiTheme="majorHAnsi" w:hAnsiTheme="majorHAnsi"/>
                <w:color w:val="000000"/>
                <w:sz w:val="18"/>
                <w:szCs w:val="18"/>
              </w:rPr>
            </w:pPr>
            <w:r w:rsidRPr="00384A1B">
              <w:rPr>
                <w:rFonts w:ascii="Cambria" w:hAnsi="Cambria"/>
                <w:color w:val="000000"/>
                <w:sz w:val="18"/>
                <w:szCs w:val="18"/>
              </w:rPr>
              <w:t>Нежилые строения (Производственный корпус)</w:t>
            </w:r>
          </w:p>
        </w:tc>
        <w:tc>
          <w:tcPr>
            <w:tcW w:w="1134" w:type="dxa"/>
            <w:shd w:val="clear" w:color="000000" w:fill="FFFFFF"/>
            <w:vAlign w:val="center"/>
            <w:hideMark/>
          </w:tcPr>
          <w:p w:rsidR="00543B11" w:rsidRPr="00341263" w:rsidRDefault="00543B11" w:rsidP="006C24AA">
            <w:pPr>
              <w:ind w:left="-160" w:right="-123"/>
              <w:jc w:val="center"/>
              <w:rPr>
                <w:rFonts w:asciiTheme="majorHAnsi" w:hAnsiTheme="majorHAnsi"/>
                <w:color w:val="000000"/>
                <w:sz w:val="18"/>
                <w:szCs w:val="18"/>
              </w:rPr>
            </w:pPr>
            <w:r w:rsidRPr="00341263">
              <w:rPr>
                <w:rFonts w:asciiTheme="majorHAnsi" w:hAnsiTheme="majorHAnsi"/>
                <w:color w:val="000000"/>
                <w:sz w:val="18"/>
                <w:szCs w:val="18"/>
              </w:rPr>
              <w:t xml:space="preserve">Нежилое </w:t>
            </w:r>
            <w:r w:rsidR="00631C59" w:rsidRPr="00341263">
              <w:rPr>
                <w:rFonts w:asciiTheme="majorHAnsi" w:hAnsiTheme="majorHAnsi"/>
                <w:color w:val="000000"/>
                <w:sz w:val="18"/>
                <w:szCs w:val="18"/>
              </w:rPr>
              <w:t xml:space="preserve">      </w:t>
            </w:r>
          </w:p>
        </w:tc>
        <w:tc>
          <w:tcPr>
            <w:tcW w:w="562" w:type="dxa"/>
            <w:shd w:val="clear" w:color="000000" w:fill="FFFFFF"/>
            <w:noWrap/>
            <w:vAlign w:val="center"/>
            <w:hideMark/>
          </w:tcPr>
          <w:p w:rsidR="00543B11" w:rsidRPr="00341263" w:rsidRDefault="00631C59" w:rsidP="00384A1B">
            <w:pPr>
              <w:ind w:left="-93" w:right="-123"/>
              <w:jc w:val="center"/>
              <w:rPr>
                <w:rFonts w:asciiTheme="majorHAnsi" w:hAnsiTheme="majorHAnsi"/>
                <w:color w:val="000000"/>
                <w:sz w:val="18"/>
                <w:szCs w:val="18"/>
              </w:rPr>
            </w:pPr>
            <w:r w:rsidRPr="00341263">
              <w:rPr>
                <w:rFonts w:asciiTheme="majorHAnsi" w:hAnsiTheme="majorHAnsi"/>
                <w:color w:val="000000"/>
                <w:sz w:val="18"/>
                <w:szCs w:val="18"/>
              </w:rPr>
              <w:t>Б</w:t>
            </w:r>
            <w:r w:rsidR="00384A1B">
              <w:rPr>
                <w:rFonts w:asciiTheme="majorHAnsi" w:hAnsiTheme="majorHAnsi"/>
                <w:color w:val="000000"/>
                <w:sz w:val="18"/>
                <w:szCs w:val="18"/>
              </w:rPr>
              <w:t>,б</w:t>
            </w:r>
          </w:p>
        </w:tc>
        <w:tc>
          <w:tcPr>
            <w:tcW w:w="1134" w:type="dxa"/>
            <w:shd w:val="clear" w:color="000000" w:fill="FFFFFF"/>
            <w:vAlign w:val="center"/>
            <w:hideMark/>
          </w:tcPr>
          <w:p w:rsidR="00543B11" w:rsidRPr="00341263" w:rsidRDefault="00631C59" w:rsidP="00384A1B">
            <w:pPr>
              <w:ind w:left="-179" w:right="-123"/>
              <w:jc w:val="center"/>
              <w:rPr>
                <w:rFonts w:asciiTheme="majorHAnsi" w:hAnsiTheme="majorHAnsi"/>
                <w:color w:val="000000"/>
                <w:sz w:val="18"/>
                <w:szCs w:val="18"/>
              </w:rPr>
            </w:pPr>
            <w:r w:rsidRPr="00341263">
              <w:rPr>
                <w:rFonts w:asciiTheme="majorHAnsi" w:hAnsiTheme="majorHAnsi"/>
                <w:color w:val="000000"/>
                <w:sz w:val="18"/>
                <w:szCs w:val="18"/>
              </w:rPr>
              <w:t>19</w:t>
            </w:r>
            <w:r w:rsidR="00384A1B">
              <w:rPr>
                <w:rFonts w:asciiTheme="majorHAnsi" w:hAnsiTheme="majorHAnsi"/>
                <w:color w:val="000000"/>
                <w:sz w:val="18"/>
                <w:szCs w:val="18"/>
              </w:rPr>
              <w:t>89</w:t>
            </w:r>
          </w:p>
        </w:tc>
        <w:tc>
          <w:tcPr>
            <w:tcW w:w="708" w:type="dxa"/>
            <w:shd w:val="clear" w:color="000000" w:fill="FFFFFF"/>
            <w:noWrap/>
            <w:vAlign w:val="center"/>
            <w:hideMark/>
          </w:tcPr>
          <w:p w:rsidR="00543B11" w:rsidRPr="00341263" w:rsidRDefault="00543B11" w:rsidP="00543B11">
            <w:pPr>
              <w:ind w:left="-93" w:right="-123"/>
              <w:jc w:val="center"/>
              <w:rPr>
                <w:rFonts w:asciiTheme="majorHAnsi" w:hAnsiTheme="majorHAnsi"/>
                <w:color w:val="000000"/>
                <w:sz w:val="18"/>
                <w:szCs w:val="18"/>
              </w:rPr>
            </w:pPr>
            <w:r w:rsidRPr="00341263">
              <w:rPr>
                <w:rFonts w:asciiTheme="majorHAnsi" w:hAnsiTheme="majorHAnsi"/>
                <w:color w:val="000000"/>
                <w:sz w:val="18"/>
                <w:szCs w:val="18"/>
              </w:rPr>
              <w:t>I</w:t>
            </w:r>
            <w:r w:rsidR="00B2010D" w:rsidRPr="00B2010D">
              <w:rPr>
                <w:rFonts w:asciiTheme="majorHAnsi" w:hAnsiTheme="majorHAnsi"/>
                <w:color w:val="000000"/>
                <w:sz w:val="18"/>
                <w:szCs w:val="18"/>
              </w:rPr>
              <w:t>I</w:t>
            </w:r>
          </w:p>
        </w:tc>
        <w:tc>
          <w:tcPr>
            <w:tcW w:w="1205" w:type="dxa"/>
            <w:shd w:val="clear" w:color="000000" w:fill="FFFFFF"/>
            <w:vAlign w:val="center"/>
            <w:hideMark/>
          </w:tcPr>
          <w:p w:rsidR="00543B11" w:rsidRPr="00341263" w:rsidRDefault="00543B11" w:rsidP="00631C59">
            <w:pPr>
              <w:ind w:left="-178" w:right="-123"/>
              <w:jc w:val="center"/>
              <w:rPr>
                <w:rFonts w:asciiTheme="majorHAnsi" w:hAnsiTheme="majorHAnsi"/>
                <w:color w:val="000000"/>
                <w:sz w:val="18"/>
                <w:szCs w:val="18"/>
              </w:rPr>
            </w:pPr>
            <w:r w:rsidRPr="00341263">
              <w:rPr>
                <w:rFonts w:asciiTheme="majorHAnsi" w:hAnsiTheme="majorHAnsi"/>
                <w:color w:val="000000"/>
                <w:sz w:val="18"/>
                <w:szCs w:val="18"/>
              </w:rPr>
              <w:t>Сведения отсутствуют</w:t>
            </w:r>
          </w:p>
        </w:tc>
        <w:tc>
          <w:tcPr>
            <w:tcW w:w="877" w:type="dxa"/>
            <w:shd w:val="clear" w:color="000000" w:fill="FFFFFF"/>
            <w:noWrap/>
            <w:vAlign w:val="center"/>
            <w:hideMark/>
          </w:tcPr>
          <w:p w:rsidR="00543B11" w:rsidRPr="00341263" w:rsidRDefault="006C24AA" w:rsidP="00543B11">
            <w:pPr>
              <w:ind w:left="-93" w:right="-123"/>
              <w:jc w:val="center"/>
              <w:rPr>
                <w:rFonts w:asciiTheme="majorHAnsi" w:hAnsiTheme="majorHAnsi"/>
                <w:color w:val="000000"/>
                <w:sz w:val="18"/>
                <w:szCs w:val="18"/>
              </w:rPr>
            </w:pPr>
            <w:r w:rsidRPr="006C24AA">
              <w:rPr>
                <w:rFonts w:asciiTheme="majorHAnsi" w:hAnsiTheme="majorHAnsi"/>
                <w:color w:val="000000"/>
                <w:sz w:val="18"/>
                <w:szCs w:val="18"/>
              </w:rPr>
              <w:t>8 371,5</w:t>
            </w:r>
          </w:p>
        </w:tc>
        <w:tc>
          <w:tcPr>
            <w:tcW w:w="1418" w:type="dxa"/>
            <w:shd w:val="clear" w:color="000000" w:fill="FFFFFF"/>
            <w:vAlign w:val="center"/>
            <w:hideMark/>
          </w:tcPr>
          <w:p w:rsidR="00543B11" w:rsidRPr="00341263" w:rsidRDefault="00631C59" w:rsidP="006C24AA">
            <w:pPr>
              <w:ind w:left="-93" w:right="-123"/>
              <w:jc w:val="center"/>
              <w:rPr>
                <w:rFonts w:asciiTheme="majorHAnsi" w:hAnsiTheme="majorHAnsi"/>
                <w:color w:val="000000"/>
                <w:sz w:val="18"/>
                <w:szCs w:val="18"/>
              </w:rPr>
            </w:pPr>
            <w:r w:rsidRPr="00341263">
              <w:rPr>
                <w:rFonts w:asciiTheme="majorHAnsi" w:hAnsiTheme="majorHAnsi"/>
                <w:color w:val="000000"/>
                <w:sz w:val="18"/>
                <w:szCs w:val="18"/>
              </w:rPr>
              <w:t>1</w:t>
            </w:r>
            <w:r w:rsidR="006C24AA">
              <w:rPr>
                <w:rFonts w:asciiTheme="majorHAnsi" w:hAnsiTheme="majorHAnsi"/>
                <w:color w:val="000000"/>
                <w:sz w:val="18"/>
                <w:szCs w:val="18"/>
              </w:rPr>
              <w:t xml:space="preserve"> </w:t>
            </w:r>
            <w:r w:rsidRPr="00341263">
              <w:rPr>
                <w:rFonts w:asciiTheme="majorHAnsi" w:hAnsiTheme="majorHAnsi"/>
                <w:color w:val="000000"/>
                <w:sz w:val="18"/>
                <w:szCs w:val="18"/>
              </w:rPr>
              <w:t>эт.</w:t>
            </w:r>
          </w:p>
        </w:tc>
        <w:tc>
          <w:tcPr>
            <w:tcW w:w="475" w:type="dxa"/>
            <w:shd w:val="clear" w:color="000000" w:fill="FFFFFF"/>
            <w:vAlign w:val="center"/>
            <w:hideMark/>
          </w:tcPr>
          <w:p w:rsidR="00543B11" w:rsidRPr="00341263" w:rsidRDefault="006C24AA" w:rsidP="00631C59">
            <w:pPr>
              <w:ind w:left="-93" w:right="-123"/>
              <w:jc w:val="center"/>
              <w:rPr>
                <w:rFonts w:asciiTheme="majorHAnsi" w:hAnsiTheme="majorHAnsi"/>
                <w:color w:val="000000"/>
                <w:sz w:val="18"/>
                <w:szCs w:val="18"/>
              </w:rPr>
            </w:pPr>
            <w:r>
              <w:rPr>
                <w:rFonts w:asciiTheme="majorHAnsi" w:hAnsiTheme="majorHAnsi"/>
                <w:color w:val="000000"/>
                <w:sz w:val="18"/>
                <w:szCs w:val="18"/>
              </w:rPr>
              <w:t>50</w:t>
            </w:r>
            <w:r w:rsidR="00631C59" w:rsidRPr="00341263">
              <w:rPr>
                <w:rFonts w:asciiTheme="majorHAnsi" w:hAnsiTheme="majorHAnsi"/>
                <w:color w:val="000000"/>
                <w:sz w:val="18"/>
                <w:szCs w:val="18"/>
              </w:rPr>
              <w:t xml:space="preserve"> </w:t>
            </w:r>
            <w:r w:rsidR="00543B11" w:rsidRPr="00341263">
              <w:rPr>
                <w:rFonts w:asciiTheme="majorHAnsi" w:hAnsiTheme="majorHAnsi"/>
                <w:color w:val="000000"/>
                <w:sz w:val="18"/>
                <w:szCs w:val="18"/>
              </w:rPr>
              <w:t>%</w:t>
            </w:r>
          </w:p>
        </w:tc>
        <w:tc>
          <w:tcPr>
            <w:tcW w:w="425" w:type="dxa"/>
            <w:shd w:val="clear" w:color="000000" w:fill="FFFFFF"/>
            <w:vAlign w:val="center"/>
            <w:hideMark/>
          </w:tcPr>
          <w:p w:rsidR="00543B11" w:rsidRPr="00341263" w:rsidRDefault="006C24AA" w:rsidP="00631C59">
            <w:pPr>
              <w:ind w:left="-93" w:right="-123"/>
              <w:jc w:val="center"/>
              <w:rPr>
                <w:rFonts w:asciiTheme="majorHAnsi" w:hAnsiTheme="majorHAnsi"/>
                <w:color w:val="000000"/>
                <w:sz w:val="18"/>
                <w:szCs w:val="18"/>
              </w:rPr>
            </w:pPr>
            <w:r>
              <w:rPr>
                <w:rFonts w:asciiTheme="majorHAnsi" w:hAnsiTheme="majorHAnsi"/>
                <w:color w:val="000000"/>
                <w:sz w:val="18"/>
                <w:szCs w:val="18"/>
              </w:rPr>
              <w:t>0</w:t>
            </w:r>
            <w:r w:rsidR="00631C59" w:rsidRPr="00341263">
              <w:rPr>
                <w:rFonts w:asciiTheme="majorHAnsi" w:hAnsiTheme="majorHAnsi"/>
                <w:color w:val="000000"/>
                <w:sz w:val="18"/>
                <w:szCs w:val="18"/>
              </w:rPr>
              <w:t xml:space="preserve"> </w:t>
            </w:r>
            <w:r w:rsidR="00543B11" w:rsidRPr="00341263">
              <w:rPr>
                <w:rFonts w:asciiTheme="majorHAnsi" w:hAnsiTheme="majorHAnsi"/>
                <w:color w:val="000000"/>
                <w:sz w:val="18"/>
                <w:szCs w:val="18"/>
              </w:rPr>
              <w:t>%</w:t>
            </w:r>
          </w:p>
        </w:tc>
        <w:tc>
          <w:tcPr>
            <w:tcW w:w="349" w:type="dxa"/>
            <w:shd w:val="clear" w:color="000000" w:fill="FFFFFF"/>
            <w:vAlign w:val="center"/>
            <w:hideMark/>
          </w:tcPr>
          <w:p w:rsidR="00543B11" w:rsidRPr="00341263" w:rsidRDefault="00543B11" w:rsidP="00631C59">
            <w:pPr>
              <w:ind w:left="-93" w:right="-123"/>
              <w:jc w:val="center"/>
              <w:rPr>
                <w:rFonts w:asciiTheme="majorHAnsi" w:hAnsiTheme="majorHAnsi"/>
                <w:color w:val="000000"/>
                <w:sz w:val="18"/>
                <w:szCs w:val="18"/>
              </w:rPr>
            </w:pPr>
            <w:r w:rsidRPr="00341263">
              <w:rPr>
                <w:rFonts w:asciiTheme="majorHAnsi" w:hAnsiTheme="majorHAnsi"/>
                <w:color w:val="000000"/>
                <w:sz w:val="18"/>
                <w:szCs w:val="18"/>
              </w:rPr>
              <w:t>0%</w:t>
            </w:r>
          </w:p>
        </w:tc>
      </w:tr>
      <w:tr w:rsidR="006C24AA" w:rsidRPr="00341263" w:rsidTr="006C24AA">
        <w:trPr>
          <w:trHeight w:val="765"/>
          <w:jc w:val="center"/>
        </w:trPr>
        <w:tc>
          <w:tcPr>
            <w:tcW w:w="346" w:type="dxa"/>
            <w:shd w:val="clear" w:color="auto" w:fill="auto"/>
            <w:noWrap/>
            <w:vAlign w:val="center"/>
          </w:tcPr>
          <w:p w:rsidR="006C24AA" w:rsidRPr="00341263" w:rsidRDefault="006C24AA" w:rsidP="00543B11">
            <w:pPr>
              <w:ind w:left="-93" w:right="-123"/>
              <w:jc w:val="center"/>
              <w:rPr>
                <w:rFonts w:asciiTheme="majorHAnsi" w:hAnsiTheme="majorHAnsi"/>
                <w:color w:val="000000"/>
                <w:sz w:val="18"/>
                <w:szCs w:val="18"/>
              </w:rPr>
            </w:pPr>
            <w:r>
              <w:rPr>
                <w:rFonts w:asciiTheme="majorHAnsi" w:hAnsiTheme="majorHAnsi"/>
                <w:color w:val="000000"/>
                <w:sz w:val="18"/>
                <w:szCs w:val="18"/>
              </w:rPr>
              <w:t>2</w:t>
            </w:r>
          </w:p>
        </w:tc>
        <w:tc>
          <w:tcPr>
            <w:tcW w:w="1706" w:type="dxa"/>
            <w:shd w:val="clear" w:color="000000" w:fill="FFFFFF"/>
            <w:vAlign w:val="center"/>
          </w:tcPr>
          <w:p w:rsidR="006C24AA" w:rsidRPr="00384A1B" w:rsidRDefault="006C24AA" w:rsidP="00384A1B">
            <w:pPr>
              <w:ind w:left="-103" w:right="-125"/>
              <w:jc w:val="center"/>
              <w:rPr>
                <w:rFonts w:ascii="Cambria" w:hAnsi="Cambria"/>
                <w:color w:val="000000"/>
                <w:sz w:val="18"/>
                <w:szCs w:val="18"/>
              </w:rPr>
            </w:pPr>
            <w:r>
              <w:rPr>
                <w:rFonts w:ascii="Cambria" w:hAnsi="Cambria"/>
                <w:color w:val="000000"/>
                <w:sz w:val="18"/>
                <w:szCs w:val="18"/>
                <w:lang w:eastAsia="en-US"/>
              </w:rPr>
              <w:t>А</w:t>
            </w:r>
            <w:r w:rsidRPr="000B7405">
              <w:rPr>
                <w:rFonts w:ascii="Cambria" w:hAnsi="Cambria"/>
                <w:color w:val="000000"/>
                <w:sz w:val="18"/>
                <w:szCs w:val="18"/>
                <w:lang w:eastAsia="en-US"/>
              </w:rPr>
              <w:t>дминистративно-бытовой комплекс</w:t>
            </w:r>
          </w:p>
        </w:tc>
        <w:tc>
          <w:tcPr>
            <w:tcW w:w="1134" w:type="dxa"/>
            <w:shd w:val="clear" w:color="000000" w:fill="FFFFFF"/>
            <w:vAlign w:val="center"/>
          </w:tcPr>
          <w:p w:rsidR="006C24AA" w:rsidRPr="00341263" w:rsidRDefault="006C24AA" w:rsidP="006C24AA">
            <w:pPr>
              <w:ind w:left="-160" w:right="-123"/>
              <w:jc w:val="center"/>
              <w:rPr>
                <w:rFonts w:asciiTheme="majorHAnsi" w:hAnsiTheme="majorHAnsi"/>
                <w:color w:val="000000"/>
                <w:sz w:val="18"/>
                <w:szCs w:val="18"/>
              </w:rPr>
            </w:pPr>
            <w:r w:rsidRPr="006C24AA">
              <w:rPr>
                <w:rFonts w:asciiTheme="majorHAnsi" w:hAnsiTheme="majorHAnsi"/>
                <w:color w:val="000000"/>
                <w:sz w:val="18"/>
                <w:szCs w:val="18"/>
              </w:rPr>
              <w:t xml:space="preserve">Нежилое   </w:t>
            </w:r>
          </w:p>
        </w:tc>
        <w:tc>
          <w:tcPr>
            <w:tcW w:w="562" w:type="dxa"/>
            <w:shd w:val="clear" w:color="000000" w:fill="FFFFFF"/>
            <w:noWrap/>
            <w:vAlign w:val="center"/>
          </w:tcPr>
          <w:p w:rsidR="006C24AA" w:rsidRPr="00341263" w:rsidRDefault="006C24AA" w:rsidP="00384A1B">
            <w:pPr>
              <w:ind w:left="-93" w:right="-123"/>
              <w:jc w:val="center"/>
              <w:rPr>
                <w:rFonts w:asciiTheme="majorHAnsi" w:hAnsiTheme="majorHAnsi"/>
                <w:color w:val="000000"/>
                <w:sz w:val="18"/>
                <w:szCs w:val="18"/>
              </w:rPr>
            </w:pPr>
            <w:r>
              <w:rPr>
                <w:rFonts w:asciiTheme="majorHAnsi" w:hAnsiTheme="majorHAnsi"/>
                <w:color w:val="000000"/>
                <w:sz w:val="18"/>
                <w:szCs w:val="18"/>
              </w:rPr>
              <w:t>А</w:t>
            </w:r>
          </w:p>
        </w:tc>
        <w:tc>
          <w:tcPr>
            <w:tcW w:w="1134" w:type="dxa"/>
            <w:shd w:val="clear" w:color="000000" w:fill="FFFFFF"/>
            <w:vAlign w:val="center"/>
          </w:tcPr>
          <w:p w:rsidR="006C24AA" w:rsidRPr="00341263" w:rsidRDefault="006C24AA" w:rsidP="00384A1B">
            <w:pPr>
              <w:ind w:left="-179" w:right="-123"/>
              <w:jc w:val="center"/>
              <w:rPr>
                <w:rFonts w:asciiTheme="majorHAnsi" w:hAnsiTheme="majorHAnsi"/>
                <w:color w:val="000000"/>
                <w:sz w:val="18"/>
                <w:szCs w:val="18"/>
              </w:rPr>
            </w:pPr>
            <w:r>
              <w:rPr>
                <w:rFonts w:asciiTheme="majorHAnsi" w:hAnsiTheme="majorHAnsi"/>
                <w:color w:val="000000"/>
                <w:sz w:val="18"/>
                <w:szCs w:val="18"/>
              </w:rPr>
              <w:t>1993</w:t>
            </w:r>
          </w:p>
        </w:tc>
        <w:tc>
          <w:tcPr>
            <w:tcW w:w="708" w:type="dxa"/>
            <w:shd w:val="clear" w:color="000000" w:fill="FFFFFF"/>
            <w:noWrap/>
            <w:vAlign w:val="center"/>
          </w:tcPr>
          <w:p w:rsidR="006C24AA" w:rsidRPr="00341263" w:rsidRDefault="006C24AA" w:rsidP="00543B11">
            <w:pPr>
              <w:ind w:left="-93" w:right="-123"/>
              <w:jc w:val="center"/>
              <w:rPr>
                <w:rFonts w:asciiTheme="majorHAnsi" w:hAnsiTheme="majorHAnsi"/>
                <w:color w:val="000000"/>
                <w:sz w:val="18"/>
                <w:szCs w:val="18"/>
              </w:rPr>
            </w:pPr>
            <w:r w:rsidRPr="006C24AA">
              <w:rPr>
                <w:rFonts w:asciiTheme="majorHAnsi" w:hAnsiTheme="majorHAnsi"/>
                <w:color w:val="000000"/>
                <w:sz w:val="18"/>
                <w:szCs w:val="18"/>
              </w:rPr>
              <w:t>I</w:t>
            </w:r>
          </w:p>
        </w:tc>
        <w:tc>
          <w:tcPr>
            <w:tcW w:w="1205" w:type="dxa"/>
            <w:shd w:val="clear" w:color="000000" w:fill="FFFFFF"/>
            <w:vAlign w:val="center"/>
          </w:tcPr>
          <w:p w:rsidR="006C24AA" w:rsidRPr="00341263" w:rsidRDefault="006C24AA" w:rsidP="00631C59">
            <w:pPr>
              <w:ind w:left="-178" w:right="-123"/>
              <w:jc w:val="center"/>
              <w:rPr>
                <w:rFonts w:asciiTheme="majorHAnsi" w:hAnsiTheme="majorHAnsi"/>
                <w:color w:val="000000"/>
                <w:sz w:val="18"/>
                <w:szCs w:val="18"/>
              </w:rPr>
            </w:pPr>
            <w:r w:rsidRPr="006C24AA">
              <w:rPr>
                <w:rFonts w:asciiTheme="majorHAnsi" w:hAnsiTheme="majorHAnsi"/>
                <w:color w:val="000000"/>
                <w:sz w:val="18"/>
                <w:szCs w:val="18"/>
              </w:rPr>
              <w:t>Сведения отсутствуют</w:t>
            </w:r>
          </w:p>
        </w:tc>
        <w:tc>
          <w:tcPr>
            <w:tcW w:w="877" w:type="dxa"/>
            <w:shd w:val="clear" w:color="000000" w:fill="FFFFFF"/>
            <w:noWrap/>
            <w:vAlign w:val="center"/>
          </w:tcPr>
          <w:p w:rsidR="006C24AA" w:rsidRPr="006C24AA" w:rsidRDefault="006C24AA" w:rsidP="00543B11">
            <w:pPr>
              <w:ind w:left="-93" w:right="-123"/>
              <w:jc w:val="center"/>
              <w:rPr>
                <w:rFonts w:asciiTheme="majorHAnsi" w:hAnsiTheme="majorHAnsi"/>
                <w:color w:val="000000"/>
                <w:sz w:val="18"/>
                <w:szCs w:val="18"/>
              </w:rPr>
            </w:pPr>
            <w:r w:rsidRPr="006C24AA">
              <w:rPr>
                <w:rFonts w:asciiTheme="majorHAnsi" w:hAnsiTheme="majorHAnsi"/>
                <w:color w:val="000000"/>
                <w:sz w:val="18"/>
                <w:szCs w:val="18"/>
              </w:rPr>
              <w:t>3 149,6</w:t>
            </w:r>
          </w:p>
        </w:tc>
        <w:tc>
          <w:tcPr>
            <w:tcW w:w="1418" w:type="dxa"/>
            <w:shd w:val="clear" w:color="000000" w:fill="FFFFFF"/>
            <w:vAlign w:val="center"/>
          </w:tcPr>
          <w:p w:rsidR="006C24AA" w:rsidRPr="00341263" w:rsidRDefault="006C24AA" w:rsidP="006C24AA">
            <w:pPr>
              <w:ind w:left="-93" w:right="-123"/>
              <w:jc w:val="center"/>
              <w:rPr>
                <w:rFonts w:asciiTheme="majorHAnsi" w:hAnsiTheme="majorHAnsi"/>
                <w:color w:val="000000"/>
                <w:sz w:val="18"/>
                <w:szCs w:val="18"/>
              </w:rPr>
            </w:pPr>
            <w:r>
              <w:rPr>
                <w:rFonts w:asciiTheme="majorHAnsi" w:hAnsiTheme="majorHAnsi"/>
                <w:color w:val="000000"/>
                <w:sz w:val="18"/>
                <w:szCs w:val="18"/>
              </w:rPr>
              <w:t>6 эт.</w:t>
            </w:r>
          </w:p>
        </w:tc>
        <w:tc>
          <w:tcPr>
            <w:tcW w:w="475" w:type="dxa"/>
            <w:shd w:val="clear" w:color="000000" w:fill="FFFFFF"/>
            <w:vAlign w:val="center"/>
          </w:tcPr>
          <w:p w:rsidR="006C24AA" w:rsidRDefault="006C24AA" w:rsidP="00631C59">
            <w:pPr>
              <w:ind w:left="-93" w:right="-123"/>
              <w:jc w:val="center"/>
              <w:rPr>
                <w:rFonts w:asciiTheme="majorHAnsi" w:hAnsiTheme="majorHAnsi"/>
                <w:color w:val="000000"/>
                <w:sz w:val="18"/>
                <w:szCs w:val="18"/>
              </w:rPr>
            </w:pPr>
            <w:r>
              <w:rPr>
                <w:rFonts w:asciiTheme="majorHAnsi" w:hAnsiTheme="majorHAnsi"/>
                <w:color w:val="000000"/>
                <w:sz w:val="18"/>
                <w:szCs w:val="18"/>
              </w:rPr>
              <w:t>45%</w:t>
            </w:r>
          </w:p>
        </w:tc>
        <w:tc>
          <w:tcPr>
            <w:tcW w:w="425" w:type="dxa"/>
            <w:shd w:val="clear" w:color="000000" w:fill="FFFFFF"/>
            <w:vAlign w:val="center"/>
          </w:tcPr>
          <w:p w:rsidR="006C24AA" w:rsidRDefault="006C24AA" w:rsidP="00631C59">
            <w:pPr>
              <w:ind w:left="-93" w:right="-123"/>
              <w:jc w:val="center"/>
              <w:rPr>
                <w:rFonts w:asciiTheme="majorHAnsi" w:hAnsiTheme="majorHAnsi"/>
                <w:color w:val="000000"/>
                <w:sz w:val="18"/>
                <w:szCs w:val="18"/>
              </w:rPr>
            </w:pPr>
            <w:r>
              <w:rPr>
                <w:rFonts w:asciiTheme="majorHAnsi" w:hAnsiTheme="majorHAnsi"/>
                <w:color w:val="000000"/>
                <w:sz w:val="18"/>
                <w:szCs w:val="18"/>
              </w:rPr>
              <w:t>0%</w:t>
            </w:r>
          </w:p>
        </w:tc>
        <w:tc>
          <w:tcPr>
            <w:tcW w:w="349" w:type="dxa"/>
            <w:shd w:val="clear" w:color="000000" w:fill="FFFFFF"/>
            <w:vAlign w:val="center"/>
          </w:tcPr>
          <w:p w:rsidR="006C24AA" w:rsidRPr="00341263" w:rsidRDefault="006C24AA" w:rsidP="00631C59">
            <w:pPr>
              <w:ind w:left="-93" w:right="-123"/>
              <w:jc w:val="center"/>
              <w:rPr>
                <w:rFonts w:asciiTheme="majorHAnsi" w:hAnsiTheme="majorHAnsi"/>
                <w:color w:val="000000"/>
                <w:sz w:val="18"/>
                <w:szCs w:val="18"/>
              </w:rPr>
            </w:pPr>
            <w:r>
              <w:rPr>
                <w:rFonts w:asciiTheme="majorHAnsi" w:hAnsiTheme="majorHAnsi"/>
                <w:color w:val="000000"/>
                <w:sz w:val="18"/>
                <w:szCs w:val="18"/>
              </w:rPr>
              <w:t>0%</w:t>
            </w:r>
          </w:p>
        </w:tc>
      </w:tr>
    </w:tbl>
    <w:p w:rsidR="00631C59" w:rsidRDefault="00631C59" w:rsidP="00631C59">
      <w:pPr>
        <w:ind w:firstLine="709"/>
        <w:jc w:val="both"/>
        <w:rPr>
          <w:rFonts w:asciiTheme="majorHAnsi" w:eastAsiaTheme="minorHAnsi" w:hAnsiTheme="majorHAnsi" w:cstheme="minorBidi"/>
          <w:sz w:val="20"/>
          <w:szCs w:val="22"/>
          <w:lang w:eastAsia="en-US"/>
        </w:rPr>
      </w:pPr>
    </w:p>
    <w:tbl>
      <w:tblPr>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499"/>
        <w:gridCol w:w="2114"/>
        <w:gridCol w:w="1701"/>
        <w:gridCol w:w="708"/>
        <w:gridCol w:w="1134"/>
        <w:gridCol w:w="993"/>
        <w:gridCol w:w="1134"/>
        <w:gridCol w:w="850"/>
        <w:gridCol w:w="911"/>
      </w:tblGrid>
      <w:tr w:rsidR="00A528E7" w:rsidRPr="00341263" w:rsidTr="00A528E7">
        <w:trPr>
          <w:trHeight w:val="20"/>
          <w:jc w:val="center"/>
        </w:trPr>
        <w:tc>
          <w:tcPr>
            <w:tcW w:w="499" w:type="dxa"/>
            <w:vMerge w:val="restart"/>
            <w:shd w:val="clear" w:color="000000" w:fill="F2F2F2"/>
            <w:vAlign w:val="center"/>
            <w:hideMark/>
          </w:tcPr>
          <w:p w:rsidR="00631C59" w:rsidRPr="00341263" w:rsidRDefault="00631C59" w:rsidP="00631C59">
            <w:pPr>
              <w:ind w:left="-189" w:right="-95"/>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 </w:t>
            </w:r>
          </w:p>
          <w:p w:rsidR="00631C59" w:rsidRPr="00341263" w:rsidRDefault="00631C59" w:rsidP="00631C59">
            <w:pPr>
              <w:ind w:left="-189" w:right="-95"/>
              <w:jc w:val="center"/>
              <w:rPr>
                <w:rFonts w:asciiTheme="majorHAnsi" w:hAnsiTheme="majorHAnsi"/>
                <w:b/>
                <w:bCs/>
                <w:color w:val="000000"/>
                <w:sz w:val="18"/>
                <w:szCs w:val="18"/>
              </w:rPr>
            </w:pPr>
            <w:r w:rsidRPr="00341263">
              <w:rPr>
                <w:rFonts w:asciiTheme="majorHAnsi" w:hAnsiTheme="majorHAnsi"/>
                <w:b/>
                <w:bCs/>
                <w:color w:val="000000"/>
                <w:sz w:val="18"/>
                <w:szCs w:val="18"/>
              </w:rPr>
              <w:t>п/п</w:t>
            </w:r>
          </w:p>
        </w:tc>
        <w:tc>
          <w:tcPr>
            <w:tcW w:w="2114" w:type="dxa"/>
            <w:vMerge w:val="restart"/>
            <w:shd w:val="clear" w:color="000000" w:fill="F2F2F2"/>
            <w:vAlign w:val="center"/>
            <w:hideMark/>
          </w:tcPr>
          <w:p w:rsidR="00631C59" w:rsidRPr="00341263" w:rsidRDefault="00631C59" w:rsidP="00631C59">
            <w:pPr>
              <w:ind w:left="-189" w:right="-95"/>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  Наименование объекта</w:t>
            </w:r>
          </w:p>
        </w:tc>
        <w:tc>
          <w:tcPr>
            <w:tcW w:w="1701" w:type="dxa"/>
            <w:vMerge w:val="restart"/>
            <w:shd w:val="clear" w:color="000000" w:fill="F2F2F2"/>
            <w:vAlign w:val="center"/>
            <w:hideMark/>
          </w:tcPr>
          <w:p w:rsidR="00631C59" w:rsidRPr="00341263" w:rsidRDefault="00A528E7" w:rsidP="00631C59">
            <w:pPr>
              <w:ind w:left="-189" w:right="-95"/>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  </w:t>
            </w:r>
            <w:r w:rsidR="00631C59" w:rsidRPr="00341263">
              <w:rPr>
                <w:rFonts w:asciiTheme="majorHAnsi" w:hAnsiTheme="majorHAnsi"/>
                <w:b/>
                <w:bCs/>
                <w:color w:val="000000"/>
                <w:sz w:val="18"/>
                <w:szCs w:val="18"/>
              </w:rPr>
              <w:t>Функциональное назначение</w:t>
            </w:r>
          </w:p>
        </w:tc>
        <w:tc>
          <w:tcPr>
            <w:tcW w:w="708" w:type="dxa"/>
            <w:vMerge w:val="restart"/>
            <w:shd w:val="clear" w:color="000000" w:fill="F2F2F2"/>
            <w:vAlign w:val="center"/>
            <w:hideMark/>
          </w:tcPr>
          <w:p w:rsidR="00631C59" w:rsidRPr="00341263" w:rsidRDefault="00A528E7" w:rsidP="00A528E7">
            <w:pPr>
              <w:ind w:left="-189" w:right="-108"/>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 </w:t>
            </w:r>
            <w:r w:rsidR="00631C59" w:rsidRPr="00341263">
              <w:rPr>
                <w:rFonts w:asciiTheme="majorHAnsi" w:hAnsiTheme="majorHAnsi"/>
                <w:b/>
                <w:bCs/>
                <w:color w:val="000000"/>
                <w:sz w:val="18"/>
                <w:szCs w:val="18"/>
              </w:rPr>
              <w:t>Литер</w:t>
            </w:r>
          </w:p>
        </w:tc>
        <w:tc>
          <w:tcPr>
            <w:tcW w:w="5022" w:type="dxa"/>
            <w:gridSpan w:val="5"/>
            <w:shd w:val="clear" w:color="000000" w:fill="F2F2F2"/>
            <w:noWrap/>
            <w:vAlign w:val="center"/>
            <w:hideMark/>
          </w:tcPr>
          <w:p w:rsidR="00631C59" w:rsidRPr="00341263" w:rsidRDefault="00631C59" w:rsidP="00A528E7">
            <w:pPr>
              <w:ind w:left="-189" w:right="-108"/>
              <w:jc w:val="center"/>
              <w:rPr>
                <w:rFonts w:asciiTheme="majorHAnsi" w:hAnsiTheme="majorHAnsi"/>
                <w:b/>
                <w:bCs/>
                <w:color w:val="000000"/>
                <w:sz w:val="18"/>
                <w:szCs w:val="18"/>
              </w:rPr>
            </w:pPr>
            <w:r w:rsidRPr="00341263">
              <w:rPr>
                <w:rFonts w:asciiTheme="majorHAnsi" w:hAnsiTheme="majorHAnsi"/>
                <w:b/>
                <w:bCs/>
                <w:color w:val="000000"/>
                <w:sz w:val="18"/>
                <w:szCs w:val="18"/>
              </w:rPr>
              <w:t>Характеристика конструктивных элементов</w:t>
            </w:r>
          </w:p>
        </w:tc>
      </w:tr>
      <w:tr w:rsidR="00A528E7" w:rsidRPr="00341263" w:rsidTr="006C24AA">
        <w:trPr>
          <w:trHeight w:val="451"/>
          <w:jc w:val="center"/>
        </w:trPr>
        <w:tc>
          <w:tcPr>
            <w:tcW w:w="499" w:type="dxa"/>
            <w:vMerge/>
            <w:vAlign w:val="center"/>
            <w:hideMark/>
          </w:tcPr>
          <w:p w:rsidR="00631C59" w:rsidRPr="00341263" w:rsidRDefault="00631C59" w:rsidP="00631C59">
            <w:pPr>
              <w:ind w:left="-189" w:right="-95"/>
              <w:jc w:val="center"/>
              <w:rPr>
                <w:rFonts w:asciiTheme="majorHAnsi" w:hAnsiTheme="majorHAnsi"/>
                <w:b/>
                <w:bCs/>
                <w:color w:val="000000"/>
                <w:sz w:val="18"/>
                <w:szCs w:val="18"/>
              </w:rPr>
            </w:pPr>
          </w:p>
        </w:tc>
        <w:tc>
          <w:tcPr>
            <w:tcW w:w="2114" w:type="dxa"/>
            <w:vMerge/>
            <w:vAlign w:val="center"/>
            <w:hideMark/>
          </w:tcPr>
          <w:p w:rsidR="00631C59" w:rsidRPr="00341263" w:rsidRDefault="00631C59" w:rsidP="00631C59">
            <w:pPr>
              <w:ind w:left="-189" w:right="-95"/>
              <w:jc w:val="center"/>
              <w:rPr>
                <w:rFonts w:asciiTheme="majorHAnsi" w:hAnsiTheme="majorHAnsi"/>
                <w:b/>
                <w:bCs/>
                <w:color w:val="000000"/>
                <w:sz w:val="18"/>
                <w:szCs w:val="18"/>
              </w:rPr>
            </w:pPr>
          </w:p>
        </w:tc>
        <w:tc>
          <w:tcPr>
            <w:tcW w:w="1701" w:type="dxa"/>
            <w:vMerge/>
            <w:vAlign w:val="center"/>
            <w:hideMark/>
          </w:tcPr>
          <w:p w:rsidR="00631C59" w:rsidRPr="00341263" w:rsidRDefault="00631C59" w:rsidP="00631C59">
            <w:pPr>
              <w:ind w:left="-189" w:right="-95"/>
              <w:jc w:val="center"/>
              <w:rPr>
                <w:rFonts w:asciiTheme="majorHAnsi" w:hAnsiTheme="majorHAnsi"/>
                <w:b/>
                <w:bCs/>
                <w:color w:val="000000"/>
                <w:sz w:val="18"/>
                <w:szCs w:val="18"/>
              </w:rPr>
            </w:pPr>
          </w:p>
        </w:tc>
        <w:tc>
          <w:tcPr>
            <w:tcW w:w="708" w:type="dxa"/>
            <w:vMerge/>
            <w:vAlign w:val="center"/>
            <w:hideMark/>
          </w:tcPr>
          <w:p w:rsidR="00631C59" w:rsidRPr="00341263" w:rsidRDefault="00631C59" w:rsidP="00A528E7">
            <w:pPr>
              <w:ind w:left="-189" w:right="-108"/>
              <w:jc w:val="center"/>
              <w:rPr>
                <w:rFonts w:asciiTheme="majorHAnsi" w:hAnsiTheme="majorHAnsi"/>
                <w:b/>
                <w:bCs/>
                <w:color w:val="000000"/>
                <w:sz w:val="18"/>
                <w:szCs w:val="18"/>
              </w:rPr>
            </w:pPr>
          </w:p>
        </w:tc>
        <w:tc>
          <w:tcPr>
            <w:tcW w:w="1134" w:type="dxa"/>
            <w:vMerge w:val="restart"/>
            <w:shd w:val="clear" w:color="000000" w:fill="F2F2F2"/>
            <w:vAlign w:val="center"/>
            <w:hideMark/>
          </w:tcPr>
          <w:p w:rsidR="00631C59" w:rsidRPr="00341263" w:rsidRDefault="00A528E7" w:rsidP="00A528E7">
            <w:pPr>
              <w:ind w:left="-189" w:right="-108"/>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  </w:t>
            </w:r>
            <w:r w:rsidR="00631C59" w:rsidRPr="00341263">
              <w:rPr>
                <w:rFonts w:asciiTheme="majorHAnsi" w:hAnsiTheme="majorHAnsi"/>
                <w:b/>
                <w:bCs/>
                <w:color w:val="000000"/>
                <w:sz w:val="18"/>
                <w:szCs w:val="18"/>
              </w:rPr>
              <w:t>Фундамент</w:t>
            </w:r>
          </w:p>
        </w:tc>
        <w:tc>
          <w:tcPr>
            <w:tcW w:w="993" w:type="dxa"/>
            <w:vMerge w:val="restart"/>
            <w:shd w:val="clear" w:color="000000" w:fill="F2F2F2"/>
            <w:vAlign w:val="center"/>
            <w:hideMark/>
          </w:tcPr>
          <w:p w:rsidR="00631C59" w:rsidRPr="00341263" w:rsidRDefault="00631C59" w:rsidP="00A528E7">
            <w:pPr>
              <w:ind w:left="-189" w:right="-108"/>
              <w:jc w:val="center"/>
              <w:rPr>
                <w:rFonts w:asciiTheme="majorHAnsi" w:hAnsiTheme="majorHAnsi"/>
                <w:b/>
                <w:bCs/>
                <w:color w:val="000000"/>
                <w:sz w:val="18"/>
                <w:szCs w:val="18"/>
              </w:rPr>
            </w:pPr>
            <w:r w:rsidRPr="00341263">
              <w:rPr>
                <w:rFonts w:asciiTheme="majorHAnsi" w:hAnsiTheme="majorHAnsi"/>
                <w:b/>
                <w:bCs/>
                <w:color w:val="000000"/>
                <w:sz w:val="18"/>
                <w:szCs w:val="18"/>
              </w:rPr>
              <w:t>Стены</w:t>
            </w:r>
          </w:p>
        </w:tc>
        <w:tc>
          <w:tcPr>
            <w:tcW w:w="1134" w:type="dxa"/>
            <w:vMerge w:val="restart"/>
            <w:shd w:val="clear" w:color="000000" w:fill="F2F2F2"/>
            <w:vAlign w:val="center"/>
            <w:hideMark/>
          </w:tcPr>
          <w:p w:rsidR="00631C59" w:rsidRPr="00341263" w:rsidRDefault="00A528E7" w:rsidP="00A528E7">
            <w:pPr>
              <w:ind w:left="-189" w:right="-108"/>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 </w:t>
            </w:r>
            <w:r w:rsidR="00631C59" w:rsidRPr="00341263">
              <w:rPr>
                <w:rFonts w:asciiTheme="majorHAnsi" w:hAnsiTheme="majorHAnsi"/>
                <w:b/>
                <w:bCs/>
                <w:color w:val="000000"/>
                <w:sz w:val="18"/>
                <w:szCs w:val="18"/>
              </w:rPr>
              <w:t>Перекрытие</w:t>
            </w:r>
          </w:p>
        </w:tc>
        <w:tc>
          <w:tcPr>
            <w:tcW w:w="850" w:type="dxa"/>
            <w:vMerge w:val="restart"/>
            <w:shd w:val="clear" w:color="000000" w:fill="F2F2F2"/>
            <w:vAlign w:val="center"/>
            <w:hideMark/>
          </w:tcPr>
          <w:p w:rsidR="00631C59" w:rsidRPr="00341263" w:rsidRDefault="00A528E7" w:rsidP="00A528E7">
            <w:pPr>
              <w:ind w:left="-189" w:right="-108"/>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 </w:t>
            </w:r>
            <w:r w:rsidR="00631C59" w:rsidRPr="00341263">
              <w:rPr>
                <w:rFonts w:asciiTheme="majorHAnsi" w:hAnsiTheme="majorHAnsi"/>
                <w:b/>
                <w:bCs/>
                <w:color w:val="000000"/>
                <w:sz w:val="18"/>
                <w:szCs w:val="18"/>
              </w:rPr>
              <w:t>Крыша</w:t>
            </w:r>
          </w:p>
        </w:tc>
        <w:tc>
          <w:tcPr>
            <w:tcW w:w="911" w:type="dxa"/>
            <w:vMerge w:val="restart"/>
            <w:shd w:val="clear" w:color="000000" w:fill="F2F2F2"/>
            <w:vAlign w:val="center"/>
            <w:hideMark/>
          </w:tcPr>
          <w:p w:rsidR="00631C59" w:rsidRPr="00341263" w:rsidRDefault="00631C59" w:rsidP="00A528E7">
            <w:pPr>
              <w:ind w:left="-189" w:right="-108"/>
              <w:jc w:val="center"/>
              <w:rPr>
                <w:rFonts w:asciiTheme="majorHAnsi" w:hAnsiTheme="majorHAnsi"/>
                <w:b/>
                <w:bCs/>
                <w:color w:val="000000"/>
                <w:sz w:val="18"/>
                <w:szCs w:val="18"/>
              </w:rPr>
            </w:pPr>
            <w:r w:rsidRPr="00341263">
              <w:rPr>
                <w:rFonts w:asciiTheme="majorHAnsi" w:hAnsiTheme="majorHAnsi"/>
                <w:b/>
                <w:bCs/>
                <w:color w:val="000000"/>
                <w:sz w:val="18"/>
                <w:szCs w:val="18"/>
              </w:rPr>
              <w:t>Полы</w:t>
            </w:r>
          </w:p>
        </w:tc>
      </w:tr>
      <w:tr w:rsidR="00A528E7" w:rsidRPr="00341263" w:rsidTr="006C24AA">
        <w:trPr>
          <w:trHeight w:val="451"/>
          <w:jc w:val="center"/>
        </w:trPr>
        <w:tc>
          <w:tcPr>
            <w:tcW w:w="499" w:type="dxa"/>
            <w:vMerge/>
            <w:vAlign w:val="center"/>
            <w:hideMark/>
          </w:tcPr>
          <w:p w:rsidR="00631C59" w:rsidRPr="00341263" w:rsidRDefault="00631C59" w:rsidP="00631C59">
            <w:pPr>
              <w:ind w:left="-189" w:right="-95"/>
              <w:jc w:val="center"/>
              <w:rPr>
                <w:rFonts w:asciiTheme="majorHAnsi" w:hAnsiTheme="majorHAnsi"/>
                <w:b/>
                <w:bCs/>
                <w:color w:val="000000"/>
                <w:sz w:val="18"/>
                <w:szCs w:val="18"/>
              </w:rPr>
            </w:pPr>
          </w:p>
        </w:tc>
        <w:tc>
          <w:tcPr>
            <w:tcW w:w="2114" w:type="dxa"/>
            <w:vMerge/>
            <w:vAlign w:val="center"/>
            <w:hideMark/>
          </w:tcPr>
          <w:p w:rsidR="00631C59" w:rsidRPr="00341263" w:rsidRDefault="00631C59" w:rsidP="00631C59">
            <w:pPr>
              <w:ind w:left="-189" w:right="-95"/>
              <w:jc w:val="center"/>
              <w:rPr>
                <w:rFonts w:asciiTheme="majorHAnsi" w:hAnsiTheme="majorHAnsi"/>
                <w:b/>
                <w:bCs/>
                <w:color w:val="000000"/>
                <w:sz w:val="18"/>
                <w:szCs w:val="18"/>
              </w:rPr>
            </w:pPr>
          </w:p>
        </w:tc>
        <w:tc>
          <w:tcPr>
            <w:tcW w:w="1701" w:type="dxa"/>
            <w:vMerge/>
            <w:vAlign w:val="center"/>
            <w:hideMark/>
          </w:tcPr>
          <w:p w:rsidR="00631C59" w:rsidRPr="00341263" w:rsidRDefault="00631C59" w:rsidP="00631C59">
            <w:pPr>
              <w:ind w:left="-189" w:right="-95"/>
              <w:jc w:val="center"/>
              <w:rPr>
                <w:rFonts w:asciiTheme="majorHAnsi" w:hAnsiTheme="majorHAnsi"/>
                <w:b/>
                <w:bCs/>
                <w:color w:val="000000"/>
                <w:sz w:val="18"/>
                <w:szCs w:val="18"/>
              </w:rPr>
            </w:pPr>
          </w:p>
        </w:tc>
        <w:tc>
          <w:tcPr>
            <w:tcW w:w="708" w:type="dxa"/>
            <w:vMerge/>
            <w:vAlign w:val="center"/>
            <w:hideMark/>
          </w:tcPr>
          <w:p w:rsidR="00631C59" w:rsidRPr="00341263" w:rsidRDefault="00631C59" w:rsidP="00A528E7">
            <w:pPr>
              <w:ind w:left="-189" w:right="-108"/>
              <w:jc w:val="center"/>
              <w:rPr>
                <w:rFonts w:asciiTheme="majorHAnsi" w:hAnsiTheme="majorHAnsi"/>
                <w:b/>
                <w:bCs/>
                <w:color w:val="000000"/>
                <w:sz w:val="18"/>
                <w:szCs w:val="18"/>
              </w:rPr>
            </w:pPr>
          </w:p>
        </w:tc>
        <w:tc>
          <w:tcPr>
            <w:tcW w:w="1134" w:type="dxa"/>
            <w:vMerge/>
            <w:vAlign w:val="center"/>
            <w:hideMark/>
          </w:tcPr>
          <w:p w:rsidR="00631C59" w:rsidRPr="00341263" w:rsidRDefault="00631C59" w:rsidP="00A528E7">
            <w:pPr>
              <w:ind w:left="-189" w:right="-108"/>
              <w:jc w:val="center"/>
              <w:rPr>
                <w:rFonts w:asciiTheme="majorHAnsi" w:hAnsiTheme="majorHAnsi"/>
                <w:b/>
                <w:bCs/>
                <w:color w:val="000000"/>
                <w:sz w:val="18"/>
                <w:szCs w:val="18"/>
              </w:rPr>
            </w:pPr>
          </w:p>
        </w:tc>
        <w:tc>
          <w:tcPr>
            <w:tcW w:w="993" w:type="dxa"/>
            <w:vMerge/>
            <w:vAlign w:val="center"/>
            <w:hideMark/>
          </w:tcPr>
          <w:p w:rsidR="00631C59" w:rsidRPr="00341263" w:rsidRDefault="00631C59" w:rsidP="00A528E7">
            <w:pPr>
              <w:ind w:left="-189" w:right="-108"/>
              <w:jc w:val="center"/>
              <w:rPr>
                <w:rFonts w:asciiTheme="majorHAnsi" w:hAnsiTheme="majorHAnsi"/>
                <w:b/>
                <w:bCs/>
                <w:color w:val="000000"/>
                <w:sz w:val="18"/>
                <w:szCs w:val="18"/>
              </w:rPr>
            </w:pPr>
          </w:p>
        </w:tc>
        <w:tc>
          <w:tcPr>
            <w:tcW w:w="1134" w:type="dxa"/>
            <w:vMerge/>
            <w:vAlign w:val="center"/>
            <w:hideMark/>
          </w:tcPr>
          <w:p w:rsidR="00631C59" w:rsidRPr="00341263" w:rsidRDefault="00631C59" w:rsidP="00A528E7">
            <w:pPr>
              <w:ind w:left="-189" w:right="-108"/>
              <w:jc w:val="center"/>
              <w:rPr>
                <w:rFonts w:asciiTheme="majorHAnsi" w:hAnsiTheme="majorHAnsi"/>
                <w:b/>
                <w:bCs/>
                <w:color w:val="000000"/>
                <w:sz w:val="18"/>
                <w:szCs w:val="18"/>
              </w:rPr>
            </w:pPr>
          </w:p>
        </w:tc>
        <w:tc>
          <w:tcPr>
            <w:tcW w:w="850" w:type="dxa"/>
            <w:vMerge/>
            <w:vAlign w:val="center"/>
            <w:hideMark/>
          </w:tcPr>
          <w:p w:rsidR="00631C59" w:rsidRPr="00341263" w:rsidRDefault="00631C59" w:rsidP="00A528E7">
            <w:pPr>
              <w:ind w:left="-189" w:right="-108"/>
              <w:jc w:val="center"/>
              <w:rPr>
                <w:rFonts w:asciiTheme="majorHAnsi" w:hAnsiTheme="majorHAnsi"/>
                <w:b/>
                <w:bCs/>
                <w:color w:val="000000"/>
                <w:sz w:val="18"/>
                <w:szCs w:val="18"/>
              </w:rPr>
            </w:pPr>
          </w:p>
        </w:tc>
        <w:tc>
          <w:tcPr>
            <w:tcW w:w="911" w:type="dxa"/>
            <w:vMerge/>
            <w:vAlign w:val="center"/>
            <w:hideMark/>
          </w:tcPr>
          <w:p w:rsidR="00631C59" w:rsidRPr="00341263" w:rsidRDefault="00631C59" w:rsidP="00A528E7">
            <w:pPr>
              <w:ind w:left="-189" w:right="-108"/>
              <w:jc w:val="center"/>
              <w:rPr>
                <w:rFonts w:asciiTheme="majorHAnsi" w:hAnsiTheme="majorHAnsi"/>
                <w:b/>
                <w:bCs/>
                <w:color w:val="000000"/>
                <w:sz w:val="18"/>
                <w:szCs w:val="18"/>
              </w:rPr>
            </w:pPr>
          </w:p>
        </w:tc>
      </w:tr>
      <w:tr w:rsidR="00A528E7" w:rsidRPr="00341263" w:rsidTr="006C24AA">
        <w:trPr>
          <w:trHeight w:val="20"/>
          <w:jc w:val="center"/>
        </w:trPr>
        <w:tc>
          <w:tcPr>
            <w:tcW w:w="499" w:type="dxa"/>
            <w:shd w:val="clear" w:color="auto" w:fill="auto"/>
            <w:noWrap/>
            <w:vAlign w:val="center"/>
            <w:hideMark/>
          </w:tcPr>
          <w:p w:rsidR="00631C59" w:rsidRPr="00341263" w:rsidRDefault="00631C59" w:rsidP="00631C59">
            <w:pPr>
              <w:ind w:left="-189" w:right="-95"/>
              <w:jc w:val="center"/>
              <w:rPr>
                <w:rFonts w:asciiTheme="majorHAnsi" w:hAnsiTheme="majorHAnsi"/>
                <w:color w:val="000000"/>
                <w:sz w:val="18"/>
                <w:szCs w:val="18"/>
              </w:rPr>
            </w:pPr>
            <w:r w:rsidRPr="00341263">
              <w:rPr>
                <w:rFonts w:asciiTheme="majorHAnsi" w:hAnsiTheme="majorHAnsi"/>
                <w:color w:val="000000"/>
                <w:sz w:val="18"/>
                <w:szCs w:val="18"/>
              </w:rPr>
              <w:t>1</w:t>
            </w:r>
          </w:p>
        </w:tc>
        <w:tc>
          <w:tcPr>
            <w:tcW w:w="2114" w:type="dxa"/>
            <w:shd w:val="clear" w:color="000000" w:fill="FFFFFF"/>
            <w:vAlign w:val="center"/>
            <w:hideMark/>
          </w:tcPr>
          <w:p w:rsidR="00631C59" w:rsidRPr="00341263" w:rsidRDefault="006C24AA" w:rsidP="00631C59">
            <w:pPr>
              <w:ind w:left="-189" w:right="-95"/>
              <w:jc w:val="center"/>
              <w:rPr>
                <w:rFonts w:asciiTheme="majorHAnsi" w:hAnsiTheme="majorHAnsi"/>
                <w:color w:val="000000"/>
                <w:sz w:val="18"/>
                <w:szCs w:val="18"/>
              </w:rPr>
            </w:pPr>
            <w:r w:rsidRPr="006C24AA">
              <w:rPr>
                <w:rFonts w:ascii="Cambria" w:hAnsi="Cambria"/>
                <w:color w:val="000000"/>
                <w:sz w:val="18"/>
                <w:szCs w:val="18"/>
              </w:rPr>
              <w:t>Нежилые строения (Производственный корпус</w:t>
            </w:r>
          </w:p>
        </w:tc>
        <w:tc>
          <w:tcPr>
            <w:tcW w:w="1701" w:type="dxa"/>
            <w:shd w:val="clear" w:color="000000" w:fill="FFFFFF"/>
            <w:vAlign w:val="center"/>
            <w:hideMark/>
          </w:tcPr>
          <w:p w:rsidR="00631C59" w:rsidRPr="00341263" w:rsidRDefault="00631C59" w:rsidP="00631C59">
            <w:pPr>
              <w:ind w:left="-189" w:right="-95"/>
              <w:jc w:val="center"/>
              <w:rPr>
                <w:rFonts w:asciiTheme="majorHAnsi" w:hAnsiTheme="majorHAnsi"/>
                <w:color w:val="000000"/>
                <w:sz w:val="18"/>
                <w:szCs w:val="18"/>
              </w:rPr>
            </w:pPr>
            <w:r w:rsidRPr="00341263">
              <w:rPr>
                <w:rFonts w:asciiTheme="majorHAnsi" w:hAnsiTheme="majorHAnsi"/>
                <w:color w:val="000000"/>
                <w:sz w:val="18"/>
                <w:szCs w:val="18"/>
              </w:rPr>
              <w:t>Нежилое</w:t>
            </w:r>
          </w:p>
        </w:tc>
        <w:tc>
          <w:tcPr>
            <w:tcW w:w="708" w:type="dxa"/>
            <w:shd w:val="clear" w:color="000000" w:fill="FFFFFF"/>
            <w:noWrap/>
            <w:vAlign w:val="center"/>
            <w:hideMark/>
          </w:tcPr>
          <w:p w:rsidR="00631C59" w:rsidRPr="00341263" w:rsidRDefault="00A528E7" w:rsidP="006C24AA">
            <w:pPr>
              <w:ind w:left="-189" w:right="-108"/>
              <w:jc w:val="center"/>
              <w:rPr>
                <w:rFonts w:asciiTheme="majorHAnsi" w:hAnsiTheme="majorHAnsi"/>
                <w:color w:val="000000"/>
                <w:sz w:val="18"/>
                <w:szCs w:val="18"/>
              </w:rPr>
            </w:pPr>
            <w:r w:rsidRPr="00341263">
              <w:rPr>
                <w:rFonts w:asciiTheme="majorHAnsi" w:hAnsiTheme="majorHAnsi"/>
                <w:color w:val="000000"/>
                <w:sz w:val="18"/>
                <w:szCs w:val="18"/>
              </w:rPr>
              <w:t>Б</w:t>
            </w:r>
            <w:r w:rsidR="006C24AA">
              <w:rPr>
                <w:rFonts w:asciiTheme="majorHAnsi" w:hAnsiTheme="majorHAnsi"/>
                <w:color w:val="000000"/>
                <w:sz w:val="18"/>
                <w:szCs w:val="18"/>
              </w:rPr>
              <w:t>,б</w:t>
            </w:r>
          </w:p>
        </w:tc>
        <w:tc>
          <w:tcPr>
            <w:tcW w:w="1134" w:type="dxa"/>
            <w:shd w:val="clear" w:color="000000" w:fill="FFFFFF"/>
            <w:vAlign w:val="center"/>
            <w:hideMark/>
          </w:tcPr>
          <w:p w:rsidR="00631C59" w:rsidRPr="00341263" w:rsidRDefault="00A528E7" w:rsidP="00A528E7">
            <w:pPr>
              <w:ind w:left="-189" w:right="-108"/>
              <w:jc w:val="center"/>
              <w:rPr>
                <w:rFonts w:asciiTheme="majorHAnsi" w:hAnsiTheme="majorHAnsi"/>
                <w:color w:val="000000"/>
                <w:sz w:val="18"/>
                <w:szCs w:val="18"/>
              </w:rPr>
            </w:pPr>
            <w:r w:rsidRPr="00341263">
              <w:rPr>
                <w:rFonts w:asciiTheme="majorHAnsi" w:hAnsiTheme="majorHAnsi"/>
                <w:color w:val="000000"/>
                <w:sz w:val="18"/>
                <w:szCs w:val="18"/>
              </w:rPr>
              <w:t>Бетонный</w:t>
            </w:r>
            <w:r w:rsidR="006C24AA">
              <w:rPr>
                <w:rFonts w:asciiTheme="majorHAnsi" w:hAnsiTheme="majorHAnsi"/>
                <w:color w:val="000000"/>
                <w:sz w:val="18"/>
                <w:szCs w:val="18"/>
              </w:rPr>
              <w:t xml:space="preserve"> ленточный</w:t>
            </w:r>
          </w:p>
        </w:tc>
        <w:tc>
          <w:tcPr>
            <w:tcW w:w="993" w:type="dxa"/>
            <w:shd w:val="clear" w:color="000000" w:fill="FFFFFF"/>
            <w:vAlign w:val="center"/>
            <w:hideMark/>
          </w:tcPr>
          <w:p w:rsidR="00631C59" w:rsidRPr="00341263" w:rsidRDefault="006C24AA" w:rsidP="00A528E7">
            <w:pPr>
              <w:ind w:left="-189" w:right="-108"/>
              <w:jc w:val="center"/>
              <w:rPr>
                <w:rFonts w:asciiTheme="majorHAnsi" w:hAnsiTheme="majorHAnsi"/>
                <w:color w:val="000000"/>
                <w:sz w:val="18"/>
                <w:szCs w:val="18"/>
              </w:rPr>
            </w:pPr>
            <w:r>
              <w:rPr>
                <w:rFonts w:asciiTheme="majorHAnsi" w:hAnsiTheme="majorHAnsi"/>
                <w:color w:val="000000"/>
                <w:sz w:val="18"/>
                <w:szCs w:val="18"/>
              </w:rPr>
              <w:t>Ж/б панели, к</w:t>
            </w:r>
            <w:r w:rsidR="00A528E7" w:rsidRPr="00341263">
              <w:rPr>
                <w:rFonts w:asciiTheme="majorHAnsi" w:hAnsiTheme="majorHAnsi"/>
                <w:color w:val="000000"/>
                <w:sz w:val="18"/>
                <w:szCs w:val="18"/>
              </w:rPr>
              <w:t>ирпич</w:t>
            </w:r>
            <w:r>
              <w:rPr>
                <w:rFonts w:asciiTheme="majorHAnsi" w:hAnsiTheme="majorHAnsi"/>
                <w:color w:val="000000"/>
                <w:sz w:val="18"/>
                <w:szCs w:val="18"/>
              </w:rPr>
              <w:t>ный каркас</w:t>
            </w:r>
          </w:p>
        </w:tc>
        <w:tc>
          <w:tcPr>
            <w:tcW w:w="1134" w:type="dxa"/>
            <w:shd w:val="clear" w:color="000000" w:fill="FFFFFF"/>
            <w:vAlign w:val="center"/>
            <w:hideMark/>
          </w:tcPr>
          <w:p w:rsidR="00631C59" w:rsidRPr="00341263" w:rsidRDefault="00631C59" w:rsidP="006C24AA">
            <w:pPr>
              <w:ind w:left="-189" w:right="-108"/>
              <w:jc w:val="center"/>
              <w:rPr>
                <w:rFonts w:asciiTheme="majorHAnsi" w:hAnsiTheme="majorHAnsi"/>
                <w:color w:val="000000"/>
                <w:sz w:val="18"/>
                <w:szCs w:val="18"/>
              </w:rPr>
            </w:pPr>
            <w:r w:rsidRPr="00341263">
              <w:rPr>
                <w:rFonts w:asciiTheme="majorHAnsi" w:hAnsiTheme="majorHAnsi"/>
                <w:color w:val="000000"/>
                <w:sz w:val="18"/>
                <w:szCs w:val="18"/>
              </w:rPr>
              <w:t>Ж/б плиты</w:t>
            </w:r>
          </w:p>
        </w:tc>
        <w:tc>
          <w:tcPr>
            <w:tcW w:w="850" w:type="dxa"/>
            <w:shd w:val="clear" w:color="000000" w:fill="FFFFFF"/>
            <w:vAlign w:val="center"/>
            <w:hideMark/>
          </w:tcPr>
          <w:p w:rsidR="00631C59" w:rsidRPr="00341263" w:rsidRDefault="00631C59" w:rsidP="00A528E7">
            <w:pPr>
              <w:ind w:left="-189" w:right="-108"/>
              <w:jc w:val="center"/>
              <w:rPr>
                <w:rFonts w:asciiTheme="majorHAnsi" w:hAnsiTheme="majorHAnsi"/>
                <w:color w:val="000000"/>
                <w:sz w:val="18"/>
                <w:szCs w:val="18"/>
              </w:rPr>
            </w:pPr>
            <w:r w:rsidRPr="00341263">
              <w:rPr>
                <w:rFonts w:asciiTheme="majorHAnsi" w:hAnsiTheme="majorHAnsi"/>
                <w:color w:val="000000"/>
                <w:sz w:val="18"/>
                <w:szCs w:val="18"/>
              </w:rPr>
              <w:t>Рубероид</w:t>
            </w:r>
          </w:p>
        </w:tc>
        <w:tc>
          <w:tcPr>
            <w:tcW w:w="911" w:type="dxa"/>
            <w:shd w:val="clear" w:color="000000" w:fill="FFFFFF"/>
            <w:vAlign w:val="center"/>
            <w:hideMark/>
          </w:tcPr>
          <w:p w:rsidR="00631C59" w:rsidRPr="00341263" w:rsidRDefault="00631C59" w:rsidP="006C24AA">
            <w:pPr>
              <w:ind w:left="-189" w:right="-108"/>
              <w:jc w:val="center"/>
              <w:rPr>
                <w:rFonts w:asciiTheme="majorHAnsi" w:hAnsiTheme="majorHAnsi"/>
                <w:color w:val="000000"/>
                <w:sz w:val="18"/>
                <w:szCs w:val="18"/>
              </w:rPr>
            </w:pPr>
            <w:r w:rsidRPr="00341263">
              <w:rPr>
                <w:rFonts w:asciiTheme="majorHAnsi" w:hAnsiTheme="majorHAnsi"/>
                <w:color w:val="000000"/>
                <w:sz w:val="18"/>
                <w:szCs w:val="18"/>
              </w:rPr>
              <w:t>Бетонные</w:t>
            </w:r>
            <w:r w:rsidR="006C24AA">
              <w:rPr>
                <w:rFonts w:asciiTheme="majorHAnsi" w:hAnsiTheme="majorHAnsi"/>
                <w:color w:val="000000"/>
                <w:sz w:val="18"/>
                <w:szCs w:val="18"/>
              </w:rPr>
              <w:t>, керамич. плитка, мозаика</w:t>
            </w:r>
          </w:p>
        </w:tc>
      </w:tr>
      <w:tr w:rsidR="006C24AA" w:rsidRPr="00341263" w:rsidTr="006C24AA">
        <w:trPr>
          <w:trHeight w:val="20"/>
          <w:jc w:val="center"/>
        </w:trPr>
        <w:tc>
          <w:tcPr>
            <w:tcW w:w="499" w:type="dxa"/>
            <w:shd w:val="clear" w:color="auto" w:fill="auto"/>
            <w:noWrap/>
            <w:vAlign w:val="center"/>
          </w:tcPr>
          <w:p w:rsidR="006C24AA" w:rsidRPr="00341263" w:rsidRDefault="006C24AA" w:rsidP="006C24AA">
            <w:pPr>
              <w:ind w:left="-93" w:right="-123"/>
              <w:jc w:val="center"/>
              <w:rPr>
                <w:rFonts w:asciiTheme="majorHAnsi" w:hAnsiTheme="majorHAnsi"/>
                <w:color w:val="000000"/>
                <w:sz w:val="18"/>
                <w:szCs w:val="18"/>
              </w:rPr>
            </w:pPr>
            <w:r>
              <w:rPr>
                <w:rFonts w:asciiTheme="majorHAnsi" w:hAnsiTheme="majorHAnsi"/>
                <w:color w:val="000000"/>
                <w:sz w:val="18"/>
                <w:szCs w:val="18"/>
              </w:rPr>
              <w:t>2</w:t>
            </w:r>
          </w:p>
        </w:tc>
        <w:tc>
          <w:tcPr>
            <w:tcW w:w="2114" w:type="dxa"/>
            <w:shd w:val="clear" w:color="000000" w:fill="FFFFFF"/>
            <w:vAlign w:val="center"/>
          </w:tcPr>
          <w:p w:rsidR="006C24AA" w:rsidRPr="00384A1B" w:rsidRDefault="006C24AA" w:rsidP="006C24AA">
            <w:pPr>
              <w:ind w:left="-103" w:right="-125"/>
              <w:jc w:val="center"/>
              <w:rPr>
                <w:rFonts w:ascii="Cambria" w:hAnsi="Cambria"/>
                <w:color w:val="000000"/>
                <w:sz w:val="18"/>
                <w:szCs w:val="18"/>
              </w:rPr>
            </w:pPr>
            <w:r>
              <w:rPr>
                <w:rFonts w:ascii="Cambria" w:hAnsi="Cambria"/>
                <w:color w:val="000000"/>
                <w:sz w:val="18"/>
                <w:szCs w:val="18"/>
                <w:lang w:eastAsia="en-US"/>
              </w:rPr>
              <w:t>А</w:t>
            </w:r>
            <w:r w:rsidRPr="000B7405">
              <w:rPr>
                <w:rFonts w:ascii="Cambria" w:hAnsi="Cambria"/>
                <w:color w:val="000000"/>
                <w:sz w:val="18"/>
                <w:szCs w:val="18"/>
                <w:lang w:eastAsia="en-US"/>
              </w:rPr>
              <w:t>дминистративно-бытовой комплекс</w:t>
            </w:r>
          </w:p>
        </w:tc>
        <w:tc>
          <w:tcPr>
            <w:tcW w:w="1701" w:type="dxa"/>
            <w:shd w:val="clear" w:color="000000" w:fill="FFFFFF"/>
            <w:vAlign w:val="center"/>
          </w:tcPr>
          <w:p w:rsidR="006C24AA" w:rsidRPr="00341263" w:rsidRDefault="006C24AA" w:rsidP="006C24AA">
            <w:pPr>
              <w:ind w:left="-160" w:right="-123"/>
              <w:jc w:val="center"/>
              <w:rPr>
                <w:rFonts w:asciiTheme="majorHAnsi" w:hAnsiTheme="majorHAnsi"/>
                <w:color w:val="000000"/>
                <w:sz w:val="18"/>
                <w:szCs w:val="18"/>
              </w:rPr>
            </w:pPr>
            <w:r w:rsidRPr="006C24AA">
              <w:rPr>
                <w:rFonts w:asciiTheme="majorHAnsi" w:hAnsiTheme="majorHAnsi"/>
                <w:color w:val="000000"/>
                <w:sz w:val="18"/>
                <w:szCs w:val="18"/>
              </w:rPr>
              <w:t xml:space="preserve">Нежилое   </w:t>
            </w:r>
          </w:p>
        </w:tc>
        <w:tc>
          <w:tcPr>
            <w:tcW w:w="708" w:type="dxa"/>
            <w:shd w:val="clear" w:color="000000" w:fill="FFFFFF"/>
            <w:noWrap/>
            <w:vAlign w:val="center"/>
          </w:tcPr>
          <w:p w:rsidR="006C24AA" w:rsidRPr="00341263" w:rsidRDefault="006C24AA" w:rsidP="006C24AA">
            <w:pPr>
              <w:ind w:left="-93" w:right="-123"/>
              <w:jc w:val="center"/>
              <w:rPr>
                <w:rFonts w:asciiTheme="majorHAnsi" w:hAnsiTheme="majorHAnsi"/>
                <w:color w:val="000000"/>
                <w:sz w:val="18"/>
                <w:szCs w:val="18"/>
              </w:rPr>
            </w:pPr>
            <w:r>
              <w:rPr>
                <w:rFonts w:asciiTheme="majorHAnsi" w:hAnsiTheme="majorHAnsi"/>
                <w:color w:val="000000"/>
                <w:sz w:val="18"/>
                <w:szCs w:val="18"/>
              </w:rPr>
              <w:t>А</w:t>
            </w:r>
          </w:p>
        </w:tc>
        <w:tc>
          <w:tcPr>
            <w:tcW w:w="1134" w:type="dxa"/>
            <w:shd w:val="clear" w:color="000000" w:fill="FFFFFF"/>
            <w:vAlign w:val="center"/>
          </w:tcPr>
          <w:p w:rsidR="006C24AA" w:rsidRPr="00341263" w:rsidRDefault="006C24AA" w:rsidP="006C24AA">
            <w:pPr>
              <w:ind w:left="-189" w:right="-108"/>
              <w:jc w:val="center"/>
              <w:rPr>
                <w:rFonts w:asciiTheme="majorHAnsi" w:hAnsiTheme="majorHAnsi"/>
                <w:color w:val="000000"/>
                <w:sz w:val="18"/>
                <w:szCs w:val="18"/>
              </w:rPr>
            </w:pPr>
            <w:r w:rsidRPr="006C24AA">
              <w:rPr>
                <w:rFonts w:asciiTheme="majorHAnsi" w:hAnsiTheme="majorHAnsi"/>
                <w:color w:val="000000"/>
                <w:sz w:val="18"/>
                <w:szCs w:val="18"/>
              </w:rPr>
              <w:t>Бетонный</w:t>
            </w:r>
          </w:p>
        </w:tc>
        <w:tc>
          <w:tcPr>
            <w:tcW w:w="993" w:type="dxa"/>
            <w:shd w:val="clear" w:color="000000" w:fill="FFFFFF"/>
            <w:vAlign w:val="center"/>
          </w:tcPr>
          <w:p w:rsidR="006C24AA" w:rsidRDefault="006C24AA" w:rsidP="006C24AA">
            <w:pPr>
              <w:ind w:left="-189" w:right="-108"/>
              <w:jc w:val="center"/>
              <w:rPr>
                <w:rFonts w:asciiTheme="majorHAnsi" w:hAnsiTheme="majorHAnsi"/>
                <w:color w:val="000000"/>
                <w:sz w:val="18"/>
                <w:szCs w:val="18"/>
              </w:rPr>
            </w:pPr>
            <w:r>
              <w:rPr>
                <w:rFonts w:asciiTheme="majorHAnsi" w:hAnsiTheme="majorHAnsi"/>
                <w:color w:val="000000"/>
                <w:sz w:val="18"/>
                <w:szCs w:val="18"/>
              </w:rPr>
              <w:t>Панель</w:t>
            </w:r>
          </w:p>
        </w:tc>
        <w:tc>
          <w:tcPr>
            <w:tcW w:w="1134" w:type="dxa"/>
            <w:shd w:val="clear" w:color="000000" w:fill="FFFFFF"/>
            <w:vAlign w:val="center"/>
          </w:tcPr>
          <w:p w:rsidR="006C24AA" w:rsidRPr="00341263" w:rsidRDefault="006C24AA" w:rsidP="006C24AA">
            <w:pPr>
              <w:ind w:left="-189" w:right="-108"/>
              <w:jc w:val="center"/>
              <w:rPr>
                <w:rFonts w:asciiTheme="majorHAnsi" w:hAnsiTheme="majorHAnsi"/>
                <w:color w:val="000000"/>
                <w:sz w:val="18"/>
                <w:szCs w:val="18"/>
              </w:rPr>
            </w:pPr>
            <w:r w:rsidRPr="006C24AA">
              <w:rPr>
                <w:rFonts w:asciiTheme="majorHAnsi" w:hAnsiTheme="majorHAnsi"/>
                <w:color w:val="000000"/>
                <w:sz w:val="18"/>
                <w:szCs w:val="18"/>
              </w:rPr>
              <w:t>Ж/б плиты</w:t>
            </w:r>
          </w:p>
        </w:tc>
        <w:tc>
          <w:tcPr>
            <w:tcW w:w="850" w:type="dxa"/>
            <w:shd w:val="clear" w:color="000000" w:fill="FFFFFF"/>
            <w:vAlign w:val="center"/>
          </w:tcPr>
          <w:p w:rsidR="006C24AA" w:rsidRPr="00341263" w:rsidRDefault="006C24AA" w:rsidP="006C24AA">
            <w:pPr>
              <w:ind w:left="-189" w:right="-108"/>
              <w:jc w:val="center"/>
              <w:rPr>
                <w:rFonts w:asciiTheme="majorHAnsi" w:hAnsiTheme="majorHAnsi"/>
                <w:color w:val="000000"/>
                <w:sz w:val="18"/>
                <w:szCs w:val="18"/>
              </w:rPr>
            </w:pPr>
            <w:r w:rsidRPr="006C24AA">
              <w:rPr>
                <w:rFonts w:asciiTheme="majorHAnsi" w:hAnsiTheme="majorHAnsi"/>
                <w:color w:val="000000"/>
                <w:sz w:val="18"/>
                <w:szCs w:val="18"/>
              </w:rPr>
              <w:t>Рубероид</w:t>
            </w:r>
          </w:p>
        </w:tc>
        <w:tc>
          <w:tcPr>
            <w:tcW w:w="911" w:type="dxa"/>
            <w:shd w:val="clear" w:color="000000" w:fill="FFFFFF"/>
            <w:vAlign w:val="center"/>
          </w:tcPr>
          <w:p w:rsidR="006C24AA" w:rsidRPr="00341263" w:rsidRDefault="006C24AA" w:rsidP="006C24AA">
            <w:pPr>
              <w:ind w:left="-189" w:right="-108"/>
              <w:jc w:val="center"/>
              <w:rPr>
                <w:rFonts w:asciiTheme="majorHAnsi" w:hAnsiTheme="majorHAnsi"/>
                <w:color w:val="000000"/>
                <w:sz w:val="18"/>
                <w:szCs w:val="18"/>
              </w:rPr>
            </w:pPr>
            <w:r w:rsidRPr="006C24AA">
              <w:rPr>
                <w:rFonts w:asciiTheme="majorHAnsi" w:hAnsiTheme="majorHAnsi"/>
                <w:color w:val="000000"/>
                <w:sz w:val="18"/>
                <w:szCs w:val="18"/>
              </w:rPr>
              <w:t xml:space="preserve">Бетонные, </w:t>
            </w:r>
            <w:r>
              <w:rPr>
                <w:rFonts w:asciiTheme="majorHAnsi" w:hAnsiTheme="majorHAnsi"/>
                <w:color w:val="000000"/>
                <w:sz w:val="18"/>
                <w:szCs w:val="18"/>
              </w:rPr>
              <w:t>линолеум</w:t>
            </w:r>
            <w:r w:rsidRPr="006C24AA">
              <w:rPr>
                <w:rFonts w:asciiTheme="majorHAnsi" w:hAnsiTheme="majorHAnsi"/>
                <w:color w:val="000000"/>
                <w:sz w:val="18"/>
                <w:szCs w:val="18"/>
              </w:rPr>
              <w:t>, мозаика</w:t>
            </w:r>
          </w:p>
        </w:tc>
      </w:tr>
    </w:tbl>
    <w:p w:rsidR="000E4C77" w:rsidRPr="005433F9" w:rsidRDefault="000E4C77" w:rsidP="00A528E7">
      <w:pPr>
        <w:spacing w:before="100" w:beforeAutospacing="1" w:after="100" w:afterAutospacing="1"/>
        <w:ind w:firstLine="708"/>
        <w:jc w:val="both"/>
        <w:rPr>
          <w:rFonts w:asciiTheme="majorHAnsi" w:hAnsiTheme="majorHAnsi"/>
          <w:sz w:val="20"/>
          <w:szCs w:val="20"/>
        </w:rPr>
      </w:pPr>
      <w:r w:rsidRPr="005433F9">
        <w:rPr>
          <w:rFonts w:asciiTheme="majorHAnsi" w:hAnsiTheme="majorHAnsi"/>
          <w:sz w:val="20"/>
          <w:szCs w:val="20"/>
        </w:rPr>
        <w:t>Сведенья об идентификационных характеристиках, годе выпуска, техническом состоянии объекта оценки, поэлементно, были предоставлены заказчиком, и получены в результате осмотра.</w:t>
      </w:r>
    </w:p>
    <w:p w:rsidR="003262B9" w:rsidRPr="00E03510" w:rsidRDefault="00991118" w:rsidP="0090764B">
      <w:pPr>
        <w:pStyle w:val="af3"/>
        <w:keepNext/>
        <w:keepLines/>
        <w:numPr>
          <w:ilvl w:val="1"/>
          <w:numId w:val="5"/>
        </w:numPr>
        <w:outlineLvl w:val="1"/>
        <w:rPr>
          <w:rFonts w:asciiTheme="majorHAnsi" w:eastAsiaTheme="majorEastAsia" w:hAnsiTheme="majorHAnsi" w:cstheme="majorBidi"/>
          <w:b/>
          <w:bCs/>
          <w:smallCaps/>
          <w:sz w:val="20"/>
          <w:szCs w:val="20"/>
          <w:lang w:val="ru-RU" w:bidi="ar-SA"/>
        </w:rPr>
      </w:pPr>
      <w:bookmarkStart w:id="0" w:name="_Toc451953099"/>
      <w:bookmarkStart w:id="1" w:name="_Toc491763273"/>
      <w:r w:rsidRPr="00E03510">
        <w:rPr>
          <w:rFonts w:asciiTheme="majorHAnsi" w:eastAsiaTheme="majorEastAsia" w:hAnsiTheme="majorHAnsi" w:cstheme="majorBidi"/>
          <w:b/>
          <w:bCs/>
          <w:sz w:val="20"/>
          <w:szCs w:val="20"/>
          <w:lang w:val="ru-RU"/>
        </w:rPr>
        <w:t>Права на объект оценки, учитываемые при определении стоимости объекта оценки</w:t>
      </w:r>
      <w:r w:rsidRPr="00E03510">
        <w:rPr>
          <w:rFonts w:asciiTheme="majorHAnsi" w:eastAsiaTheme="majorEastAsia" w:hAnsiTheme="majorHAnsi" w:cstheme="majorBidi"/>
          <w:b/>
          <w:bCs/>
          <w:smallCaps/>
          <w:sz w:val="20"/>
          <w:szCs w:val="20"/>
          <w:vertAlign w:val="superscript"/>
          <w:lang w:val="ru-RU" w:bidi="ar-SA"/>
        </w:rPr>
        <w:footnoteReference w:id="1"/>
      </w:r>
      <w:bookmarkEnd w:id="0"/>
      <w:bookmarkEnd w:id="1"/>
    </w:p>
    <w:p w:rsidR="003262B9" w:rsidRPr="00E03510" w:rsidRDefault="003262B9" w:rsidP="003262B9">
      <w:pPr>
        <w:spacing w:before="100" w:beforeAutospacing="1" w:after="100" w:afterAutospacing="1"/>
        <w:ind w:firstLine="708"/>
        <w:rPr>
          <w:rFonts w:asciiTheme="majorHAnsi" w:hAnsiTheme="majorHAnsi"/>
          <w:sz w:val="20"/>
          <w:szCs w:val="20"/>
        </w:rPr>
      </w:pPr>
      <w:r w:rsidRPr="00E03510">
        <w:rPr>
          <w:rFonts w:asciiTheme="majorHAnsi" w:hAnsiTheme="majorHAnsi"/>
          <w:sz w:val="20"/>
          <w:szCs w:val="20"/>
        </w:rPr>
        <w:t xml:space="preserve">В настоящем отчете оценивается: </w:t>
      </w:r>
    </w:p>
    <w:p w:rsidR="003262B9" w:rsidRPr="00E03510" w:rsidRDefault="003262B9" w:rsidP="005A6224">
      <w:pPr>
        <w:numPr>
          <w:ilvl w:val="0"/>
          <w:numId w:val="1"/>
        </w:numPr>
        <w:spacing w:before="100" w:beforeAutospacing="1" w:after="100" w:afterAutospacing="1"/>
        <w:ind w:firstLine="709"/>
        <w:contextualSpacing/>
        <w:rPr>
          <w:rFonts w:asciiTheme="majorHAnsi" w:eastAsiaTheme="minorEastAsia" w:hAnsiTheme="majorHAnsi"/>
          <w:color w:val="E36C0A" w:themeColor="accent6" w:themeShade="BF"/>
          <w:sz w:val="20"/>
          <w:szCs w:val="20"/>
          <w:lang w:bidi="en-US"/>
        </w:rPr>
      </w:pPr>
      <w:r w:rsidRPr="00E03510">
        <w:rPr>
          <w:rFonts w:asciiTheme="majorHAnsi" w:eastAsiaTheme="minorEastAsia" w:hAnsiTheme="majorHAnsi"/>
          <w:sz w:val="20"/>
          <w:szCs w:val="20"/>
          <w:lang w:bidi="en-US"/>
        </w:rPr>
        <w:t xml:space="preserve">на объекты оценки – право собственности; </w:t>
      </w:r>
    </w:p>
    <w:p w:rsidR="003262B9" w:rsidRPr="00E03510" w:rsidRDefault="003262B9" w:rsidP="00C275A4">
      <w:pPr>
        <w:spacing w:before="100" w:beforeAutospacing="1" w:after="100" w:afterAutospacing="1"/>
        <w:contextualSpacing/>
        <w:rPr>
          <w:rFonts w:asciiTheme="majorHAnsi" w:eastAsiaTheme="minorEastAsia" w:hAnsiTheme="majorHAnsi"/>
          <w:color w:val="E36C0A" w:themeColor="accent6" w:themeShade="BF"/>
          <w:sz w:val="20"/>
          <w:szCs w:val="20"/>
          <w:lang w:bidi="en-US"/>
        </w:rPr>
      </w:pPr>
    </w:p>
    <w:p w:rsidR="003262B9" w:rsidRPr="00E03510" w:rsidRDefault="003262B9" w:rsidP="006C24AA">
      <w:pPr>
        <w:ind w:firstLine="709"/>
        <w:jc w:val="both"/>
        <w:rPr>
          <w:rFonts w:asciiTheme="majorHAnsi" w:hAnsiTheme="majorHAnsi"/>
          <w:sz w:val="20"/>
          <w:szCs w:val="20"/>
        </w:rPr>
      </w:pPr>
      <w:r w:rsidRPr="00E03510">
        <w:rPr>
          <w:rFonts w:asciiTheme="majorHAnsi" w:hAnsiTheme="majorHAnsi"/>
          <w:sz w:val="20"/>
          <w:szCs w:val="20"/>
        </w:rPr>
        <w:t xml:space="preserve">Право собственности  в объективном смысле - совокупность юридических норм, закрепляющих и охраняющих принадлежность (присвоенность) материальных благ определенным физическим и юридическим </w:t>
      </w:r>
      <w:r w:rsidRPr="00E03510">
        <w:rPr>
          <w:rFonts w:asciiTheme="majorHAnsi" w:hAnsiTheme="majorHAnsi"/>
          <w:sz w:val="20"/>
          <w:szCs w:val="20"/>
        </w:rPr>
        <w:lastRenderedPageBreak/>
        <w:t xml:space="preserve">лицам, предусматривающих объем и содержание прав собственника в отношении принадлежащего ему имущества, способы и пределы осуществления этих прав. </w:t>
      </w:r>
      <w:r w:rsidRPr="00E03510">
        <w:rPr>
          <w:rFonts w:asciiTheme="majorHAnsi" w:hAnsiTheme="majorHAnsi"/>
          <w:sz w:val="20"/>
          <w:szCs w:val="20"/>
          <w:vertAlign w:val="superscript"/>
        </w:rPr>
        <w:footnoteReference w:id="2"/>
      </w:r>
    </w:p>
    <w:p w:rsidR="003262B9" w:rsidRPr="00E03510" w:rsidRDefault="003262B9" w:rsidP="003262B9">
      <w:pPr>
        <w:ind w:firstLine="708"/>
        <w:jc w:val="both"/>
        <w:rPr>
          <w:rFonts w:asciiTheme="majorHAnsi" w:hAnsiTheme="majorHAnsi"/>
          <w:sz w:val="20"/>
          <w:szCs w:val="20"/>
        </w:rPr>
      </w:pPr>
      <w:r w:rsidRPr="00E03510">
        <w:rPr>
          <w:rFonts w:asciiTheme="majorHAnsi" w:hAnsiTheme="majorHAnsi"/>
          <w:sz w:val="20"/>
          <w:szCs w:val="20"/>
        </w:rPr>
        <w:t xml:space="preserve">Собственником оцениваемого имущества - является </w:t>
      </w:r>
      <w:r w:rsidR="004F632A">
        <w:rPr>
          <w:rFonts w:ascii="Cambria" w:hAnsi="Cambria"/>
          <w:color w:val="000000"/>
          <w:sz w:val="18"/>
          <w:szCs w:val="18"/>
        </w:rPr>
        <w:t>Лаута Игорь Викторович</w:t>
      </w:r>
    </w:p>
    <w:p w:rsidR="003262B9" w:rsidRPr="00E03510" w:rsidRDefault="003262B9" w:rsidP="00991118">
      <w:pPr>
        <w:ind w:firstLine="708"/>
        <w:jc w:val="both"/>
        <w:rPr>
          <w:rFonts w:asciiTheme="majorHAnsi" w:hAnsiTheme="majorHAnsi"/>
          <w:sz w:val="20"/>
          <w:szCs w:val="20"/>
        </w:rPr>
      </w:pPr>
      <w:r w:rsidRPr="00E03510">
        <w:rPr>
          <w:rFonts w:asciiTheme="majorHAnsi" w:hAnsiTheme="majorHAnsi"/>
          <w:sz w:val="20"/>
          <w:szCs w:val="20"/>
        </w:rPr>
        <w:t>Существующие ограничения и обременения объекта оценки</w:t>
      </w:r>
      <w:r w:rsidR="00A2756E" w:rsidRPr="00E03510">
        <w:rPr>
          <w:rFonts w:asciiTheme="majorHAnsi" w:hAnsiTheme="majorHAnsi"/>
          <w:sz w:val="20"/>
          <w:szCs w:val="20"/>
        </w:rPr>
        <w:t xml:space="preserve"> </w:t>
      </w:r>
      <w:r w:rsidRPr="00E03510">
        <w:rPr>
          <w:rFonts w:asciiTheme="majorHAnsi" w:hAnsiTheme="majorHAnsi"/>
          <w:sz w:val="20"/>
          <w:szCs w:val="20"/>
        </w:rPr>
        <w:t xml:space="preserve"> –</w:t>
      </w:r>
      <w:r w:rsidR="00CD1E25" w:rsidRPr="00E03510">
        <w:rPr>
          <w:rFonts w:asciiTheme="majorHAnsi" w:hAnsiTheme="majorHAnsi"/>
          <w:sz w:val="20"/>
          <w:szCs w:val="20"/>
        </w:rPr>
        <w:t xml:space="preserve"> </w:t>
      </w:r>
      <w:r w:rsidR="00A2756E" w:rsidRPr="00E03510">
        <w:rPr>
          <w:rFonts w:asciiTheme="majorHAnsi" w:hAnsiTheme="majorHAnsi"/>
          <w:sz w:val="20"/>
          <w:szCs w:val="20"/>
        </w:rPr>
        <w:t xml:space="preserve">по информации заказчика, </w:t>
      </w:r>
      <w:r w:rsidR="00CD1E25" w:rsidRPr="00E03510">
        <w:rPr>
          <w:rFonts w:asciiTheme="majorHAnsi" w:hAnsiTheme="majorHAnsi"/>
          <w:sz w:val="20"/>
          <w:szCs w:val="20"/>
        </w:rPr>
        <w:t>залог</w:t>
      </w:r>
      <w:r w:rsidR="00AF4196" w:rsidRPr="00E03510">
        <w:rPr>
          <w:rFonts w:asciiTheme="majorHAnsi" w:hAnsiTheme="majorHAnsi"/>
          <w:sz w:val="20"/>
          <w:szCs w:val="20"/>
        </w:rPr>
        <w:t xml:space="preserve"> у</w:t>
      </w:r>
      <w:r w:rsidR="00CD1E25" w:rsidRPr="00E03510">
        <w:rPr>
          <w:rFonts w:asciiTheme="majorHAnsi" w:hAnsiTheme="majorHAnsi"/>
          <w:sz w:val="20"/>
          <w:szCs w:val="20"/>
        </w:rPr>
        <w:t xml:space="preserve"> </w:t>
      </w:r>
      <w:r w:rsidR="00A2756E" w:rsidRPr="00E03510">
        <w:rPr>
          <w:rFonts w:asciiTheme="majorHAnsi" w:hAnsiTheme="majorHAnsi"/>
          <w:sz w:val="20"/>
          <w:szCs w:val="20"/>
        </w:rPr>
        <w:t>П</w:t>
      </w:r>
      <w:r w:rsidR="00CD1E25" w:rsidRPr="00E03510">
        <w:rPr>
          <w:rFonts w:asciiTheme="majorHAnsi" w:hAnsiTheme="majorHAnsi"/>
          <w:sz w:val="20"/>
          <w:szCs w:val="20"/>
        </w:rPr>
        <w:t>АО «</w:t>
      </w:r>
      <w:r w:rsidR="006C24AA">
        <w:rPr>
          <w:rFonts w:asciiTheme="majorHAnsi" w:hAnsiTheme="majorHAnsi"/>
          <w:sz w:val="20"/>
          <w:szCs w:val="20"/>
        </w:rPr>
        <w:t>ВТБ</w:t>
      </w:r>
      <w:r w:rsidR="00CD1E25" w:rsidRPr="00E03510">
        <w:rPr>
          <w:rFonts w:asciiTheme="majorHAnsi" w:hAnsiTheme="majorHAnsi"/>
          <w:sz w:val="20"/>
          <w:szCs w:val="20"/>
        </w:rPr>
        <w:t>»</w:t>
      </w:r>
      <w:r w:rsidRPr="00E03510">
        <w:rPr>
          <w:rFonts w:asciiTheme="majorHAnsi" w:hAnsiTheme="majorHAnsi"/>
          <w:sz w:val="20"/>
          <w:szCs w:val="20"/>
        </w:rPr>
        <w:t>.</w:t>
      </w:r>
    </w:p>
    <w:p w:rsidR="003262B9" w:rsidRPr="00E03510" w:rsidRDefault="003262B9" w:rsidP="0090764B">
      <w:pPr>
        <w:pStyle w:val="af3"/>
        <w:keepNext/>
        <w:keepLines/>
        <w:numPr>
          <w:ilvl w:val="1"/>
          <w:numId w:val="5"/>
        </w:numPr>
        <w:outlineLvl w:val="1"/>
        <w:rPr>
          <w:rFonts w:asciiTheme="majorHAnsi" w:eastAsiaTheme="majorEastAsia" w:hAnsiTheme="majorHAnsi" w:cstheme="majorBidi"/>
          <w:b/>
          <w:bCs/>
          <w:sz w:val="20"/>
          <w:szCs w:val="20"/>
          <w:lang w:val="ru-RU"/>
        </w:rPr>
      </w:pPr>
      <w:bookmarkStart w:id="2" w:name="_Toc491763274"/>
      <w:r w:rsidRPr="00E03510">
        <w:rPr>
          <w:rFonts w:asciiTheme="majorHAnsi" w:eastAsiaTheme="majorEastAsia" w:hAnsiTheme="majorHAnsi" w:cstheme="majorBidi"/>
          <w:b/>
          <w:bCs/>
          <w:sz w:val="20"/>
          <w:szCs w:val="20"/>
          <w:lang w:val="ru-RU"/>
        </w:rPr>
        <w:t>Цель оценки:</w:t>
      </w:r>
      <w:bookmarkEnd w:id="2"/>
    </w:p>
    <w:p w:rsidR="003262B9" w:rsidRPr="00E03510" w:rsidRDefault="003262B9" w:rsidP="003262B9">
      <w:pPr>
        <w:ind w:firstLine="708"/>
        <w:jc w:val="both"/>
        <w:rPr>
          <w:rFonts w:asciiTheme="majorHAnsi" w:hAnsiTheme="majorHAnsi"/>
          <w:sz w:val="20"/>
          <w:szCs w:val="20"/>
        </w:rPr>
      </w:pPr>
      <w:r w:rsidRPr="00E03510">
        <w:rPr>
          <w:rFonts w:asciiTheme="majorHAnsi" w:hAnsiTheme="majorHAnsi"/>
          <w:sz w:val="20"/>
          <w:szCs w:val="20"/>
        </w:rPr>
        <w:t>Определение</w:t>
      </w:r>
      <w:r w:rsidRPr="00E03510">
        <w:rPr>
          <w:rFonts w:asciiTheme="majorHAnsi" w:hAnsiTheme="majorHAnsi"/>
          <w:color w:val="E36C0A" w:themeColor="accent6" w:themeShade="BF"/>
          <w:sz w:val="20"/>
          <w:szCs w:val="20"/>
        </w:rPr>
        <w:t xml:space="preserve"> </w:t>
      </w:r>
      <w:r w:rsidRPr="00E03510">
        <w:rPr>
          <w:rFonts w:asciiTheme="majorHAnsi" w:hAnsiTheme="majorHAnsi"/>
          <w:sz w:val="20"/>
          <w:szCs w:val="20"/>
        </w:rPr>
        <w:t>рыночной</w:t>
      </w:r>
      <w:r w:rsidRPr="00E03510">
        <w:rPr>
          <w:rFonts w:asciiTheme="majorHAnsi" w:hAnsiTheme="majorHAnsi"/>
          <w:color w:val="E36C0A" w:themeColor="accent6" w:themeShade="BF"/>
          <w:sz w:val="20"/>
          <w:szCs w:val="20"/>
        </w:rPr>
        <w:t xml:space="preserve"> </w:t>
      </w:r>
      <w:r w:rsidRPr="00E03510">
        <w:rPr>
          <w:rFonts w:asciiTheme="majorHAnsi" w:hAnsiTheme="majorHAnsi"/>
          <w:sz w:val="20"/>
          <w:szCs w:val="20"/>
        </w:rPr>
        <w:t>стоимости объекта оценки. Результатом оценки является итоговая величина стоимости объекта оценки.</w:t>
      </w:r>
    </w:p>
    <w:p w:rsidR="003262B9" w:rsidRPr="00E03510" w:rsidRDefault="003262B9" w:rsidP="0090764B">
      <w:pPr>
        <w:pStyle w:val="af3"/>
        <w:keepNext/>
        <w:keepLines/>
        <w:numPr>
          <w:ilvl w:val="1"/>
          <w:numId w:val="5"/>
        </w:numPr>
        <w:outlineLvl w:val="1"/>
        <w:rPr>
          <w:rFonts w:asciiTheme="majorHAnsi" w:eastAsiaTheme="majorEastAsia" w:hAnsiTheme="majorHAnsi" w:cstheme="majorBidi"/>
          <w:b/>
          <w:bCs/>
          <w:sz w:val="20"/>
          <w:szCs w:val="20"/>
          <w:lang w:val="ru-RU"/>
        </w:rPr>
      </w:pPr>
      <w:bookmarkStart w:id="3" w:name="_Toc491763275"/>
      <w:r w:rsidRPr="00E03510">
        <w:rPr>
          <w:rFonts w:asciiTheme="majorHAnsi" w:eastAsiaTheme="majorEastAsia" w:hAnsiTheme="majorHAnsi" w:cstheme="majorBidi"/>
          <w:b/>
          <w:bCs/>
          <w:sz w:val="20"/>
          <w:szCs w:val="20"/>
          <w:lang w:val="ru-RU"/>
        </w:rPr>
        <w:t>Предполагаемое  использование  результатов оценки и связанные с этим ограничения.</w:t>
      </w:r>
      <w:bookmarkEnd w:id="3"/>
    </w:p>
    <w:p w:rsidR="003262B9" w:rsidRPr="00E03510" w:rsidRDefault="003262B9" w:rsidP="003262B9">
      <w:pPr>
        <w:ind w:firstLine="708"/>
        <w:jc w:val="both"/>
        <w:rPr>
          <w:rFonts w:asciiTheme="majorHAnsi" w:hAnsiTheme="majorHAnsi"/>
          <w:sz w:val="20"/>
          <w:szCs w:val="20"/>
        </w:rPr>
      </w:pPr>
      <w:r w:rsidRPr="00E03510">
        <w:rPr>
          <w:rFonts w:asciiTheme="majorHAnsi" w:hAnsiTheme="majorHAnsi"/>
          <w:sz w:val="20"/>
          <w:szCs w:val="20"/>
        </w:rPr>
        <w:t>Консультирование Заказчика о наиболее вероятной величине рыночной  стоимости Объекта оценки. Итоговая величина стоимости объекта оценки, указанная в отчете об оценке, может быть признана рекомендуемой для целей совершения сделки с объектами оценки, если с даты составления отчета об оценке до даты совершения сделки с объектом оценки или даты представления публичной оферты прошло не более 6 месяцев.</w:t>
      </w:r>
    </w:p>
    <w:p w:rsidR="00991118" w:rsidRPr="00E03510" w:rsidRDefault="00904C32" w:rsidP="00991118">
      <w:pPr>
        <w:ind w:firstLine="708"/>
        <w:jc w:val="both"/>
        <w:rPr>
          <w:rFonts w:asciiTheme="majorHAnsi" w:hAnsiTheme="majorHAnsi"/>
          <w:sz w:val="20"/>
          <w:szCs w:val="20"/>
        </w:rPr>
      </w:pPr>
      <w:r w:rsidRPr="00E03510">
        <w:rPr>
          <w:rFonts w:asciiTheme="majorHAnsi" w:hAnsiTheme="majorHAnsi"/>
          <w:sz w:val="20"/>
          <w:szCs w:val="20"/>
        </w:rPr>
        <w:t>Результаты оценки предполагается использовать для реализации имущества в рамках процедуры банкротства – конкурсное производство</w:t>
      </w:r>
      <w:r w:rsidR="002E3412" w:rsidRPr="00E03510">
        <w:rPr>
          <w:rFonts w:asciiTheme="majorHAnsi" w:hAnsiTheme="majorHAnsi"/>
          <w:sz w:val="20"/>
          <w:szCs w:val="20"/>
        </w:rPr>
        <w:t>.</w:t>
      </w:r>
    </w:p>
    <w:p w:rsidR="003262B9" w:rsidRPr="00E03510" w:rsidRDefault="003262B9" w:rsidP="00991118">
      <w:pPr>
        <w:ind w:firstLine="708"/>
        <w:jc w:val="both"/>
        <w:rPr>
          <w:rFonts w:asciiTheme="majorHAnsi" w:hAnsiTheme="majorHAnsi"/>
          <w:sz w:val="20"/>
          <w:szCs w:val="20"/>
        </w:rPr>
      </w:pPr>
      <w:r w:rsidRPr="00E03510">
        <w:rPr>
          <w:rFonts w:asciiTheme="majorHAnsi" w:hAnsiTheme="majorHAnsi"/>
          <w:sz w:val="20"/>
          <w:szCs w:val="20"/>
        </w:rPr>
        <w:t>Результаты оценки действительны только в случае учета всех допущений и ограничений, перечисленных в настоящем Задании и Отчете об оценке.</w:t>
      </w:r>
    </w:p>
    <w:p w:rsidR="003262B9" w:rsidRPr="00E03510" w:rsidRDefault="003262B9" w:rsidP="0090764B">
      <w:pPr>
        <w:pStyle w:val="af3"/>
        <w:keepNext/>
        <w:keepLines/>
        <w:numPr>
          <w:ilvl w:val="1"/>
          <w:numId w:val="5"/>
        </w:numPr>
        <w:outlineLvl w:val="1"/>
        <w:rPr>
          <w:rFonts w:asciiTheme="majorHAnsi" w:eastAsiaTheme="majorEastAsia" w:hAnsiTheme="majorHAnsi" w:cstheme="majorBidi"/>
          <w:b/>
          <w:bCs/>
          <w:sz w:val="20"/>
          <w:szCs w:val="20"/>
          <w:lang w:val="ru-RU"/>
        </w:rPr>
      </w:pPr>
      <w:bookmarkStart w:id="4" w:name="_Toc491763276"/>
      <w:r w:rsidRPr="00E03510">
        <w:rPr>
          <w:rFonts w:asciiTheme="majorHAnsi" w:eastAsiaTheme="majorEastAsia" w:hAnsiTheme="majorHAnsi" w:cstheme="majorBidi"/>
          <w:b/>
          <w:bCs/>
          <w:sz w:val="20"/>
          <w:szCs w:val="20"/>
          <w:lang w:val="ru-RU"/>
        </w:rPr>
        <w:t>Вид стоимости:</w:t>
      </w:r>
      <w:bookmarkEnd w:id="4"/>
    </w:p>
    <w:p w:rsidR="00991118" w:rsidRPr="00E03510" w:rsidRDefault="003262B9" w:rsidP="00991118">
      <w:pPr>
        <w:ind w:firstLine="708"/>
        <w:rPr>
          <w:rFonts w:asciiTheme="majorHAnsi" w:hAnsiTheme="majorHAnsi"/>
          <w:sz w:val="20"/>
          <w:szCs w:val="20"/>
        </w:rPr>
      </w:pPr>
      <w:r w:rsidRPr="00E03510">
        <w:rPr>
          <w:rFonts w:asciiTheme="majorHAnsi" w:hAnsiTheme="majorHAnsi"/>
          <w:sz w:val="20"/>
          <w:szCs w:val="20"/>
        </w:rPr>
        <w:t>В настоящем Отчете определяется рыночная стоимость Объекта оценки.</w:t>
      </w:r>
    </w:p>
    <w:p w:rsidR="003262B9" w:rsidRPr="00E03510" w:rsidRDefault="003262B9" w:rsidP="002E3412">
      <w:pPr>
        <w:ind w:firstLine="708"/>
        <w:jc w:val="both"/>
        <w:rPr>
          <w:rFonts w:asciiTheme="majorHAnsi" w:hAnsiTheme="majorHAnsi"/>
          <w:sz w:val="20"/>
          <w:szCs w:val="20"/>
        </w:rPr>
      </w:pPr>
      <w:r w:rsidRPr="00E03510">
        <w:rPr>
          <w:rFonts w:asciiTheme="majorHAnsi" w:hAnsiTheme="majorHAnsi"/>
          <w:b/>
          <w:sz w:val="20"/>
          <w:szCs w:val="20"/>
        </w:rPr>
        <w:t>Рыночная стоимость</w:t>
      </w:r>
      <w:r w:rsidRPr="00E03510">
        <w:rPr>
          <w:rFonts w:asciiTheme="majorHAnsi" w:hAnsiTheme="majorHAnsi"/>
          <w:sz w:val="20"/>
          <w:szCs w:val="20"/>
        </w:rPr>
        <w:t xml:space="preserve"> – наиболее вероятная цена, по которой объект оценки может быть отчужден на дату оценки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 одна из сторон сделки не обязана отчуждать объект оценки, а другая сторона не обязана принимать исполнение, стороны сделки хорошо осведомлены о предмете сделки и действуют в своих интересах, объект оценки представлен на открытом рынке посредством публичной оферты, типичной для аналогичных объектов оценки, 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 платеж за объект оценки выражен в денежной форме. (Федеральный стандарт оценки «Цель оценки и виды стоимости» (ФСО № 2), Приказ Министерства экономического развития и торговли Российской Федерации (Минэкономразвития России) от 20 июля 2007 г. № 255.</w:t>
      </w:r>
    </w:p>
    <w:p w:rsidR="003262B9" w:rsidRPr="00E03510" w:rsidRDefault="003262B9" w:rsidP="0090764B">
      <w:pPr>
        <w:pStyle w:val="af3"/>
        <w:keepNext/>
        <w:keepLines/>
        <w:numPr>
          <w:ilvl w:val="1"/>
          <w:numId w:val="5"/>
        </w:numPr>
        <w:outlineLvl w:val="1"/>
        <w:rPr>
          <w:rFonts w:asciiTheme="majorHAnsi" w:eastAsiaTheme="majorEastAsia" w:hAnsiTheme="majorHAnsi" w:cstheme="majorBidi"/>
          <w:b/>
          <w:bCs/>
          <w:sz w:val="20"/>
          <w:szCs w:val="20"/>
          <w:lang w:val="ru-RU"/>
        </w:rPr>
      </w:pPr>
      <w:bookmarkStart w:id="5" w:name="_Toc491763277"/>
      <w:r w:rsidRPr="00E03510">
        <w:rPr>
          <w:rFonts w:asciiTheme="majorHAnsi" w:eastAsiaTheme="majorEastAsia" w:hAnsiTheme="majorHAnsi" w:cstheme="majorBidi"/>
          <w:b/>
          <w:bCs/>
          <w:sz w:val="20"/>
          <w:szCs w:val="20"/>
          <w:lang w:val="ru-RU"/>
        </w:rPr>
        <w:t>Дата оценки:</w:t>
      </w:r>
      <w:bookmarkEnd w:id="5"/>
    </w:p>
    <w:p w:rsidR="003262B9" w:rsidRPr="00E03510" w:rsidRDefault="003262B9" w:rsidP="00E8430D">
      <w:pPr>
        <w:ind w:firstLine="708"/>
        <w:jc w:val="both"/>
        <w:rPr>
          <w:rFonts w:asciiTheme="majorHAnsi" w:hAnsiTheme="majorHAnsi"/>
          <w:sz w:val="20"/>
          <w:szCs w:val="20"/>
        </w:rPr>
      </w:pPr>
      <w:r w:rsidRPr="00E03510">
        <w:rPr>
          <w:rFonts w:asciiTheme="majorHAnsi" w:hAnsiTheme="majorHAnsi"/>
          <w:sz w:val="20"/>
          <w:szCs w:val="20"/>
        </w:rPr>
        <w:t>Датой оценки (датой проведения оценки, датой определения стоимости) является дата, по состоянию на которую определяется стоимость объекта оценки.</w:t>
      </w:r>
    </w:p>
    <w:p w:rsidR="00991118" w:rsidRPr="00E03510" w:rsidRDefault="003262B9" w:rsidP="00991118">
      <w:pPr>
        <w:ind w:firstLine="708"/>
        <w:jc w:val="both"/>
        <w:rPr>
          <w:rFonts w:asciiTheme="majorHAnsi" w:hAnsiTheme="majorHAnsi"/>
          <w:sz w:val="20"/>
          <w:szCs w:val="20"/>
        </w:rPr>
      </w:pPr>
      <w:r w:rsidRPr="00E03510">
        <w:rPr>
          <w:rFonts w:asciiTheme="majorHAnsi" w:hAnsiTheme="majorHAnsi"/>
          <w:sz w:val="20"/>
          <w:szCs w:val="20"/>
        </w:rPr>
        <w:t>Если в соответствии с законодательством Российской Федерации проведение оценки является обязательным, то с даты оценки до даты составления отчета об оценке должно пройти не более трех месяцев, за исключением случаев, когда законодательством Российской Федерации установлено иное.</w:t>
      </w:r>
    </w:p>
    <w:p w:rsidR="003262B9" w:rsidRPr="00E03510" w:rsidRDefault="003262B9" w:rsidP="00991118">
      <w:pPr>
        <w:ind w:firstLine="708"/>
        <w:jc w:val="both"/>
        <w:rPr>
          <w:rFonts w:asciiTheme="majorHAnsi" w:hAnsiTheme="majorHAnsi"/>
          <w:sz w:val="20"/>
          <w:szCs w:val="20"/>
        </w:rPr>
      </w:pPr>
      <w:r w:rsidRPr="00E03510">
        <w:rPr>
          <w:rFonts w:asciiTheme="majorHAnsi" w:hAnsiTheme="majorHAnsi"/>
          <w:sz w:val="20"/>
          <w:szCs w:val="20"/>
        </w:rPr>
        <w:t xml:space="preserve">Настоящая оценка проведена по состоянию на </w:t>
      </w:r>
      <w:r w:rsidR="00340613">
        <w:rPr>
          <w:rFonts w:asciiTheme="majorHAnsi" w:hAnsiTheme="majorHAnsi"/>
          <w:sz w:val="20"/>
          <w:szCs w:val="20"/>
        </w:rPr>
        <w:t>2</w:t>
      </w:r>
      <w:r w:rsidR="00630AF1">
        <w:rPr>
          <w:rFonts w:asciiTheme="majorHAnsi" w:hAnsiTheme="majorHAnsi"/>
          <w:sz w:val="20"/>
          <w:szCs w:val="20"/>
        </w:rPr>
        <w:t>1</w:t>
      </w:r>
      <w:r w:rsidR="008A34F7" w:rsidRPr="00E03510">
        <w:rPr>
          <w:rFonts w:asciiTheme="majorHAnsi" w:hAnsiTheme="majorHAnsi"/>
          <w:sz w:val="20"/>
          <w:szCs w:val="20"/>
        </w:rPr>
        <w:t xml:space="preserve"> </w:t>
      </w:r>
      <w:r w:rsidR="00630AF1">
        <w:rPr>
          <w:rFonts w:asciiTheme="majorHAnsi" w:hAnsiTheme="majorHAnsi"/>
          <w:sz w:val="20"/>
          <w:szCs w:val="20"/>
        </w:rPr>
        <w:t>августа</w:t>
      </w:r>
      <w:r w:rsidRPr="00E03510">
        <w:rPr>
          <w:rFonts w:asciiTheme="majorHAnsi" w:hAnsiTheme="majorHAnsi"/>
          <w:sz w:val="20"/>
          <w:szCs w:val="20"/>
        </w:rPr>
        <w:t xml:space="preserve"> 201</w:t>
      </w:r>
      <w:r w:rsidR="00630AF1">
        <w:rPr>
          <w:rFonts w:asciiTheme="majorHAnsi" w:hAnsiTheme="majorHAnsi"/>
          <w:sz w:val="20"/>
          <w:szCs w:val="20"/>
        </w:rPr>
        <w:t>7</w:t>
      </w:r>
      <w:r w:rsidRPr="00E03510">
        <w:rPr>
          <w:rFonts w:asciiTheme="majorHAnsi" w:hAnsiTheme="majorHAnsi"/>
          <w:sz w:val="20"/>
          <w:szCs w:val="20"/>
        </w:rPr>
        <w:t xml:space="preserve"> года.</w:t>
      </w:r>
    </w:p>
    <w:p w:rsidR="00991118" w:rsidRPr="00E03510" w:rsidRDefault="00904C32" w:rsidP="0090764B">
      <w:pPr>
        <w:pStyle w:val="af3"/>
        <w:keepNext/>
        <w:keepLines/>
        <w:numPr>
          <w:ilvl w:val="1"/>
          <w:numId w:val="5"/>
        </w:numPr>
        <w:outlineLvl w:val="1"/>
        <w:rPr>
          <w:rFonts w:asciiTheme="majorHAnsi" w:eastAsiaTheme="majorEastAsia" w:hAnsiTheme="majorHAnsi" w:cstheme="majorBidi"/>
          <w:b/>
          <w:bCs/>
          <w:sz w:val="20"/>
          <w:szCs w:val="20"/>
          <w:lang w:val="ru-RU"/>
        </w:rPr>
      </w:pPr>
      <w:bookmarkStart w:id="6" w:name="_Toc491763278"/>
      <w:r w:rsidRPr="00E03510">
        <w:rPr>
          <w:rFonts w:asciiTheme="majorHAnsi" w:eastAsiaTheme="majorEastAsia" w:hAnsiTheme="majorHAnsi" w:cstheme="majorBidi"/>
          <w:b/>
          <w:bCs/>
          <w:sz w:val="20"/>
          <w:szCs w:val="20"/>
          <w:lang w:val="ru-RU"/>
        </w:rPr>
        <w:t>Сведенья об осмотре объекта оценки</w:t>
      </w:r>
      <w:bookmarkEnd w:id="6"/>
    </w:p>
    <w:p w:rsidR="00904C32" w:rsidRPr="00E03510" w:rsidRDefault="00991118" w:rsidP="00991118">
      <w:pPr>
        <w:ind w:left="360"/>
        <w:rPr>
          <w:rFonts w:asciiTheme="majorHAnsi" w:eastAsiaTheme="majorEastAsia" w:hAnsiTheme="majorHAnsi" w:cstheme="majorBidi"/>
          <w:b/>
          <w:bCs/>
          <w:smallCaps/>
          <w:sz w:val="20"/>
          <w:szCs w:val="20"/>
        </w:rPr>
      </w:pPr>
      <w:r w:rsidRPr="00E03510">
        <w:rPr>
          <w:rFonts w:asciiTheme="majorHAnsi" w:hAnsiTheme="majorHAnsi"/>
          <w:sz w:val="20"/>
          <w:szCs w:val="20"/>
        </w:rPr>
        <w:t xml:space="preserve">       </w:t>
      </w:r>
      <w:r w:rsidR="00904C32" w:rsidRPr="00E03510">
        <w:rPr>
          <w:rFonts w:asciiTheme="majorHAnsi" w:hAnsiTheme="majorHAnsi"/>
          <w:sz w:val="20"/>
          <w:szCs w:val="20"/>
        </w:rPr>
        <w:t xml:space="preserve">Осмотр объекта оценки по состоянию на </w:t>
      </w:r>
      <w:r w:rsidR="00593406" w:rsidRPr="00E03510">
        <w:rPr>
          <w:rFonts w:asciiTheme="majorHAnsi" w:hAnsiTheme="majorHAnsi"/>
          <w:sz w:val="20"/>
          <w:szCs w:val="20"/>
        </w:rPr>
        <w:t>18</w:t>
      </w:r>
      <w:r w:rsidR="00904C32" w:rsidRPr="00E03510">
        <w:rPr>
          <w:rFonts w:asciiTheme="majorHAnsi" w:hAnsiTheme="majorHAnsi"/>
          <w:sz w:val="20"/>
          <w:szCs w:val="20"/>
        </w:rPr>
        <w:t>.</w:t>
      </w:r>
      <w:r w:rsidR="00630AF1">
        <w:rPr>
          <w:rFonts w:asciiTheme="majorHAnsi" w:hAnsiTheme="majorHAnsi"/>
          <w:sz w:val="20"/>
          <w:szCs w:val="20"/>
        </w:rPr>
        <w:t>08</w:t>
      </w:r>
      <w:r w:rsidR="00904C32" w:rsidRPr="00E03510">
        <w:rPr>
          <w:rFonts w:asciiTheme="majorHAnsi" w:hAnsiTheme="majorHAnsi"/>
          <w:sz w:val="20"/>
          <w:szCs w:val="20"/>
        </w:rPr>
        <w:t>.201</w:t>
      </w:r>
      <w:r w:rsidR="00630AF1">
        <w:rPr>
          <w:rFonts w:asciiTheme="majorHAnsi" w:hAnsiTheme="majorHAnsi"/>
          <w:sz w:val="20"/>
          <w:szCs w:val="20"/>
        </w:rPr>
        <w:t>7</w:t>
      </w:r>
      <w:r w:rsidR="00904C32" w:rsidRPr="00E03510">
        <w:rPr>
          <w:rFonts w:asciiTheme="majorHAnsi" w:hAnsiTheme="majorHAnsi"/>
          <w:sz w:val="20"/>
          <w:szCs w:val="20"/>
        </w:rPr>
        <w:t xml:space="preserve"> г.</w:t>
      </w:r>
    </w:p>
    <w:p w:rsidR="003262B9" w:rsidRPr="00E03510" w:rsidRDefault="003262B9" w:rsidP="0090764B">
      <w:pPr>
        <w:pStyle w:val="af3"/>
        <w:keepNext/>
        <w:keepLines/>
        <w:numPr>
          <w:ilvl w:val="1"/>
          <w:numId w:val="5"/>
        </w:numPr>
        <w:outlineLvl w:val="1"/>
        <w:rPr>
          <w:rFonts w:asciiTheme="majorHAnsi" w:eastAsiaTheme="majorEastAsia" w:hAnsiTheme="majorHAnsi" w:cstheme="majorBidi"/>
          <w:b/>
          <w:bCs/>
          <w:sz w:val="20"/>
          <w:szCs w:val="20"/>
          <w:lang w:val="ru-RU"/>
        </w:rPr>
      </w:pPr>
      <w:bookmarkStart w:id="7" w:name="_Toc491763279"/>
      <w:r w:rsidRPr="00E03510">
        <w:rPr>
          <w:rFonts w:asciiTheme="majorHAnsi" w:eastAsiaTheme="majorEastAsia" w:hAnsiTheme="majorHAnsi" w:cstheme="majorBidi"/>
          <w:b/>
          <w:bCs/>
          <w:sz w:val="20"/>
          <w:szCs w:val="20"/>
          <w:lang w:val="ru-RU"/>
        </w:rPr>
        <w:t>Срок проведения оценки:</w:t>
      </w:r>
      <w:bookmarkEnd w:id="7"/>
    </w:p>
    <w:p w:rsidR="007F5725" w:rsidRPr="00E03510" w:rsidRDefault="008A34F7" w:rsidP="00A2756E">
      <w:pPr>
        <w:ind w:firstLine="708"/>
        <w:jc w:val="both"/>
        <w:rPr>
          <w:rFonts w:asciiTheme="majorHAnsi" w:hAnsiTheme="majorHAnsi"/>
          <w:b/>
          <w:bCs/>
          <w:i/>
          <w:iCs/>
          <w:sz w:val="20"/>
          <w:szCs w:val="20"/>
        </w:rPr>
      </w:pPr>
      <w:r w:rsidRPr="00E03510">
        <w:rPr>
          <w:rFonts w:asciiTheme="majorHAnsi" w:hAnsiTheme="majorHAnsi"/>
          <w:sz w:val="20"/>
          <w:szCs w:val="20"/>
        </w:rPr>
        <w:t>В 30 (Тридцати) дневный срок с момента представления Заказчиком всей необходимой информации и оплаты услуг оценщика.</w:t>
      </w:r>
    </w:p>
    <w:p w:rsidR="003262B9" w:rsidRPr="00E03510" w:rsidRDefault="003262B9" w:rsidP="0090764B">
      <w:pPr>
        <w:pStyle w:val="af3"/>
        <w:keepNext/>
        <w:keepLines/>
        <w:numPr>
          <w:ilvl w:val="1"/>
          <w:numId w:val="5"/>
        </w:numPr>
        <w:outlineLvl w:val="1"/>
        <w:rPr>
          <w:rFonts w:asciiTheme="majorHAnsi" w:eastAsiaTheme="majorEastAsia" w:hAnsiTheme="majorHAnsi" w:cstheme="majorBidi"/>
          <w:b/>
          <w:bCs/>
          <w:sz w:val="20"/>
          <w:szCs w:val="20"/>
          <w:lang w:val="ru-RU"/>
        </w:rPr>
      </w:pPr>
      <w:bookmarkStart w:id="8" w:name="_Toc491763280"/>
      <w:r w:rsidRPr="00E03510">
        <w:rPr>
          <w:rFonts w:asciiTheme="majorHAnsi" w:eastAsiaTheme="majorEastAsia" w:hAnsiTheme="majorHAnsi" w:cstheme="majorBidi"/>
          <w:b/>
          <w:bCs/>
          <w:sz w:val="20"/>
          <w:szCs w:val="20"/>
          <w:lang w:val="ru-RU"/>
        </w:rPr>
        <w:t>Допущения и ограничения, на которых должна основываться оценка.</w:t>
      </w:r>
      <w:bookmarkEnd w:id="8"/>
    </w:p>
    <w:tbl>
      <w:tblPr>
        <w:tblStyle w:val="7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314"/>
      </w:tblGrid>
      <w:tr w:rsidR="00904C32" w:rsidRPr="00E03510" w:rsidTr="001E5220">
        <w:tc>
          <w:tcPr>
            <w:tcW w:w="10314" w:type="dxa"/>
            <w:hideMark/>
          </w:tcPr>
          <w:p w:rsidR="00904C32" w:rsidRPr="00E03510" w:rsidRDefault="00904C32" w:rsidP="001E5220">
            <w:pPr>
              <w:ind w:right="-533" w:firstLine="851"/>
              <w:jc w:val="both"/>
              <w:rPr>
                <w:rFonts w:asciiTheme="majorHAnsi" w:hAnsiTheme="majorHAnsi"/>
                <w:sz w:val="20"/>
                <w:szCs w:val="20"/>
              </w:rPr>
            </w:pPr>
            <w:r w:rsidRPr="00E03510">
              <w:rPr>
                <w:rFonts w:asciiTheme="majorHAnsi" w:hAnsiTheme="majorHAnsi"/>
                <w:sz w:val="20"/>
                <w:szCs w:val="20"/>
              </w:rPr>
              <w:t>Допущение – предположение, принимаемое как верное и касающееся фактов, условий или обстоятельств, связанных с объектом оценки или подходами к оценке, которые не требуют проверки оценщиком в процессе оценки.</w:t>
            </w:r>
          </w:p>
          <w:p w:rsidR="00904C32" w:rsidRPr="00E03510" w:rsidRDefault="00904C32" w:rsidP="001E5220">
            <w:pPr>
              <w:ind w:right="-533" w:firstLine="851"/>
              <w:jc w:val="both"/>
              <w:rPr>
                <w:rFonts w:asciiTheme="majorHAnsi" w:hAnsiTheme="majorHAnsi"/>
                <w:sz w:val="20"/>
                <w:szCs w:val="20"/>
              </w:rPr>
            </w:pPr>
            <w:r w:rsidRPr="00E03510">
              <w:rPr>
                <w:rFonts w:asciiTheme="majorHAnsi" w:hAnsiTheme="majorHAnsi"/>
                <w:sz w:val="20"/>
                <w:szCs w:val="20"/>
              </w:rPr>
              <w:t>Нижеследующие Условия, допущения и ограничения являются неотъемлемой частью отчета.</w:t>
            </w:r>
          </w:p>
          <w:p w:rsidR="00904C32" w:rsidRPr="00E03510" w:rsidRDefault="00904C32" w:rsidP="001E5220">
            <w:pPr>
              <w:ind w:right="-533" w:firstLine="851"/>
              <w:jc w:val="both"/>
              <w:rPr>
                <w:rFonts w:asciiTheme="majorHAnsi" w:hAnsiTheme="majorHAnsi"/>
                <w:sz w:val="20"/>
                <w:szCs w:val="20"/>
              </w:rPr>
            </w:pPr>
            <w:r w:rsidRPr="00E03510">
              <w:rPr>
                <w:rFonts w:asciiTheme="majorHAnsi" w:hAnsiTheme="majorHAnsi"/>
                <w:sz w:val="20"/>
                <w:szCs w:val="20"/>
              </w:rPr>
              <w:t xml:space="preserve">Исходя из нижеследующей трактовки и договоренностей, настоящие условия подразумевают их полное однозначное понимание Сторонами, а также факт того, что все положения, результаты переговоров и заявления, не оговоренные в тексте отчета, теряют силу. Обе стороны должны и в дальнейшем соблюдать настоящие условия </w:t>
            </w:r>
            <w:r w:rsidRPr="00E03510">
              <w:rPr>
                <w:rFonts w:asciiTheme="majorHAnsi" w:hAnsiTheme="majorHAnsi"/>
                <w:sz w:val="20"/>
                <w:szCs w:val="20"/>
              </w:rPr>
              <w:lastRenderedPageBreak/>
              <w:t>даже в случае, если право собственности на застроенный земельный участок полностью или частично перейдет к другому лицу.</w:t>
            </w:r>
          </w:p>
        </w:tc>
      </w:tr>
      <w:tr w:rsidR="00904C32" w:rsidRPr="00E03510" w:rsidTr="001E5220">
        <w:tc>
          <w:tcPr>
            <w:tcW w:w="10314" w:type="dxa"/>
            <w:hideMark/>
          </w:tcPr>
          <w:p w:rsidR="00904C32" w:rsidRPr="00E03510" w:rsidRDefault="00904C32" w:rsidP="001E5220">
            <w:pPr>
              <w:ind w:right="-533" w:firstLine="709"/>
              <w:jc w:val="both"/>
              <w:rPr>
                <w:rFonts w:asciiTheme="majorHAnsi" w:hAnsiTheme="majorHAnsi"/>
                <w:sz w:val="20"/>
                <w:szCs w:val="20"/>
              </w:rPr>
            </w:pPr>
            <w:r w:rsidRPr="00E03510">
              <w:rPr>
                <w:rFonts w:asciiTheme="majorHAnsi" w:hAnsiTheme="majorHAnsi"/>
                <w:sz w:val="20"/>
                <w:szCs w:val="20"/>
              </w:rPr>
              <w:lastRenderedPageBreak/>
              <w:t>Вся информация, полученная от Заказчика и его представителей в письменном или устном виде и не вступающая в противоречие с профессиональным опытом Оценщика, рассматривается как достоверная.</w:t>
            </w:r>
          </w:p>
          <w:p w:rsidR="00904C32" w:rsidRPr="00E03510" w:rsidRDefault="00904C32" w:rsidP="001E5220">
            <w:pPr>
              <w:ind w:right="-533" w:firstLine="709"/>
              <w:jc w:val="both"/>
              <w:rPr>
                <w:rFonts w:asciiTheme="majorHAnsi" w:hAnsiTheme="majorHAnsi"/>
                <w:sz w:val="20"/>
                <w:szCs w:val="20"/>
              </w:rPr>
            </w:pPr>
            <w:r w:rsidRPr="00E03510">
              <w:rPr>
                <w:rFonts w:asciiTheme="majorHAnsi" w:hAnsiTheme="majorHAnsi"/>
                <w:sz w:val="20"/>
                <w:szCs w:val="20"/>
              </w:rPr>
              <w:t>Оценщик исходит из того, что на объект оценки имеются все подлежащие оценке права в соответствии с действующим законодательством. Однако анализ правоустанавливающих документов и имущественных прав на объект оценки выходит за пределы профессиональной компетенции Оценщика, и он не несёт ответственности за связанные с этим вопросы. Право оцениваемой собственности считается достоверным и достаточным для рыночного оборота объекта оценки. Оцениваемая собственность считается свободной от каких-либо претензий или ограничений, кроме оговоренных в настоящем Задании на оценку.</w:t>
            </w:r>
          </w:p>
          <w:p w:rsidR="00904C32" w:rsidRPr="00E03510" w:rsidRDefault="00904C32" w:rsidP="001E5220">
            <w:pPr>
              <w:ind w:right="-533" w:firstLine="709"/>
              <w:jc w:val="both"/>
              <w:rPr>
                <w:rFonts w:asciiTheme="majorHAnsi" w:hAnsiTheme="majorHAnsi"/>
                <w:sz w:val="20"/>
                <w:szCs w:val="20"/>
              </w:rPr>
            </w:pPr>
            <w:r w:rsidRPr="00E03510">
              <w:rPr>
                <w:rFonts w:asciiTheme="majorHAnsi" w:hAnsiTheme="majorHAnsi"/>
                <w:sz w:val="20"/>
                <w:szCs w:val="20"/>
              </w:rPr>
              <w:t>Данные, использованные Оценщиком при проведении оценки, были получены из надежных источников и считаются достоверными. Тем не менее, Оценщик не может гарантировать их абсолютную точность и во всех возможных случаях указывают источник информации.</w:t>
            </w:r>
          </w:p>
          <w:p w:rsidR="00904C32" w:rsidRPr="00E03510" w:rsidRDefault="00904C32" w:rsidP="001E5220">
            <w:pPr>
              <w:ind w:right="-533" w:firstLine="709"/>
              <w:jc w:val="both"/>
              <w:rPr>
                <w:rFonts w:asciiTheme="majorHAnsi" w:hAnsiTheme="majorHAnsi"/>
                <w:sz w:val="20"/>
                <w:szCs w:val="20"/>
              </w:rPr>
            </w:pPr>
            <w:r w:rsidRPr="00E03510">
              <w:rPr>
                <w:rFonts w:asciiTheme="majorHAnsi" w:hAnsiTheme="majorHAnsi"/>
                <w:sz w:val="20"/>
                <w:szCs w:val="20"/>
              </w:rPr>
              <w:t>Заказчик принимает на себя обязательство заранее освободить Оценщика от всякого рода расходов и материальной ответственности, происходящих из иска третьих сторон, вследствие легального использования третьими сторонами полученных результатов оценки, кроме случаев, когда окончательным судебным порядком определено, что убытки, потери и задолженности были следствием мошенничества, общей халатности или умышленно неправомочных действий со стороны Оценщика в процессе выполнения данной работы.</w:t>
            </w:r>
          </w:p>
          <w:p w:rsidR="00904C32" w:rsidRPr="00E03510" w:rsidRDefault="00904C32" w:rsidP="001E5220">
            <w:pPr>
              <w:ind w:right="-533" w:firstLine="709"/>
              <w:jc w:val="both"/>
              <w:rPr>
                <w:rFonts w:asciiTheme="majorHAnsi" w:hAnsiTheme="majorHAnsi"/>
                <w:sz w:val="20"/>
                <w:szCs w:val="20"/>
              </w:rPr>
            </w:pPr>
            <w:r w:rsidRPr="00E03510">
              <w:rPr>
                <w:rFonts w:asciiTheme="majorHAnsi" w:hAnsiTheme="majorHAnsi"/>
                <w:sz w:val="20"/>
                <w:szCs w:val="20"/>
              </w:rPr>
              <w:t>От Оценщика не требуется появляться в суде или свидетельствовать иным образом в связи с проведением данной оценки, иначе как по официальному вызову суда (в случае необходимости присутствия Оценщика в суде оплата проезда и проживания Оценщика производится за счет стороны).</w:t>
            </w:r>
          </w:p>
        </w:tc>
      </w:tr>
    </w:tbl>
    <w:p w:rsidR="00904C32" w:rsidRPr="00E03510" w:rsidRDefault="00904C32" w:rsidP="00904C32">
      <w:pPr>
        <w:ind w:firstLine="709"/>
        <w:jc w:val="both"/>
        <w:rPr>
          <w:rFonts w:asciiTheme="majorHAnsi" w:hAnsiTheme="majorHAnsi"/>
          <w:sz w:val="20"/>
          <w:szCs w:val="20"/>
        </w:rPr>
      </w:pPr>
      <w:r w:rsidRPr="00E03510">
        <w:rPr>
          <w:rFonts w:asciiTheme="majorHAnsi" w:hAnsiTheme="majorHAnsi"/>
          <w:sz w:val="20"/>
          <w:szCs w:val="20"/>
        </w:rPr>
        <w:t>Отчет достоверен в полном объеме лишь в указанных в настоящем тексте целях. Понимается, что проведенный нами анализ и данные нами заключения не содержат полностью или частично предвзятые мнения. Ни Заказчик, ни Оценщик не могут использовать отчет иначе, чем это предусмотрено договором. сделанные в отчете базируются на существующей рыночной ситуации. Оценщик не несет ответственности за изменения социальных, экономических, юридических, природных, экологических и иных факторов, возникших после даты оценки и, влияющих на рыночную ситуацию и соответственно на рыночную стоимость объекта. Отчет об оценке содержит профессиональное мнение оценщика относительно рыночной стоимости объекта на дату оценки и не является гарантией того, что объект в будущем будет продан по цене, равной стоимости объекта на дату оценки. Заключение о стоимости объекта, содержащееся в отчете относится к объекту оценки в целом. Любое соотнесение части стоимости к какой-либо части объекта является неправомерным, если таковое не оговорено в отчете. Оценщик выдвигает требование конфиденциальности в отношении документов любого формата и содержания, составленных от имени Заказчика. Заказчик принимает условия не упоминать имя или отчет Оценщика полностью или частично, в каком-либо документе, передаваемом третьим лицам, без письменного на то согласия Оценщика, за исключением случаев, предусмотренных Законом и условиями Договора. Согласно установленным профессиональным стандартам, Оценщик аналогично сохранит конфиденциальность в отношении информации, полученной от Заказчика, или полученной и рассчитанной в ходе исследования в соответствии с задачами оценки. Разглашение содержания настоящего отчета, как в целом, так и по фрагментам возможно только после предварительного письменного согласования. Особенно это касается итоговой величины стоимости и авторства отчета Оценщик утверждает, что проведенная по настоящему договору работа соответствует признанным профессиональным стандартам, и что привлеченный для ее выполнения персонал соответствует существующим требованиям. Подготовка Отчета осуществляется в соответствии и на условиях требований законодательства, профессиональной этики и стандартов оценки, обязательных к применению.</w:t>
      </w:r>
    </w:p>
    <w:p w:rsidR="00904C32" w:rsidRPr="00E03510" w:rsidRDefault="00904C32" w:rsidP="00904C32">
      <w:pPr>
        <w:ind w:firstLine="709"/>
        <w:jc w:val="both"/>
        <w:rPr>
          <w:rFonts w:asciiTheme="majorHAnsi" w:hAnsiTheme="majorHAnsi"/>
          <w:sz w:val="20"/>
          <w:szCs w:val="20"/>
        </w:rPr>
      </w:pPr>
      <w:r w:rsidRPr="00E03510">
        <w:rPr>
          <w:rFonts w:asciiTheme="majorHAnsi" w:hAnsiTheme="majorHAnsi"/>
          <w:sz w:val="20"/>
          <w:szCs w:val="20"/>
        </w:rPr>
        <w:t>Оценщик не принимает на себя ответственность за финансовую и налоговую   отчетность, относящуюся к вопросу управления объектом. Ответственность за такого рода отчетность, относящуюся к исследованному нами объекту, несет владелец объекта. В своих действиях мы поступали как независимые исполнители. Размер, нашего вознаграждения ни в какой степени не связан с нашими выводами о стоимости оцениваемого объекта. Мы исходили из того, что предоставленная нам информация являлась точной и правдивой, и не проводили ее проверки. Оценщик исходит из того, что предоставленная сторонними организациями и частными лицами информация точна и достоверна. Информация, полученная, от сторонних специалистов представляется надежной. Тем не менее, Оценщик не предоставляет гарантии ее полной достоверности. Оценщик не принимает на себя ответственности за описание правового состояния имущества и вопросы, подразумевающие обсуждение юридических аспектов права собственности. Права собственности на рассматриваемое имущество, а также имущественные права предполагаются полностью соответствующими требованиям законодательства, если иное не оговорено специально. Оценщик исходит из того, что существует полное соответствие правового положения собственности требованиям нормативных документов государственного и местного уровня, или такого рода несоответствия указаны, определены и рассмотрены в отчете.</w:t>
      </w:r>
    </w:p>
    <w:p w:rsidR="00904C32" w:rsidRPr="00E03510" w:rsidRDefault="00904C32" w:rsidP="002E3412">
      <w:pPr>
        <w:ind w:firstLine="709"/>
        <w:jc w:val="both"/>
        <w:rPr>
          <w:rFonts w:asciiTheme="majorHAnsi" w:hAnsiTheme="majorHAnsi"/>
          <w:sz w:val="20"/>
          <w:szCs w:val="20"/>
        </w:rPr>
      </w:pPr>
      <w:r w:rsidRPr="00E03510">
        <w:rPr>
          <w:rFonts w:asciiTheme="majorHAnsi" w:hAnsiTheme="majorHAnsi"/>
          <w:sz w:val="20"/>
          <w:szCs w:val="20"/>
        </w:rPr>
        <w:t xml:space="preserve">Оценщик не обязан прилагать к отчету обзорный материал по оцениваемому объекту. Все планы, схемы-чертежи и иные материалы могут быть использованы в отчете исключительно в целях помощи </w:t>
      </w:r>
      <w:r w:rsidRPr="00E03510">
        <w:rPr>
          <w:rFonts w:asciiTheme="majorHAnsi" w:hAnsiTheme="majorHAnsi"/>
          <w:sz w:val="20"/>
          <w:szCs w:val="20"/>
        </w:rPr>
        <w:lastRenderedPageBreak/>
        <w:t>читателю визуально представить себе описываемый  объект. Оценщик для проведения работ использует информацию, предоставленную Заказчиком. Информация, предоставленная заказчиком (в том числе справки, таблицы, бухгалтерские балансы), должна быть подписана уполномоченным на то лицом и заверена в установленном порядке, и в таком случае она считается достоверной, если у оценщика нет оснований считать иначе. Оценщик не проводит точных измерительных работ на местности и не принимает на себя ответственность за таковые. Если не указано иначе, Оценщик исходит из того, что не существует фактов выходов за территорию, нарушения положений зонирования или иных нарушений действующего законодательства, касающегося рассматриваемого объекта оценки. Анализ исходит из того, что на территории объекта (при оценке объектов недвижимости) нет вредоносных почв, ограничивающих наилучшее и оптимальное использование объекта.</w:t>
      </w:r>
    </w:p>
    <w:p w:rsidR="00904C32" w:rsidRPr="00E03510" w:rsidRDefault="00904C32" w:rsidP="002E3412">
      <w:pPr>
        <w:ind w:firstLine="709"/>
        <w:jc w:val="both"/>
        <w:rPr>
          <w:rFonts w:asciiTheme="majorHAnsi" w:hAnsiTheme="majorHAnsi"/>
          <w:sz w:val="20"/>
          <w:szCs w:val="20"/>
        </w:rPr>
      </w:pPr>
      <w:r w:rsidRPr="00E03510">
        <w:rPr>
          <w:rFonts w:asciiTheme="majorHAnsi" w:hAnsiTheme="majorHAnsi"/>
          <w:sz w:val="20"/>
          <w:szCs w:val="20"/>
        </w:rPr>
        <w:t>Оценщик исходит из предположения, что объект оценки, в соответствии со ст. 5 ФЗ № 135 (Федерального закона «Об оценочной деятельности»), является отдельным материальным объектом, в отношении которого законодательством Российской Федерации установлена возможность его участия в гражданском обороте, в том числе по мере его размежевания с регистрацией в регистрирующем органе как самостоятельного.</w:t>
      </w:r>
    </w:p>
    <w:p w:rsidR="00904C32" w:rsidRPr="00E03510" w:rsidRDefault="00904C32" w:rsidP="002E3412">
      <w:pPr>
        <w:ind w:firstLine="709"/>
        <w:jc w:val="both"/>
        <w:rPr>
          <w:rFonts w:asciiTheme="majorHAnsi" w:hAnsiTheme="majorHAnsi"/>
          <w:sz w:val="20"/>
          <w:szCs w:val="20"/>
        </w:rPr>
      </w:pPr>
      <w:r w:rsidRPr="00E03510">
        <w:rPr>
          <w:rFonts w:asciiTheme="majorHAnsi" w:hAnsiTheme="majorHAnsi"/>
          <w:sz w:val="20"/>
          <w:szCs w:val="20"/>
        </w:rPr>
        <w:t>Оценщик или его представитель проводит осмотр объекта оценки в период, возможно близкий к дате оценки.</w:t>
      </w:r>
    </w:p>
    <w:p w:rsidR="00904C32" w:rsidRPr="00E03510" w:rsidRDefault="00904C32" w:rsidP="002E3412">
      <w:pPr>
        <w:ind w:firstLine="709"/>
        <w:jc w:val="both"/>
        <w:rPr>
          <w:rFonts w:asciiTheme="majorHAnsi" w:hAnsiTheme="majorHAnsi"/>
          <w:sz w:val="20"/>
          <w:szCs w:val="20"/>
        </w:rPr>
      </w:pPr>
      <w:r w:rsidRPr="00E03510">
        <w:rPr>
          <w:rFonts w:asciiTheme="majorHAnsi" w:hAnsiTheme="majorHAnsi"/>
          <w:sz w:val="20"/>
          <w:szCs w:val="20"/>
        </w:rPr>
        <w:t>Оценщик не несет ответственности за какие-либо изменения мнений тех или иных участников рынка, а также любой другой информации, которая содержалась в открытом доступе в период проведения оценки и использовалась для проведения расчетов и составления отчета об оценке.</w:t>
      </w:r>
    </w:p>
    <w:p w:rsidR="00904C32" w:rsidRPr="00E03510" w:rsidRDefault="00904C32" w:rsidP="00904C32">
      <w:pPr>
        <w:ind w:firstLine="709"/>
        <w:jc w:val="both"/>
        <w:rPr>
          <w:rFonts w:asciiTheme="majorHAnsi" w:hAnsiTheme="majorHAnsi"/>
          <w:b/>
          <w:sz w:val="20"/>
          <w:szCs w:val="20"/>
        </w:rPr>
      </w:pPr>
      <w:r w:rsidRPr="00E03510">
        <w:rPr>
          <w:rFonts w:asciiTheme="majorHAnsi" w:hAnsiTheme="majorHAnsi"/>
          <w:b/>
          <w:sz w:val="20"/>
          <w:szCs w:val="20"/>
        </w:rPr>
        <w:t>При наличии альтернативных данных или несогласованности поступившей в распоряжение Оценщика информации, расчеты и выводы делаются, исходя из информации и предположений Оценщика.</w:t>
      </w:r>
    </w:p>
    <w:p w:rsidR="00904C32" w:rsidRPr="00E03510" w:rsidRDefault="00904C32" w:rsidP="00904C32">
      <w:pPr>
        <w:ind w:firstLine="709"/>
        <w:jc w:val="both"/>
        <w:rPr>
          <w:rFonts w:asciiTheme="majorHAnsi" w:hAnsiTheme="majorHAnsi"/>
          <w:sz w:val="20"/>
          <w:szCs w:val="20"/>
        </w:rPr>
      </w:pPr>
      <w:r w:rsidRPr="00E03510">
        <w:rPr>
          <w:rFonts w:asciiTheme="majorHAnsi" w:hAnsiTheme="majorHAnsi"/>
          <w:b/>
          <w:sz w:val="20"/>
          <w:szCs w:val="20"/>
        </w:rPr>
        <w:t>Ссылки на использованные источники информации и литературу не заменяют разумного объема разъяснений, которые содержаться в Отчете, и предоставляют пользователю Отчета возможность проверки качества использованных данных и результатов анализа.</w:t>
      </w:r>
      <w:r w:rsidRPr="00E03510">
        <w:rPr>
          <w:rFonts w:asciiTheme="majorHAnsi" w:hAnsiTheme="majorHAnsi"/>
          <w:sz w:val="20"/>
          <w:szCs w:val="20"/>
        </w:rPr>
        <w:t xml:space="preserve"> Сумма денежного выражения ценности объекта оценки, рыночная стоимость, указанная в Отчете об оценке носит рекомендательный характер для целей, указанных в настоящем договоре.</w:t>
      </w:r>
    </w:p>
    <w:p w:rsidR="00904C32" w:rsidRPr="00E03510" w:rsidRDefault="00904C32" w:rsidP="00904C32">
      <w:pPr>
        <w:ind w:firstLine="709"/>
        <w:jc w:val="both"/>
        <w:rPr>
          <w:rFonts w:asciiTheme="majorHAnsi" w:hAnsiTheme="majorHAnsi"/>
          <w:sz w:val="20"/>
          <w:szCs w:val="20"/>
        </w:rPr>
      </w:pPr>
      <w:r w:rsidRPr="00E03510">
        <w:rPr>
          <w:rFonts w:asciiTheme="majorHAnsi" w:hAnsiTheme="majorHAnsi"/>
          <w:sz w:val="20"/>
          <w:szCs w:val="20"/>
        </w:rPr>
        <w:t xml:space="preserve">Заключение о стоимости, содержащееся в Отчете, базируется на данных о сложившейся ситуации на дату оценки либо данных на последнюю отчетную дату или последних данных, представленных в открытой информационной среде, если они соответствуют ситуации, сложившейся на дату оценки и не повлияют на результаты оценки на дату оценки. </w:t>
      </w:r>
    </w:p>
    <w:p w:rsidR="00904C32" w:rsidRPr="00E03510" w:rsidRDefault="00904C32" w:rsidP="00904C32">
      <w:pPr>
        <w:ind w:firstLine="709"/>
        <w:jc w:val="both"/>
        <w:rPr>
          <w:rFonts w:asciiTheme="majorHAnsi" w:hAnsiTheme="majorHAnsi"/>
          <w:sz w:val="20"/>
          <w:szCs w:val="20"/>
        </w:rPr>
      </w:pPr>
      <w:r w:rsidRPr="00E03510">
        <w:rPr>
          <w:rFonts w:asciiTheme="majorHAnsi" w:hAnsiTheme="majorHAnsi"/>
          <w:sz w:val="20"/>
          <w:szCs w:val="20"/>
        </w:rPr>
        <w:t>Вся информация, полученная в ходе личных переговоров с участниками рынка, к которому относится объект оценки, считается достоверной и соответствующей типичным рыночным условиям, если у Оценщика нет оснований считать иначе.</w:t>
      </w:r>
    </w:p>
    <w:p w:rsidR="00904C32" w:rsidRPr="00E03510" w:rsidRDefault="00904C32" w:rsidP="00904C32">
      <w:pPr>
        <w:ind w:firstLine="709"/>
        <w:jc w:val="both"/>
        <w:rPr>
          <w:rFonts w:asciiTheme="majorHAnsi" w:hAnsiTheme="majorHAnsi"/>
          <w:sz w:val="20"/>
          <w:szCs w:val="20"/>
        </w:rPr>
      </w:pPr>
      <w:r w:rsidRPr="00E03510">
        <w:rPr>
          <w:rFonts w:asciiTheme="majorHAnsi" w:hAnsiTheme="majorHAnsi"/>
          <w:sz w:val="20"/>
          <w:szCs w:val="20"/>
        </w:rPr>
        <w:t>Оценщик не несет обязательств по обновлению Отчета или сделанной им оценки с учетом событий и сделок, произошедших после даты оценки.</w:t>
      </w:r>
    </w:p>
    <w:p w:rsidR="00904C32" w:rsidRPr="00E03510" w:rsidRDefault="00904C32" w:rsidP="00904C32">
      <w:pPr>
        <w:ind w:firstLine="709"/>
        <w:jc w:val="both"/>
        <w:rPr>
          <w:rFonts w:asciiTheme="majorHAnsi" w:hAnsiTheme="majorHAnsi"/>
          <w:sz w:val="20"/>
          <w:szCs w:val="20"/>
        </w:rPr>
      </w:pPr>
      <w:r w:rsidRPr="00E03510">
        <w:rPr>
          <w:rFonts w:asciiTheme="majorHAnsi" w:hAnsiTheme="majorHAnsi"/>
          <w:b/>
          <w:sz w:val="20"/>
          <w:szCs w:val="20"/>
        </w:rPr>
        <w:t>Итоговый результат стоимости, полученный в рамках настоящей оценки, характеризуется неизбежной погрешностью, являющейся следствием качества исходных данных и вычисляемых оценщиком параметров, используемых для расчета результата оценки.</w:t>
      </w:r>
      <w:r w:rsidRPr="00E03510">
        <w:rPr>
          <w:rFonts w:asciiTheme="majorHAnsi" w:hAnsiTheme="majorHAnsi"/>
          <w:sz w:val="20"/>
          <w:szCs w:val="20"/>
        </w:rPr>
        <w:t xml:space="preserve"> Оценщик учитывает ответственное отношение собственника и должное управление в отношении оцениваемого объекта оценки или имущественных прав. Информация, предоставленная сторонними специалистами, представляется надежной. Тем не менее, Оценщик не предоставляет гарантии, или иных форм подтверждения ее полной достоверности. Оценщик исходит из того, что все необходимые лицензии, документы на собственность, необходимые решения законодательных и исполнительных органов местного или общероссийского уровня существуют или могут быть получены или обновлены для исполнения любых предполагаемых функций на объекте, для которого производились расчеты.</w:t>
      </w:r>
    </w:p>
    <w:p w:rsidR="00904C32" w:rsidRPr="00E03510" w:rsidRDefault="00904C32" w:rsidP="00904C32">
      <w:pPr>
        <w:ind w:firstLine="709"/>
        <w:jc w:val="both"/>
        <w:rPr>
          <w:rFonts w:asciiTheme="majorHAnsi" w:hAnsiTheme="majorHAnsi"/>
          <w:sz w:val="20"/>
          <w:szCs w:val="20"/>
        </w:rPr>
      </w:pPr>
      <w:r w:rsidRPr="00E03510">
        <w:rPr>
          <w:rFonts w:asciiTheme="majorHAnsi" w:hAnsiTheme="majorHAnsi"/>
          <w:sz w:val="20"/>
          <w:szCs w:val="20"/>
        </w:rPr>
        <w:t>В случае, если представленная Заказчиком внутренняя информация либо сведения, представленные внешними источниками создадут необходимость дополнительных допущений и ограничивающих условий в ходе оценки, Оценщик вправе самостоятельно применить их в Отчете.  Использование Отчета Заказчиком в целях, предусмотренных заданием на оценку предполагают факт согласования дополнительных допущений и ограничивающих условий с целью оценки объекта оценки и составления Отчета об оценки.</w:t>
      </w:r>
    </w:p>
    <w:p w:rsidR="00904C32" w:rsidRPr="00E03510" w:rsidRDefault="00904C32" w:rsidP="00904C32">
      <w:pPr>
        <w:spacing w:before="120" w:after="120"/>
        <w:ind w:firstLine="709"/>
        <w:jc w:val="both"/>
        <w:rPr>
          <w:rFonts w:asciiTheme="majorHAnsi" w:hAnsiTheme="majorHAnsi"/>
          <w:b/>
          <w:sz w:val="20"/>
          <w:szCs w:val="20"/>
        </w:rPr>
      </w:pPr>
      <w:r w:rsidRPr="00E03510">
        <w:rPr>
          <w:rFonts w:asciiTheme="majorHAnsi" w:hAnsiTheme="majorHAnsi"/>
          <w:b/>
          <w:sz w:val="20"/>
          <w:szCs w:val="20"/>
        </w:rPr>
        <w:t>В настоящей оценке используются методы индивидуальной оценки. Суждение о возможных границах интервала, в котором, по мнению Оценщика, может находиться эта стоимость по результатам оценки, не требуется.</w:t>
      </w:r>
    </w:p>
    <w:p w:rsidR="00904C32" w:rsidRPr="00E03510" w:rsidRDefault="00904C32" w:rsidP="00904C32">
      <w:pPr>
        <w:spacing w:before="120" w:after="120"/>
        <w:ind w:firstLine="709"/>
        <w:jc w:val="both"/>
        <w:rPr>
          <w:rFonts w:asciiTheme="majorHAnsi" w:hAnsiTheme="majorHAnsi"/>
          <w:sz w:val="20"/>
          <w:szCs w:val="20"/>
        </w:rPr>
      </w:pPr>
      <w:r w:rsidRPr="00E03510">
        <w:rPr>
          <w:rFonts w:asciiTheme="majorHAnsi" w:hAnsiTheme="majorHAnsi"/>
          <w:b/>
          <w:sz w:val="20"/>
          <w:szCs w:val="20"/>
        </w:rPr>
        <w:t>При проведении оценки возможно установление дополнительных к указанным в задании на оценку допущений, связанных с предполагаемым использованием результатов оценки и спецификой объекта оценки.</w:t>
      </w:r>
    </w:p>
    <w:p w:rsidR="00904C32" w:rsidRPr="00E03510" w:rsidRDefault="00904C32" w:rsidP="0090764B">
      <w:pPr>
        <w:pStyle w:val="af3"/>
        <w:keepNext/>
        <w:keepLines/>
        <w:numPr>
          <w:ilvl w:val="1"/>
          <w:numId w:val="5"/>
        </w:numPr>
        <w:outlineLvl w:val="1"/>
        <w:rPr>
          <w:rFonts w:asciiTheme="majorHAnsi" w:eastAsiaTheme="majorEastAsia" w:hAnsiTheme="majorHAnsi" w:cstheme="majorBidi"/>
          <w:b/>
          <w:bCs/>
          <w:sz w:val="20"/>
          <w:szCs w:val="20"/>
          <w:lang w:val="ru-RU"/>
        </w:rPr>
      </w:pPr>
      <w:bookmarkStart w:id="9" w:name="_Toc451953105"/>
      <w:bookmarkStart w:id="10" w:name="_Toc491763281"/>
      <w:r w:rsidRPr="00E03510">
        <w:rPr>
          <w:rFonts w:asciiTheme="majorHAnsi" w:eastAsiaTheme="majorEastAsia" w:hAnsiTheme="majorHAnsi" w:cstheme="majorBidi"/>
          <w:b/>
          <w:bCs/>
          <w:sz w:val="20"/>
          <w:szCs w:val="20"/>
          <w:lang w:val="ru-RU"/>
        </w:rPr>
        <w:lastRenderedPageBreak/>
        <w:t>Иная информация, предусмотренная федеральными стандартами оценки (в том числе степень детализации работ по осмотру и период проведения осмотра объекта оценки)</w:t>
      </w:r>
      <w:bookmarkEnd w:id="9"/>
      <w:bookmarkEnd w:id="10"/>
    </w:p>
    <w:p w:rsidR="00904C32" w:rsidRPr="00E03510" w:rsidRDefault="00904C32" w:rsidP="00904C32">
      <w:pPr>
        <w:ind w:firstLine="709"/>
        <w:jc w:val="both"/>
        <w:rPr>
          <w:rFonts w:asciiTheme="majorHAnsi" w:hAnsiTheme="majorHAnsi"/>
          <w:sz w:val="20"/>
          <w:szCs w:val="20"/>
        </w:rPr>
      </w:pPr>
      <w:r w:rsidRPr="00E03510">
        <w:rPr>
          <w:rFonts w:asciiTheme="majorHAnsi" w:hAnsiTheme="majorHAnsi"/>
          <w:sz w:val="20"/>
          <w:szCs w:val="20"/>
        </w:rPr>
        <w:t>Осмотр оборудования в полном объеме в период 3-х дней с даты заключения договора на проведения оценки по согласованию с Заказчиком.</w:t>
      </w:r>
    </w:p>
    <w:p w:rsidR="00904C32" w:rsidRPr="00E03510" w:rsidRDefault="00904C32" w:rsidP="00904C32">
      <w:pPr>
        <w:ind w:firstLine="709"/>
        <w:jc w:val="both"/>
        <w:rPr>
          <w:rFonts w:asciiTheme="majorHAnsi" w:hAnsiTheme="majorHAnsi"/>
          <w:sz w:val="20"/>
          <w:szCs w:val="20"/>
        </w:rPr>
      </w:pPr>
      <w:r w:rsidRPr="00E03510">
        <w:rPr>
          <w:rFonts w:asciiTheme="majorHAnsi" w:hAnsiTheme="majorHAnsi"/>
          <w:sz w:val="20"/>
          <w:szCs w:val="20"/>
        </w:rPr>
        <w:t xml:space="preserve">Основание составления отчета и форма отчета: </w:t>
      </w:r>
    </w:p>
    <w:p w:rsidR="00904C32" w:rsidRPr="00E03510" w:rsidRDefault="00904C32" w:rsidP="00904C32">
      <w:pPr>
        <w:ind w:firstLine="709"/>
        <w:jc w:val="both"/>
        <w:rPr>
          <w:rFonts w:asciiTheme="majorHAnsi" w:hAnsiTheme="majorHAnsi"/>
          <w:sz w:val="20"/>
          <w:szCs w:val="20"/>
        </w:rPr>
      </w:pPr>
      <w:r w:rsidRPr="00E03510">
        <w:rPr>
          <w:rFonts w:asciiTheme="majorHAnsi" w:hAnsiTheme="majorHAnsi"/>
          <w:sz w:val="20"/>
          <w:szCs w:val="20"/>
        </w:rPr>
        <w:t xml:space="preserve">Договор № </w:t>
      </w:r>
      <w:r w:rsidR="00B2010D">
        <w:rPr>
          <w:rFonts w:asciiTheme="majorHAnsi" w:hAnsiTheme="majorHAnsi"/>
          <w:sz w:val="20"/>
          <w:szCs w:val="20"/>
        </w:rPr>
        <w:t>18</w:t>
      </w:r>
      <w:r w:rsidRPr="00E03510">
        <w:rPr>
          <w:rFonts w:asciiTheme="majorHAnsi" w:hAnsiTheme="majorHAnsi"/>
          <w:sz w:val="20"/>
          <w:szCs w:val="20"/>
        </w:rPr>
        <w:t>/</w:t>
      </w:r>
      <w:r w:rsidR="00630AF1">
        <w:rPr>
          <w:rFonts w:asciiTheme="majorHAnsi" w:hAnsiTheme="majorHAnsi"/>
          <w:sz w:val="20"/>
          <w:szCs w:val="20"/>
        </w:rPr>
        <w:t>недв</w:t>
      </w:r>
      <w:r w:rsidRPr="00E03510">
        <w:rPr>
          <w:rFonts w:asciiTheme="majorHAnsi" w:hAnsiTheme="majorHAnsi"/>
          <w:sz w:val="20"/>
          <w:szCs w:val="20"/>
        </w:rPr>
        <w:t>-</w:t>
      </w:r>
      <w:r w:rsidR="00630AF1">
        <w:rPr>
          <w:rFonts w:asciiTheme="majorHAnsi" w:hAnsiTheme="majorHAnsi"/>
          <w:sz w:val="20"/>
          <w:szCs w:val="20"/>
        </w:rPr>
        <w:t>08</w:t>
      </w:r>
      <w:r w:rsidRPr="00E03510">
        <w:rPr>
          <w:rFonts w:asciiTheme="majorHAnsi" w:hAnsiTheme="majorHAnsi"/>
          <w:sz w:val="20"/>
          <w:szCs w:val="20"/>
        </w:rPr>
        <w:t>-1</w:t>
      </w:r>
      <w:r w:rsidR="00630AF1">
        <w:rPr>
          <w:rFonts w:asciiTheme="majorHAnsi" w:hAnsiTheme="majorHAnsi"/>
          <w:sz w:val="20"/>
          <w:szCs w:val="20"/>
        </w:rPr>
        <w:t>7</w:t>
      </w:r>
      <w:r w:rsidRPr="00E03510">
        <w:rPr>
          <w:rFonts w:asciiTheme="majorHAnsi" w:hAnsiTheme="majorHAnsi"/>
          <w:sz w:val="20"/>
          <w:szCs w:val="20"/>
        </w:rPr>
        <w:t xml:space="preserve"> от</w:t>
      </w:r>
      <w:r w:rsidR="00B2010D">
        <w:rPr>
          <w:rFonts w:asciiTheme="majorHAnsi" w:hAnsiTheme="majorHAnsi"/>
          <w:sz w:val="20"/>
          <w:szCs w:val="20"/>
        </w:rPr>
        <w:t xml:space="preserve"> 09</w:t>
      </w:r>
      <w:r w:rsidR="00593406" w:rsidRPr="00E03510">
        <w:rPr>
          <w:rFonts w:asciiTheme="majorHAnsi" w:hAnsiTheme="majorHAnsi"/>
          <w:sz w:val="20"/>
          <w:szCs w:val="20"/>
        </w:rPr>
        <w:t xml:space="preserve"> </w:t>
      </w:r>
      <w:r w:rsidR="00630AF1">
        <w:rPr>
          <w:rFonts w:asciiTheme="majorHAnsi" w:hAnsiTheme="majorHAnsi"/>
          <w:sz w:val="20"/>
          <w:szCs w:val="20"/>
        </w:rPr>
        <w:t>августа</w:t>
      </w:r>
      <w:r w:rsidRPr="00E03510">
        <w:rPr>
          <w:rFonts w:asciiTheme="majorHAnsi" w:hAnsiTheme="majorHAnsi"/>
          <w:sz w:val="20"/>
          <w:szCs w:val="20"/>
        </w:rPr>
        <w:t xml:space="preserve"> 201</w:t>
      </w:r>
      <w:r w:rsidR="00630AF1">
        <w:rPr>
          <w:rFonts w:asciiTheme="majorHAnsi" w:hAnsiTheme="majorHAnsi"/>
          <w:sz w:val="20"/>
          <w:szCs w:val="20"/>
        </w:rPr>
        <w:t>7</w:t>
      </w:r>
      <w:r w:rsidRPr="00E03510">
        <w:rPr>
          <w:rFonts w:asciiTheme="majorHAnsi" w:hAnsiTheme="majorHAnsi"/>
          <w:sz w:val="20"/>
          <w:szCs w:val="20"/>
        </w:rPr>
        <w:t xml:space="preserve"> года.</w:t>
      </w:r>
    </w:p>
    <w:p w:rsidR="004558E8" w:rsidRDefault="00904C32" w:rsidP="00E03510">
      <w:pPr>
        <w:ind w:firstLine="709"/>
        <w:jc w:val="both"/>
        <w:rPr>
          <w:rFonts w:asciiTheme="majorHAnsi" w:hAnsiTheme="majorHAnsi"/>
          <w:sz w:val="20"/>
          <w:szCs w:val="20"/>
        </w:rPr>
      </w:pPr>
      <w:r w:rsidRPr="00E03510">
        <w:rPr>
          <w:rFonts w:asciiTheme="majorHAnsi" w:hAnsiTheme="majorHAnsi"/>
          <w:sz w:val="20"/>
          <w:szCs w:val="20"/>
        </w:rPr>
        <w:t>Форма отчета – письменная, электронная.</w:t>
      </w:r>
    </w:p>
    <w:p w:rsidR="008B55FA" w:rsidRDefault="008B55FA" w:rsidP="00E03510">
      <w:pPr>
        <w:ind w:firstLine="709"/>
        <w:jc w:val="both"/>
        <w:rPr>
          <w:rFonts w:asciiTheme="majorHAnsi" w:hAnsiTheme="majorHAnsi"/>
          <w:sz w:val="20"/>
          <w:szCs w:val="20"/>
        </w:rPr>
      </w:pPr>
    </w:p>
    <w:p w:rsidR="008B55FA" w:rsidRDefault="008B55FA" w:rsidP="00E03510">
      <w:pPr>
        <w:ind w:firstLine="709"/>
        <w:jc w:val="both"/>
        <w:rPr>
          <w:rFonts w:asciiTheme="majorHAnsi" w:hAnsiTheme="majorHAnsi"/>
          <w:sz w:val="20"/>
          <w:szCs w:val="20"/>
        </w:rPr>
      </w:pPr>
    </w:p>
    <w:p w:rsidR="008B55FA" w:rsidRDefault="008B55FA" w:rsidP="00E03510">
      <w:pPr>
        <w:ind w:firstLine="709"/>
        <w:jc w:val="both"/>
        <w:rPr>
          <w:rFonts w:asciiTheme="majorHAnsi" w:hAnsiTheme="majorHAnsi"/>
          <w:sz w:val="20"/>
          <w:szCs w:val="20"/>
        </w:rPr>
      </w:pPr>
    </w:p>
    <w:p w:rsidR="008B55FA" w:rsidRDefault="008B55FA" w:rsidP="00E03510">
      <w:pPr>
        <w:ind w:firstLine="709"/>
        <w:jc w:val="both"/>
        <w:rPr>
          <w:rFonts w:asciiTheme="majorHAnsi" w:hAnsiTheme="majorHAnsi"/>
          <w:sz w:val="20"/>
          <w:szCs w:val="20"/>
        </w:rPr>
      </w:pPr>
    </w:p>
    <w:p w:rsidR="008B55FA" w:rsidRDefault="008B55FA" w:rsidP="00E03510">
      <w:pPr>
        <w:ind w:firstLine="709"/>
        <w:jc w:val="both"/>
        <w:rPr>
          <w:rFonts w:asciiTheme="majorHAnsi" w:hAnsiTheme="majorHAnsi"/>
          <w:sz w:val="20"/>
          <w:szCs w:val="20"/>
        </w:rPr>
      </w:pPr>
    </w:p>
    <w:p w:rsidR="008B55FA" w:rsidRDefault="008B55FA" w:rsidP="00E03510">
      <w:pPr>
        <w:ind w:firstLine="709"/>
        <w:jc w:val="both"/>
        <w:rPr>
          <w:rFonts w:asciiTheme="majorHAnsi" w:hAnsiTheme="majorHAnsi"/>
          <w:sz w:val="20"/>
          <w:szCs w:val="20"/>
        </w:rPr>
      </w:pPr>
    </w:p>
    <w:p w:rsidR="008B55FA" w:rsidRDefault="008B55FA" w:rsidP="00E03510">
      <w:pPr>
        <w:ind w:firstLine="709"/>
        <w:jc w:val="both"/>
        <w:rPr>
          <w:rFonts w:asciiTheme="majorHAnsi" w:hAnsiTheme="majorHAnsi"/>
          <w:sz w:val="20"/>
          <w:szCs w:val="20"/>
        </w:rPr>
      </w:pPr>
    </w:p>
    <w:p w:rsidR="008B55FA" w:rsidRDefault="008B55FA" w:rsidP="00E03510">
      <w:pPr>
        <w:ind w:firstLine="709"/>
        <w:jc w:val="both"/>
        <w:rPr>
          <w:rFonts w:asciiTheme="majorHAnsi" w:hAnsiTheme="majorHAnsi"/>
          <w:sz w:val="20"/>
          <w:szCs w:val="20"/>
        </w:rPr>
      </w:pPr>
    </w:p>
    <w:p w:rsidR="008B55FA" w:rsidRDefault="008B55FA" w:rsidP="00E03510">
      <w:pPr>
        <w:ind w:firstLine="709"/>
        <w:jc w:val="both"/>
        <w:rPr>
          <w:rFonts w:asciiTheme="majorHAnsi" w:hAnsiTheme="majorHAnsi"/>
          <w:sz w:val="20"/>
          <w:szCs w:val="20"/>
        </w:rPr>
      </w:pPr>
    </w:p>
    <w:p w:rsidR="008B55FA" w:rsidRDefault="008B55FA" w:rsidP="00E03510">
      <w:pPr>
        <w:ind w:firstLine="709"/>
        <w:jc w:val="both"/>
        <w:rPr>
          <w:rFonts w:asciiTheme="majorHAnsi" w:hAnsiTheme="majorHAnsi"/>
          <w:sz w:val="20"/>
          <w:szCs w:val="20"/>
        </w:rPr>
      </w:pPr>
    </w:p>
    <w:p w:rsidR="008B55FA" w:rsidRDefault="008B55FA" w:rsidP="00E03510">
      <w:pPr>
        <w:ind w:firstLine="709"/>
        <w:jc w:val="both"/>
        <w:rPr>
          <w:rFonts w:asciiTheme="majorHAnsi" w:hAnsiTheme="majorHAnsi"/>
          <w:sz w:val="20"/>
          <w:szCs w:val="20"/>
        </w:rPr>
      </w:pPr>
    </w:p>
    <w:p w:rsidR="008B55FA" w:rsidRDefault="008B55FA" w:rsidP="00E03510">
      <w:pPr>
        <w:ind w:firstLine="709"/>
        <w:jc w:val="both"/>
        <w:rPr>
          <w:rFonts w:asciiTheme="majorHAnsi" w:hAnsiTheme="majorHAnsi"/>
          <w:sz w:val="20"/>
          <w:szCs w:val="20"/>
        </w:rPr>
      </w:pPr>
    </w:p>
    <w:p w:rsidR="008B55FA" w:rsidRDefault="008B55FA" w:rsidP="00E03510">
      <w:pPr>
        <w:ind w:firstLine="709"/>
        <w:jc w:val="both"/>
        <w:rPr>
          <w:rFonts w:asciiTheme="majorHAnsi" w:hAnsiTheme="majorHAnsi"/>
          <w:sz w:val="20"/>
          <w:szCs w:val="20"/>
        </w:rPr>
      </w:pPr>
    </w:p>
    <w:p w:rsidR="008B55FA" w:rsidRDefault="008B55FA" w:rsidP="00E03510">
      <w:pPr>
        <w:ind w:firstLine="709"/>
        <w:jc w:val="both"/>
        <w:rPr>
          <w:rFonts w:asciiTheme="majorHAnsi" w:hAnsiTheme="majorHAnsi"/>
          <w:sz w:val="20"/>
          <w:szCs w:val="20"/>
        </w:rPr>
      </w:pPr>
    </w:p>
    <w:p w:rsidR="008B55FA" w:rsidRDefault="008B55FA"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0353DC" w:rsidRDefault="000353DC" w:rsidP="00E03510">
      <w:pPr>
        <w:ind w:firstLine="709"/>
        <w:jc w:val="both"/>
        <w:rPr>
          <w:rFonts w:asciiTheme="majorHAnsi" w:hAnsiTheme="majorHAnsi"/>
          <w:sz w:val="20"/>
          <w:szCs w:val="20"/>
        </w:rPr>
      </w:pPr>
    </w:p>
    <w:p w:rsidR="008B55FA" w:rsidRDefault="008B55FA" w:rsidP="00E03510">
      <w:pPr>
        <w:ind w:firstLine="709"/>
        <w:jc w:val="both"/>
        <w:rPr>
          <w:rFonts w:asciiTheme="majorHAnsi" w:hAnsiTheme="majorHAnsi"/>
          <w:sz w:val="20"/>
          <w:szCs w:val="20"/>
        </w:rPr>
      </w:pPr>
    </w:p>
    <w:p w:rsidR="008B55FA" w:rsidRPr="00E03510" w:rsidRDefault="008B55FA" w:rsidP="003A1B07">
      <w:pPr>
        <w:jc w:val="both"/>
        <w:rPr>
          <w:rFonts w:asciiTheme="majorHAnsi" w:hAnsiTheme="majorHAnsi"/>
          <w:sz w:val="20"/>
          <w:szCs w:val="20"/>
        </w:rPr>
      </w:pPr>
    </w:p>
    <w:p w:rsidR="00904A6A" w:rsidRPr="00904A6A" w:rsidRDefault="00991118" w:rsidP="00904A6A">
      <w:pPr>
        <w:spacing w:before="100" w:beforeAutospacing="1" w:after="100" w:afterAutospacing="1"/>
        <w:jc w:val="center"/>
        <w:rPr>
          <w:rFonts w:eastAsiaTheme="majorEastAsia" w:cstheme="majorBidi"/>
          <w:b/>
          <w:bCs/>
          <w:sz w:val="28"/>
          <w:szCs w:val="28"/>
        </w:rPr>
      </w:pPr>
      <w:bookmarkStart w:id="11" w:name="_Toc428454851"/>
      <w:r>
        <w:rPr>
          <w:rFonts w:eastAsiaTheme="majorEastAsia" w:cstheme="majorBidi"/>
          <w:b/>
          <w:bCs/>
          <w:sz w:val="28"/>
          <w:szCs w:val="28"/>
        </w:rPr>
        <w:lastRenderedPageBreak/>
        <w:t>2</w:t>
      </w:r>
      <w:r w:rsidR="003262B9">
        <w:rPr>
          <w:rFonts w:eastAsiaTheme="majorEastAsia" w:cstheme="majorBidi"/>
          <w:b/>
          <w:bCs/>
          <w:sz w:val="28"/>
          <w:szCs w:val="28"/>
        </w:rPr>
        <w:t xml:space="preserve">. </w:t>
      </w:r>
      <w:bookmarkStart w:id="12" w:name="_Toc451953106"/>
      <w:r w:rsidR="00904A6A" w:rsidRPr="00904A6A">
        <w:rPr>
          <w:rFonts w:eastAsiaTheme="majorEastAsia" w:cstheme="majorBidi"/>
          <w:b/>
          <w:bCs/>
          <w:sz w:val="28"/>
          <w:szCs w:val="28"/>
        </w:rPr>
        <w:t>Применяемые стандарты оценки</w:t>
      </w:r>
      <w:bookmarkEnd w:id="12"/>
    </w:p>
    <w:p w:rsidR="00904A6A" w:rsidRPr="00E03510" w:rsidRDefault="00904A6A" w:rsidP="00904A6A">
      <w:pPr>
        <w:ind w:firstLine="709"/>
        <w:jc w:val="both"/>
        <w:rPr>
          <w:rFonts w:asciiTheme="majorHAnsi" w:hAnsiTheme="majorHAnsi"/>
          <w:sz w:val="20"/>
          <w:szCs w:val="20"/>
        </w:rPr>
      </w:pPr>
      <w:r w:rsidRPr="00E03510">
        <w:rPr>
          <w:rFonts w:asciiTheme="majorHAnsi" w:hAnsiTheme="majorHAnsi"/>
          <w:sz w:val="20"/>
          <w:szCs w:val="20"/>
        </w:rPr>
        <w:t>Для определения стоимости объекта оценки использованы (с учетом обоснования использования) -</w:t>
      </w:r>
    </w:p>
    <w:p w:rsidR="00904A6A" w:rsidRPr="00E03510" w:rsidRDefault="00904A6A" w:rsidP="00904A6A">
      <w:pPr>
        <w:ind w:firstLine="709"/>
        <w:jc w:val="both"/>
        <w:rPr>
          <w:rFonts w:asciiTheme="majorHAnsi" w:hAnsiTheme="majorHAnsi"/>
          <w:sz w:val="20"/>
          <w:szCs w:val="20"/>
        </w:rPr>
      </w:pPr>
      <w:r w:rsidRPr="00E03510">
        <w:rPr>
          <w:rFonts w:asciiTheme="majorHAnsi" w:hAnsiTheme="majorHAnsi"/>
          <w:sz w:val="20"/>
          <w:szCs w:val="20"/>
        </w:rPr>
        <w:t>Федеральный стандарт оценки «Общие понятия оценки, подходы и требования к проведению оценки (ФСО №1)», утвержден Приказом Минэкономразвития России № 297 от 20 мая 2015 г.;</w:t>
      </w:r>
    </w:p>
    <w:p w:rsidR="00904A6A" w:rsidRPr="00E03510" w:rsidRDefault="00904A6A" w:rsidP="00904A6A">
      <w:pPr>
        <w:ind w:firstLine="709"/>
        <w:jc w:val="both"/>
        <w:rPr>
          <w:rFonts w:asciiTheme="majorHAnsi" w:hAnsiTheme="majorHAnsi"/>
          <w:sz w:val="20"/>
          <w:szCs w:val="20"/>
        </w:rPr>
      </w:pPr>
      <w:r w:rsidRPr="00E03510">
        <w:rPr>
          <w:rFonts w:asciiTheme="majorHAnsi" w:hAnsiTheme="majorHAnsi"/>
          <w:sz w:val="20"/>
          <w:szCs w:val="20"/>
        </w:rPr>
        <w:t>Федеральный стандарт оценки «Цель оценки и виды стоимости (ФСО №2)», утвержден Приказом Минэкономразвития России № 298 от 20 мая 2015 г.;</w:t>
      </w:r>
    </w:p>
    <w:p w:rsidR="00904A6A" w:rsidRPr="00E03510" w:rsidRDefault="00904A6A" w:rsidP="00904A6A">
      <w:pPr>
        <w:ind w:firstLine="709"/>
        <w:jc w:val="both"/>
        <w:rPr>
          <w:rFonts w:asciiTheme="majorHAnsi" w:hAnsiTheme="majorHAnsi"/>
          <w:sz w:val="20"/>
          <w:szCs w:val="20"/>
        </w:rPr>
      </w:pPr>
      <w:r w:rsidRPr="00E03510">
        <w:rPr>
          <w:rFonts w:asciiTheme="majorHAnsi" w:hAnsiTheme="majorHAnsi"/>
          <w:sz w:val="20"/>
          <w:szCs w:val="20"/>
        </w:rPr>
        <w:t>Федеральный стандарт оценки «Требования к отчету об оценке (ФСО №3)», утвержден Приказом Минэкономразвития России № 299 от 20 мая 2015 г.;</w:t>
      </w:r>
    </w:p>
    <w:p w:rsidR="008B55FA" w:rsidRPr="008B55FA" w:rsidRDefault="008B55FA" w:rsidP="008B55FA">
      <w:pPr>
        <w:ind w:firstLine="709"/>
        <w:jc w:val="both"/>
        <w:rPr>
          <w:rFonts w:asciiTheme="majorHAnsi" w:eastAsia="Calibri" w:hAnsiTheme="majorHAnsi"/>
          <w:b/>
          <w:bCs/>
          <w:sz w:val="20"/>
          <w:szCs w:val="20"/>
        </w:rPr>
      </w:pPr>
      <w:r w:rsidRPr="008B55FA">
        <w:rPr>
          <w:rFonts w:asciiTheme="majorHAnsi" w:eastAsia="Calibri" w:hAnsiTheme="majorHAnsi"/>
          <w:b/>
          <w:bCs/>
          <w:sz w:val="20"/>
          <w:szCs w:val="20"/>
        </w:rPr>
        <w:t xml:space="preserve">ФЕДЕРАЛЬНЫЙ СТАНДАРТ ОЦЕНКИ Оценка недвижимости (ФСО N 7) </w:t>
      </w:r>
      <w:r w:rsidRPr="008B55FA">
        <w:rPr>
          <w:rFonts w:asciiTheme="majorHAnsi" w:eastAsia="Calibri" w:hAnsiTheme="majorHAnsi"/>
          <w:bCs/>
          <w:sz w:val="20"/>
          <w:szCs w:val="20"/>
        </w:rPr>
        <w:t>Утвержден Приказом Министерства экономического развития и торговли Российской Федерации (Минэкономразвития России) от 25 сентября 2014 г. N  611.</w:t>
      </w:r>
    </w:p>
    <w:p w:rsidR="00904A6A" w:rsidRPr="00E03510" w:rsidRDefault="00904A6A" w:rsidP="00904A6A">
      <w:pPr>
        <w:ind w:firstLine="709"/>
        <w:jc w:val="both"/>
        <w:rPr>
          <w:rFonts w:asciiTheme="majorHAnsi" w:eastAsia="Calibri" w:hAnsiTheme="majorHAnsi"/>
          <w:sz w:val="20"/>
          <w:szCs w:val="20"/>
        </w:rPr>
      </w:pPr>
      <w:r w:rsidRPr="00E03510">
        <w:rPr>
          <w:rFonts w:asciiTheme="majorHAnsi" w:eastAsia="Calibri" w:hAnsiTheme="majorHAnsi"/>
          <w:sz w:val="20"/>
          <w:szCs w:val="20"/>
        </w:rPr>
        <w:t xml:space="preserve">Цель оценки и виды стоимости установлены федеральным стандартом (ФСО № 2). Федеральный стандарт (ФСО № 1) определяет общие понятия оценки, подходы к оценке и требования к проведению оценки, в том числе использования подходов к оценке соответствующего вида стоимости объекта оценки. Федеральным стандартом (ФСО № 3) предусмотрены общие требования к Отчету об оценке. Федеральный стандарт оценки (ФСО № 10) развивает, дополняет и конкретизирует требования и процедуры, установленные </w:t>
      </w:r>
      <w:hyperlink r:id="rId12" w:history="1">
        <w:r w:rsidRPr="00E03510">
          <w:rPr>
            <w:rFonts w:asciiTheme="majorHAnsi" w:eastAsia="Calibri" w:hAnsiTheme="majorHAnsi"/>
            <w:color w:val="0000FF" w:themeColor="hyperlink"/>
            <w:sz w:val="20"/>
            <w:szCs w:val="20"/>
            <w:u w:val="single"/>
          </w:rPr>
          <w:t>ФСО № 1</w:t>
        </w:r>
      </w:hyperlink>
      <w:r w:rsidRPr="00E03510">
        <w:rPr>
          <w:rFonts w:asciiTheme="majorHAnsi" w:eastAsia="Calibri" w:hAnsiTheme="majorHAnsi"/>
          <w:sz w:val="20"/>
          <w:szCs w:val="20"/>
        </w:rPr>
        <w:t xml:space="preserve">, </w:t>
      </w:r>
      <w:hyperlink r:id="rId13" w:history="1">
        <w:r w:rsidRPr="00E03510">
          <w:rPr>
            <w:rFonts w:asciiTheme="majorHAnsi" w:eastAsia="Calibri" w:hAnsiTheme="majorHAnsi"/>
            <w:color w:val="0000FF" w:themeColor="hyperlink"/>
            <w:sz w:val="20"/>
            <w:szCs w:val="20"/>
            <w:u w:val="single"/>
          </w:rPr>
          <w:t>ФСО № 2</w:t>
        </w:r>
      </w:hyperlink>
      <w:r w:rsidRPr="00E03510">
        <w:rPr>
          <w:rFonts w:asciiTheme="majorHAnsi" w:eastAsia="Calibri" w:hAnsiTheme="majorHAnsi"/>
          <w:sz w:val="20"/>
          <w:szCs w:val="20"/>
        </w:rPr>
        <w:t xml:space="preserve">, </w:t>
      </w:r>
      <w:hyperlink r:id="rId14" w:history="1">
        <w:r w:rsidRPr="00E03510">
          <w:rPr>
            <w:rFonts w:asciiTheme="majorHAnsi" w:eastAsia="Calibri" w:hAnsiTheme="majorHAnsi"/>
            <w:color w:val="0000FF" w:themeColor="hyperlink"/>
            <w:sz w:val="20"/>
            <w:szCs w:val="20"/>
            <w:u w:val="single"/>
          </w:rPr>
          <w:t>ФСО № 3</w:t>
        </w:r>
      </w:hyperlink>
      <w:r w:rsidRPr="00E03510">
        <w:rPr>
          <w:rFonts w:asciiTheme="majorHAnsi" w:eastAsia="Calibri" w:hAnsiTheme="majorHAnsi"/>
          <w:sz w:val="20"/>
          <w:szCs w:val="20"/>
        </w:rPr>
        <w:t xml:space="preserve">, и является обязательным к применению при оценке недвижимости. В случае расхождений между требованиями ФСО № </w:t>
      </w:r>
      <w:r w:rsidR="008B55FA">
        <w:rPr>
          <w:rFonts w:asciiTheme="majorHAnsi" w:eastAsia="Calibri" w:hAnsiTheme="majorHAnsi"/>
          <w:sz w:val="20"/>
          <w:szCs w:val="20"/>
        </w:rPr>
        <w:t xml:space="preserve">7 </w:t>
      </w:r>
      <w:r w:rsidRPr="00E03510">
        <w:rPr>
          <w:rFonts w:asciiTheme="majorHAnsi" w:eastAsia="Calibri" w:hAnsiTheme="majorHAnsi"/>
          <w:sz w:val="20"/>
          <w:szCs w:val="20"/>
        </w:rPr>
        <w:t xml:space="preserve">с другими ФСО приоритет имеет ФСО № </w:t>
      </w:r>
      <w:r w:rsidR="008B55FA">
        <w:rPr>
          <w:rFonts w:asciiTheme="majorHAnsi" w:eastAsia="Calibri" w:hAnsiTheme="majorHAnsi"/>
          <w:sz w:val="20"/>
          <w:szCs w:val="20"/>
        </w:rPr>
        <w:t>7</w:t>
      </w:r>
      <w:r w:rsidRPr="00E03510">
        <w:rPr>
          <w:rFonts w:asciiTheme="majorHAnsi" w:eastAsia="Calibri" w:hAnsiTheme="majorHAnsi"/>
          <w:sz w:val="20"/>
          <w:szCs w:val="20"/>
        </w:rPr>
        <w:t>.</w:t>
      </w:r>
    </w:p>
    <w:p w:rsidR="00904A6A" w:rsidRPr="00E03510" w:rsidRDefault="00904A6A" w:rsidP="00904A6A">
      <w:pPr>
        <w:ind w:firstLine="709"/>
        <w:jc w:val="both"/>
        <w:rPr>
          <w:rFonts w:asciiTheme="majorHAnsi" w:eastAsia="Calibri" w:hAnsiTheme="majorHAnsi"/>
          <w:sz w:val="20"/>
          <w:szCs w:val="20"/>
        </w:rPr>
      </w:pPr>
      <w:r w:rsidRPr="00E03510">
        <w:rPr>
          <w:rFonts w:asciiTheme="majorHAnsi" w:eastAsia="Calibri" w:hAnsiTheme="majorHAnsi"/>
          <w:sz w:val="20"/>
          <w:szCs w:val="20"/>
        </w:rPr>
        <w:t>Федеральные Стандарты оценки являются обязательными к применению субъектами оценочной деятельности при осуществлении оценочной деятельности.</w:t>
      </w:r>
    </w:p>
    <w:p w:rsidR="00904A6A" w:rsidRPr="00E03510" w:rsidRDefault="00904A6A" w:rsidP="00904A6A">
      <w:pPr>
        <w:ind w:firstLine="709"/>
        <w:jc w:val="both"/>
        <w:rPr>
          <w:rFonts w:asciiTheme="majorHAnsi" w:eastAsia="Calibri" w:hAnsiTheme="majorHAnsi"/>
          <w:sz w:val="20"/>
          <w:szCs w:val="20"/>
          <w:shd w:val="clear" w:color="auto" w:fill="F5F5F5"/>
        </w:rPr>
      </w:pPr>
      <w:r w:rsidRPr="00E03510">
        <w:rPr>
          <w:rFonts w:asciiTheme="majorHAnsi" w:eastAsia="Calibri" w:hAnsiTheme="majorHAnsi"/>
          <w:b/>
          <w:bCs/>
          <w:sz w:val="20"/>
          <w:szCs w:val="20"/>
        </w:rPr>
        <w:t xml:space="preserve">СТАНДАРТЫ И ПРАВИЛА ОЦЕНОЧНОЙ ДЕЯТЕЛЬНОСТИ  Ассоциации  "Межрегиональный союз оценщиков", </w:t>
      </w:r>
      <w:r w:rsidRPr="00E03510">
        <w:rPr>
          <w:rFonts w:asciiTheme="majorHAnsi" w:eastAsia="Calibri" w:hAnsiTheme="majorHAnsi"/>
          <w:bCs/>
          <w:sz w:val="20"/>
          <w:szCs w:val="20"/>
          <w:shd w:val="clear" w:color="auto" w:fill="F5F5F5"/>
        </w:rPr>
        <w:t xml:space="preserve">Утверждены </w:t>
      </w:r>
      <w:r w:rsidRPr="00E03510">
        <w:rPr>
          <w:rFonts w:asciiTheme="majorHAnsi" w:eastAsia="Calibri" w:hAnsiTheme="majorHAnsi"/>
          <w:sz w:val="20"/>
          <w:szCs w:val="20"/>
          <w:shd w:val="clear" w:color="auto" w:fill="F5F5F5"/>
        </w:rPr>
        <w:t>Наблюдательным советом  НП «МСО» Протокол № 15 от 07.06.2012</w:t>
      </w:r>
    </w:p>
    <w:p w:rsidR="00904A6A" w:rsidRPr="00E03510" w:rsidRDefault="00904A6A" w:rsidP="00904A6A">
      <w:pPr>
        <w:ind w:firstLine="709"/>
        <w:jc w:val="both"/>
        <w:rPr>
          <w:rFonts w:asciiTheme="majorHAnsi" w:hAnsiTheme="majorHAnsi"/>
          <w:sz w:val="20"/>
          <w:szCs w:val="20"/>
        </w:rPr>
      </w:pPr>
      <w:r w:rsidRPr="00E03510">
        <w:rPr>
          <w:rFonts w:asciiTheme="majorHAnsi" w:eastAsia="Calibri" w:hAnsiTheme="majorHAnsi"/>
          <w:sz w:val="20"/>
          <w:szCs w:val="20"/>
          <w:shd w:val="clear" w:color="auto" w:fill="F5F5F5"/>
        </w:rPr>
        <w:t> </w:t>
      </w:r>
      <w:r w:rsidRPr="00E03510">
        <w:rPr>
          <w:rFonts w:asciiTheme="majorHAnsi" w:eastAsia="Arial" w:hAnsiTheme="majorHAnsi"/>
          <w:sz w:val="20"/>
          <w:szCs w:val="20"/>
        </w:rPr>
        <w:t xml:space="preserve">1.      </w:t>
      </w:r>
      <w:r w:rsidRPr="00E03510">
        <w:rPr>
          <w:rFonts w:asciiTheme="majorHAnsi" w:hAnsiTheme="majorHAnsi"/>
          <w:sz w:val="20"/>
          <w:szCs w:val="20"/>
        </w:rPr>
        <w:t>Стандарты и правила оценочной деятельности (далее по тексту – Стандарты и Правила) Некоммерческого партнерства «Межрегиональный союз оценщиков» (далее по тексту – Партнерство)  разработаны и введены в действие в соответствии с Федеральным законом от 29 июля 1998г. № 135-ФЗ «Об оценочной деятельности в Российской Федерации», Федеральным Законом от 01 декабря 2007г. № 315-ФЗ «О саморегулируемых организациях», иными нормативными актами Российской Федерации и Уставом Партнерства.</w:t>
      </w:r>
    </w:p>
    <w:p w:rsidR="00904A6A" w:rsidRPr="00E03510" w:rsidRDefault="00904A6A" w:rsidP="00904A6A">
      <w:pPr>
        <w:ind w:firstLine="709"/>
        <w:jc w:val="both"/>
        <w:rPr>
          <w:rFonts w:asciiTheme="majorHAnsi" w:hAnsiTheme="majorHAnsi"/>
          <w:sz w:val="20"/>
          <w:szCs w:val="20"/>
        </w:rPr>
      </w:pPr>
      <w:r w:rsidRPr="00E03510">
        <w:rPr>
          <w:rFonts w:asciiTheme="majorHAnsi" w:eastAsia="Arial" w:hAnsiTheme="majorHAnsi"/>
          <w:sz w:val="20"/>
          <w:szCs w:val="20"/>
        </w:rPr>
        <w:t xml:space="preserve">2.      </w:t>
      </w:r>
      <w:r w:rsidRPr="00E03510">
        <w:rPr>
          <w:rFonts w:asciiTheme="majorHAnsi" w:hAnsiTheme="majorHAnsi"/>
          <w:sz w:val="20"/>
          <w:szCs w:val="20"/>
        </w:rPr>
        <w:t>Стандарты и Правила являются обязательными для применения субъектами оценочной деятельности - членами Партнерства.</w:t>
      </w:r>
    </w:p>
    <w:p w:rsidR="00904A6A" w:rsidRPr="00E03510" w:rsidRDefault="00904A6A" w:rsidP="00904A6A">
      <w:pPr>
        <w:ind w:firstLine="709"/>
        <w:jc w:val="both"/>
        <w:rPr>
          <w:rFonts w:asciiTheme="majorHAnsi" w:hAnsiTheme="majorHAnsi"/>
          <w:sz w:val="20"/>
          <w:szCs w:val="20"/>
        </w:rPr>
      </w:pPr>
      <w:r w:rsidRPr="00E03510">
        <w:rPr>
          <w:rFonts w:asciiTheme="majorHAnsi" w:eastAsia="Arial" w:hAnsiTheme="majorHAnsi"/>
          <w:sz w:val="20"/>
          <w:szCs w:val="20"/>
        </w:rPr>
        <w:t xml:space="preserve">3.      </w:t>
      </w:r>
      <w:r w:rsidRPr="00E03510">
        <w:rPr>
          <w:rFonts w:asciiTheme="majorHAnsi" w:hAnsiTheme="majorHAnsi"/>
          <w:sz w:val="20"/>
          <w:szCs w:val="20"/>
        </w:rPr>
        <w:t>Стандарты и Правила определяют основные принципы организации оценочной деятельности его членов, устанавливают требования к порядку проведения оценки и осуществления оценочной деятельности.</w:t>
      </w:r>
    </w:p>
    <w:p w:rsidR="00904A6A" w:rsidRPr="00E03510" w:rsidRDefault="00904A6A" w:rsidP="00904A6A">
      <w:pPr>
        <w:ind w:firstLine="709"/>
        <w:jc w:val="both"/>
        <w:rPr>
          <w:rFonts w:asciiTheme="majorHAnsi" w:hAnsiTheme="majorHAnsi"/>
          <w:sz w:val="20"/>
          <w:szCs w:val="20"/>
        </w:rPr>
      </w:pPr>
      <w:r w:rsidRPr="00E03510">
        <w:rPr>
          <w:rFonts w:asciiTheme="majorHAnsi" w:eastAsia="Arial" w:hAnsiTheme="majorHAnsi"/>
          <w:sz w:val="20"/>
          <w:szCs w:val="20"/>
        </w:rPr>
        <w:t xml:space="preserve">4.      </w:t>
      </w:r>
      <w:r w:rsidRPr="00E03510">
        <w:rPr>
          <w:rFonts w:asciiTheme="majorHAnsi" w:hAnsiTheme="majorHAnsi"/>
          <w:sz w:val="20"/>
          <w:szCs w:val="20"/>
        </w:rPr>
        <w:t>Стандарты и правила оценочной деятельности Партнерства включают следующие уровни:</w:t>
      </w:r>
    </w:p>
    <w:p w:rsidR="00904A6A" w:rsidRPr="00E03510" w:rsidRDefault="00904A6A" w:rsidP="00904A6A">
      <w:pPr>
        <w:ind w:firstLine="709"/>
        <w:jc w:val="both"/>
        <w:rPr>
          <w:rFonts w:asciiTheme="majorHAnsi" w:hAnsiTheme="majorHAnsi"/>
          <w:sz w:val="20"/>
          <w:szCs w:val="20"/>
        </w:rPr>
      </w:pPr>
      <w:r w:rsidRPr="00E03510">
        <w:rPr>
          <w:rFonts w:asciiTheme="majorHAnsi" w:eastAsia="Arial" w:hAnsiTheme="majorHAnsi"/>
          <w:sz w:val="20"/>
          <w:szCs w:val="20"/>
        </w:rPr>
        <w:t xml:space="preserve">4.1.   </w:t>
      </w:r>
      <w:r w:rsidRPr="00E03510">
        <w:rPr>
          <w:rFonts w:asciiTheme="majorHAnsi" w:hAnsiTheme="majorHAnsi"/>
          <w:sz w:val="20"/>
          <w:szCs w:val="20"/>
        </w:rPr>
        <w:t>Члены Партнерства при осуществлении оценочной деятельности руководствуются федеральными стандартами оценки и иными нормами, утверждаемыми федеральным органом исполнительной власти, уполномоченным Правительством Российской Федерации на осуществление функции по нормативно-правовому регулированию оценочной деятельности. По мере разработки, утверждения и введения в действие в установленном порядке других федеральных стандартов оценки по отдельным направлениям оценочной деятельности (оценка бизнеса, оценка недвижимого имущества, оценка интеллектуальной собственности, оценка машин и оборудования и др.), а также федеральных стандартов оценки отдельных видов объектов оценки, требования указанных стандартов становятся обязательными для членов Партнерства при осуществлении оценочной деятельности. В ситуациях, когда федеральные стандарты оценки не обеспечивают однозначного понимания используемых терминов, определений или процедур, члены Партнерства вправе использовать не противоречащие федеральным стандартам оценки нормы Международных стандартов оценки в редакции ближайшего к дате составления отчета перевода их на русский язык. Оценщик использует свой профессиональный опыт для формирования профессионального суждения о стоимости объектов оценки. Оценщик также вправе использовать собственные способы и методы оценки, не противоречащие федеральным стандартам оценки и принципам оценки, при этом на оценщике лежит обязанность обоснования их применения.</w:t>
      </w:r>
    </w:p>
    <w:p w:rsidR="00904A6A" w:rsidRPr="00E03510" w:rsidRDefault="00904A6A" w:rsidP="00904A6A">
      <w:pPr>
        <w:ind w:firstLine="709"/>
        <w:jc w:val="both"/>
        <w:rPr>
          <w:rFonts w:asciiTheme="majorHAnsi" w:hAnsiTheme="majorHAnsi"/>
          <w:sz w:val="20"/>
          <w:szCs w:val="20"/>
        </w:rPr>
      </w:pPr>
      <w:r w:rsidRPr="00E03510">
        <w:rPr>
          <w:rFonts w:asciiTheme="majorHAnsi" w:eastAsia="Arial" w:hAnsiTheme="majorHAnsi"/>
          <w:sz w:val="20"/>
          <w:szCs w:val="20"/>
        </w:rPr>
        <w:t xml:space="preserve">4.2.   </w:t>
      </w:r>
      <w:r w:rsidRPr="00E03510">
        <w:rPr>
          <w:rFonts w:asciiTheme="majorHAnsi" w:hAnsiTheme="majorHAnsi"/>
          <w:sz w:val="20"/>
          <w:szCs w:val="20"/>
        </w:rPr>
        <w:t>Члены Партнерства при осуществлении оценочной деятельности руководствуются методическими материалами, разрабатываемыми и утверждаемыми Национальным Советом по оценочной деятельности.</w:t>
      </w:r>
    </w:p>
    <w:p w:rsidR="00904A6A" w:rsidRPr="00E03510" w:rsidRDefault="00904A6A" w:rsidP="00904A6A">
      <w:pPr>
        <w:ind w:firstLine="709"/>
        <w:jc w:val="both"/>
        <w:rPr>
          <w:rFonts w:asciiTheme="majorHAnsi" w:hAnsiTheme="majorHAnsi"/>
          <w:sz w:val="20"/>
          <w:szCs w:val="20"/>
        </w:rPr>
      </w:pPr>
      <w:r w:rsidRPr="00E03510">
        <w:rPr>
          <w:rFonts w:asciiTheme="majorHAnsi" w:eastAsia="Arial" w:hAnsiTheme="majorHAnsi"/>
          <w:sz w:val="20"/>
          <w:szCs w:val="20"/>
        </w:rPr>
        <w:t xml:space="preserve">4.3.   </w:t>
      </w:r>
      <w:r w:rsidRPr="00E03510">
        <w:rPr>
          <w:rFonts w:asciiTheme="majorHAnsi" w:hAnsiTheme="majorHAnsi"/>
          <w:sz w:val="20"/>
          <w:szCs w:val="20"/>
        </w:rPr>
        <w:t xml:space="preserve">Члены Партнерства при осуществлении оценочной деятельности руководствуются Правилами деловой и профессиональной этики, утвержденными Национальным Советом по оценочной деятельности и положениями Кодекса поведения Международных стандартов оценки. </w:t>
      </w:r>
    </w:p>
    <w:p w:rsidR="00904A6A" w:rsidRPr="00E03510" w:rsidRDefault="00904A6A" w:rsidP="00904A6A">
      <w:pPr>
        <w:ind w:firstLine="709"/>
        <w:jc w:val="both"/>
        <w:rPr>
          <w:rFonts w:asciiTheme="majorHAnsi" w:hAnsiTheme="majorHAnsi"/>
          <w:sz w:val="20"/>
          <w:szCs w:val="20"/>
        </w:rPr>
      </w:pPr>
      <w:r w:rsidRPr="00E03510">
        <w:rPr>
          <w:rFonts w:asciiTheme="majorHAnsi" w:eastAsia="Arial" w:hAnsiTheme="majorHAnsi"/>
          <w:kern w:val="36"/>
          <w:sz w:val="20"/>
          <w:szCs w:val="20"/>
        </w:rPr>
        <w:t xml:space="preserve">5.      </w:t>
      </w:r>
      <w:r w:rsidRPr="00E03510">
        <w:rPr>
          <w:rFonts w:asciiTheme="majorHAnsi" w:hAnsiTheme="majorHAnsi"/>
          <w:sz w:val="20"/>
          <w:szCs w:val="20"/>
        </w:rPr>
        <w:t>За нарушение требований настоящих Стандартов и Правил к члену Партнерства, допустившему нарушения, могут быть применены меры дисциплинарного воздействия в соответствии с «Положением о применении мер дисциплинарного воздействия» Партнерства.</w:t>
      </w:r>
    </w:p>
    <w:p w:rsidR="00904A6A" w:rsidRPr="00E03510" w:rsidRDefault="00904A6A" w:rsidP="00904A6A">
      <w:pPr>
        <w:ind w:firstLine="709"/>
        <w:jc w:val="both"/>
        <w:rPr>
          <w:rFonts w:asciiTheme="majorHAnsi" w:eastAsia="Calibri" w:hAnsiTheme="majorHAnsi"/>
          <w:sz w:val="20"/>
          <w:szCs w:val="20"/>
        </w:rPr>
      </w:pPr>
      <w:r w:rsidRPr="00E03510">
        <w:rPr>
          <w:rFonts w:asciiTheme="majorHAnsi" w:eastAsia="Calibri" w:hAnsiTheme="majorHAnsi"/>
          <w:sz w:val="20"/>
          <w:szCs w:val="20"/>
        </w:rPr>
        <w:t xml:space="preserve">Стандарты и правила оценки Межрегиональной саморегулируемой некоммерческой организации - Некоммерческое партнерство </w:t>
      </w:r>
      <w:r w:rsidRPr="00E03510">
        <w:rPr>
          <w:rFonts w:asciiTheme="majorHAnsi" w:eastAsia="Calibri" w:hAnsiTheme="majorHAnsi"/>
          <w:b/>
          <w:bCs/>
          <w:sz w:val="20"/>
          <w:szCs w:val="20"/>
        </w:rPr>
        <w:t>«</w:t>
      </w:r>
      <w:r w:rsidRPr="00E03510">
        <w:rPr>
          <w:rFonts w:asciiTheme="majorHAnsi" w:eastAsia="Calibri" w:hAnsiTheme="majorHAnsi"/>
          <w:bCs/>
          <w:sz w:val="20"/>
          <w:szCs w:val="20"/>
        </w:rPr>
        <w:t>Межрегиональный союз оценщиков</w:t>
      </w:r>
      <w:r w:rsidRPr="00E03510">
        <w:rPr>
          <w:rFonts w:asciiTheme="majorHAnsi" w:eastAsia="Calibri" w:hAnsiTheme="majorHAnsi"/>
          <w:b/>
          <w:bCs/>
          <w:sz w:val="20"/>
          <w:szCs w:val="20"/>
        </w:rPr>
        <w:t>»</w:t>
      </w:r>
      <w:r w:rsidRPr="00E03510">
        <w:rPr>
          <w:rFonts w:asciiTheme="majorHAnsi" w:eastAsia="Calibri" w:hAnsiTheme="majorHAnsi"/>
          <w:sz w:val="20"/>
          <w:szCs w:val="20"/>
        </w:rPr>
        <w:t xml:space="preserve"> (МСО) используются для определения </w:t>
      </w:r>
      <w:r w:rsidRPr="00E03510">
        <w:rPr>
          <w:rFonts w:asciiTheme="majorHAnsi" w:eastAsia="Calibri" w:hAnsiTheme="majorHAnsi"/>
          <w:sz w:val="20"/>
          <w:szCs w:val="20"/>
        </w:rPr>
        <w:lastRenderedPageBreak/>
        <w:t>соответствующего вида стоимости объекта оценки в связи с тем, что в соответствии с действующим законодательством они не могут противоречить федеральным стандартам оценки.</w:t>
      </w:r>
    </w:p>
    <w:p w:rsidR="00904A6A" w:rsidRPr="00E03510" w:rsidRDefault="00904A6A" w:rsidP="00904A6A">
      <w:pPr>
        <w:ind w:firstLine="709"/>
        <w:jc w:val="both"/>
        <w:rPr>
          <w:rFonts w:asciiTheme="majorHAnsi" w:hAnsiTheme="majorHAnsi"/>
          <w:sz w:val="20"/>
          <w:szCs w:val="20"/>
        </w:rPr>
      </w:pPr>
      <w:r w:rsidRPr="00E03510">
        <w:rPr>
          <w:rFonts w:asciiTheme="majorHAnsi" w:eastAsia="Calibri" w:hAnsiTheme="majorHAnsi"/>
          <w:sz w:val="20"/>
          <w:szCs w:val="20"/>
        </w:rPr>
        <w:t xml:space="preserve">Стандарты оценки Межрегиональной саморегулируемой некоммерческой организации - Некоммерческое партнерство </w:t>
      </w:r>
      <w:r w:rsidRPr="00E03510">
        <w:rPr>
          <w:rFonts w:asciiTheme="majorHAnsi" w:eastAsia="Calibri" w:hAnsiTheme="majorHAnsi"/>
          <w:b/>
          <w:bCs/>
          <w:sz w:val="20"/>
          <w:szCs w:val="20"/>
        </w:rPr>
        <w:t>«</w:t>
      </w:r>
      <w:r w:rsidRPr="00E03510">
        <w:rPr>
          <w:rFonts w:asciiTheme="majorHAnsi" w:eastAsia="Calibri" w:hAnsiTheme="majorHAnsi"/>
          <w:bCs/>
          <w:sz w:val="20"/>
          <w:szCs w:val="20"/>
        </w:rPr>
        <w:t>Межрегиональный союз оценщиков</w:t>
      </w:r>
      <w:r w:rsidRPr="00E03510">
        <w:rPr>
          <w:rFonts w:asciiTheme="majorHAnsi" w:eastAsia="Calibri" w:hAnsiTheme="majorHAnsi"/>
          <w:b/>
          <w:bCs/>
          <w:sz w:val="20"/>
          <w:szCs w:val="20"/>
        </w:rPr>
        <w:t>»</w:t>
      </w:r>
      <w:r w:rsidRPr="00E03510">
        <w:rPr>
          <w:rFonts w:asciiTheme="majorHAnsi" w:eastAsia="Calibri" w:hAnsiTheme="majorHAnsi"/>
          <w:sz w:val="20"/>
          <w:szCs w:val="20"/>
        </w:rPr>
        <w:t xml:space="preserve">  (МСО) </w:t>
      </w:r>
      <w:r w:rsidRPr="00E03510">
        <w:rPr>
          <w:rFonts w:asciiTheme="majorHAnsi" w:hAnsiTheme="majorHAnsi"/>
          <w:sz w:val="20"/>
          <w:szCs w:val="20"/>
        </w:rPr>
        <w:t>являются обязательными для применения субъектами оценочной деятельности - членами Партнерства.</w:t>
      </w:r>
    </w:p>
    <w:p w:rsidR="00904A6A" w:rsidRPr="00E03510" w:rsidRDefault="00904A6A" w:rsidP="00904A6A">
      <w:pPr>
        <w:spacing w:before="120" w:after="120"/>
        <w:ind w:firstLine="709"/>
        <w:jc w:val="both"/>
        <w:rPr>
          <w:rFonts w:asciiTheme="majorHAnsi" w:eastAsia="Calibri" w:hAnsiTheme="majorHAnsi"/>
          <w:sz w:val="20"/>
          <w:szCs w:val="20"/>
        </w:rPr>
      </w:pPr>
      <w:r w:rsidRPr="00E03510">
        <w:rPr>
          <w:rFonts w:asciiTheme="majorHAnsi" w:eastAsia="Calibri" w:hAnsiTheme="majorHAnsi"/>
          <w:sz w:val="20"/>
          <w:szCs w:val="20"/>
        </w:rPr>
        <w:br w:type="page"/>
      </w:r>
    </w:p>
    <w:p w:rsidR="00904A6A" w:rsidRPr="00904A6A" w:rsidRDefault="00991118" w:rsidP="00904A6A">
      <w:pPr>
        <w:spacing w:before="100" w:beforeAutospacing="1" w:after="100" w:afterAutospacing="1"/>
        <w:jc w:val="center"/>
        <w:rPr>
          <w:rFonts w:eastAsiaTheme="majorEastAsia" w:cstheme="majorBidi"/>
          <w:b/>
          <w:bCs/>
          <w:sz w:val="28"/>
          <w:szCs w:val="28"/>
        </w:rPr>
      </w:pPr>
      <w:bookmarkStart w:id="13" w:name="_Toc451953107"/>
      <w:r>
        <w:rPr>
          <w:rFonts w:eastAsiaTheme="majorEastAsia" w:cstheme="majorBidi"/>
          <w:b/>
          <w:bCs/>
          <w:sz w:val="28"/>
          <w:szCs w:val="28"/>
        </w:rPr>
        <w:lastRenderedPageBreak/>
        <w:t>3</w:t>
      </w:r>
      <w:r w:rsidR="00904A6A">
        <w:rPr>
          <w:rFonts w:eastAsiaTheme="majorEastAsia" w:cstheme="majorBidi"/>
          <w:b/>
          <w:bCs/>
          <w:sz w:val="28"/>
          <w:szCs w:val="28"/>
        </w:rPr>
        <w:t xml:space="preserve">. </w:t>
      </w:r>
      <w:r w:rsidR="00904A6A" w:rsidRPr="00904A6A">
        <w:rPr>
          <w:rFonts w:eastAsiaTheme="majorEastAsia" w:cstheme="majorBidi"/>
          <w:b/>
          <w:bCs/>
          <w:sz w:val="28"/>
          <w:szCs w:val="28"/>
        </w:rPr>
        <w:t>Принятые при проведении оценки объекта оценки допущения</w:t>
      </w:r>
      <w:bookmarkEnd w:id="13"/>
    </w:p>
    <w:p w:rsidR="00904A6A" w:rsidRPr="00E03510" w:rsidRDefault="00904A6A" w:rsidP="0090764B">
      <w:pPr>
        <w:pStyle w:val="af3"/>
        <w:keepNext/>
        <w:keepLines/>
        <w:numPr>
          <w:ilvl w:val="1"/>
          <w:numId w:val="10"/>
        </w:numPr>
        <w:outlineLvl w:val="1"/>
        <w:rPr>
          <w:rFonts w:asciiTheme="majorHAnsi" w:eastAsiaTheme="majorEastAsia" w:hAnsiTheme="majorHAnsi" w:cstheme="majorBidi"/>
          <w:b/>
          <w:bCs/>
          <w:sz w:val="20"/>
          <w:szCs w:val="20"/>
        </w:rPr>
      </w:pPr>
      <w:bookmarkStart w:id="14" w:name="_Toc451953108"/>
      <w:bookmarkStart w:id="15" w:name="_Toc491763282"/>
      <w:r w:rsidRPr="00E03510">
        <w:rPr>
          <w:rFonts w:asciiTheme="majorHAnsi" w:eastAsiaTheme="majorEastAsia" w:hAnsiTheme="majorHAnsi" w:cstheme="majorBidi"/>
          <w:b/>
          <w:bCs/>
          <w:sz w:val="20"/>
          <w:szCs w:val="20"/>
        </w:rPr>
        <w:t>Общие понятия и определения</w:t>
      </w:r>
      <w:bookmarkEnd w:id="14"/>
      <w:bookmarkEnd w:id="15"/>
    </w:p>
    <w:p w:rsidR="00904A6A" w:rsidRPr="00E03510" w:rsidRDefault="00904A6A" w:rsidP="00904A6A">
      <w:pPr>
        <w:spacing w:before="120"/>
        <w:ind w:firstLine="851"/>
        <w:jc w:val="both"/>
        <w:rPr>
          <w:rFonts w:asciiTheme="majorHAnsi" w:hAnsiTheme="majorHAnsi"/>
          <w:sz w:val="20"/>
          <w:szCs w:val="20"/>
        </w:rPr>
      </w:pPr>
      <w:r w:rsidRPr="00E03510">
        <w:rPr>
          <w:rFonts w:asciiTheme="majorHAnsi" w:hAnsiTheme="majorHAnsi"/>
          <w:b/>
          <w:sz w:val="20"/>
          <w:szCs w:val="20"/>
        </w:rPr>
        <w:t>Дата определения стоимости объекта оценки</w:t>
      </w:r>
      <w:r w:rsidRPr="00E03510">
        <w:rPr>
          <w:rFonts w:asciiTheme="majorHAnsi" w:hAnsiTheme="majorHAnsi"/>
          <w:sz w:val="20"/>
          <w:szCs w:val="20"/>
        </w:rPr>
        <w:t xml:space="preserve"> (дата проведения оценки, дата оценки) это дата, по состоянию на которую определена стоимость объекта оценки. </w:t>
      </w:r>
    </w:p>
    <w:p w:rsidR="00904A6A" w:rsidRPr="00E03510" w:rsidRDefault="00904A6A" w:rsidP="00904A6A">
      <w:pPr>
        <w:spacing w:before="120"/>
        <w:ind w:right="-2" w:firstLine="709"/>
        <w:jc w:val="both"/>
        <w:rPr>
          <w:rFonts w:asciiTheme="majorHAnsi" w:hAnsiTheme="majorHAnsi"/>
          <w:sz w:val="20"/>
          <w:szCs w:val="20"/>
        </w:rPr>
      </w:pPr>
      <w:r w:rsidRPr="00E03510">
        <w:rPr>
          <w:rFonts w:asciiTheme="majorHAnsi" w:hAnsiTheme="majorHAnsi"/>
          <w:sz w:val="20"/>
          <w:szCs w:val="20"/>
        </w:rPr>
        <w:t>(Федеральный стандарт оценки «Общие понятия оценки, подходы и требования к проведению оценки» (ФСО № 1), Приказ Министерства экономического развития и торговли Российской Федерации (Минэкономразвития России) от 20 мая 2015 г. № 297.</w:t>
      </w:r>
    </w:p>
    <w:p w:rsidR="00904A6A" w:rsidRPr="00E03510" w:rsidRDefault="00904A6A" w:rsidP="00904A6A">
      <w:pPr>
        <w:spacing w:before="120"/>
        <w:ind w:firstLine="851"/>
        <w:jc w:val="both"/>
        <w:rPr>
          <w:rFonts w:asciiTheme="majorHAnsi" w:hAnsiTheme="majorHAnsi"/>
          <w:sz w:val="20"/>
          <w:szCs w:val="20"/>
        </w:rPr>
      </w:pPr>
      <w:r w:rsidRPr="00E03510">
        <w:rPr>
          <w:rFonts w:asciiTheme="majorHAnsi" w:hAnsiTheme="majorHAnsi"/>
          <w:b/>
          <w:sz w:val="20"/>
          <w:szCs w:val="20"/>
        </w:rPr>
        <w:t xml:space="preserve">Под рыночной стоимостью </w:t>
      </w:r>
      <w:r w:rsidRPr="00E03510">
        <w:rPr>
          <w:rFonts w:asciiTheme="majorHAnsi" w:hAnsiTheme="majorHAnsi"/>
          <w:sz w:val="20"/>
          <w:szCs w:val="20"/>
        </w:rPr>
        <w:t>объекта оценки понимается наиболее вероятная цена, по которой данный объект оценки может быть отчужден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r w:rsidRPr="00E03510">
        <w:rPr>
          <w:rFonts w:asciiTheme="majorHAnsi" w:hAnsiTheme="majorHAnsi"/>
          <w:sz w:val="20"/>
          <w:szCs w:val="20"/>
        </w:rPr>
        <w:br/>
        <w:t xml:space="preserve">одна из сторон сделки не обязана отчуждать объект оценки, а другая сторона не обязана принимать исполнение; стороны сделки хорошо осведомлены о предмете сделки и действуют в своих интересах; </w:t>
      </w:r>
      <w:r w:rsidRPr="00E03510">
        <w:rPr>
          <w:rFonts w:asciiTheme="majorHAnsi" w:hAnsiTheme="majorHAnsi"/>
          <w:sz w:val="20"/>
          <w:szCs w:val="20"/>
        </w:rPr>
        <w:br/>
        <w:t xml:space="preserve">объект оценки представлен на открытом рынке посредством публичной оферты, типичной для аналогичных объектов оценки; 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 платеж за объект оценки выражен в денежной форме. </w:t>
      </w:r>
    </w:p>
    <w:p w:rsidR="00904A6A" w:rsidRPr="00E03510" w:rsidRDefault="00904A6A" w:rsidP="00904A6A">
      <w:pPr>
        <w:spacing w:before="120"/>
        <w:ind w:right="-2" w:firstLine="709"/>
        <w:jc w:val="both"/>
        <w:rPr>
          <w:rFonts w:asciiTheme="majorHAnsi" w:hAnsiTheme="majorHAnsi"/>
          <w:sz w:val="20"/>
          <w:szCs w:val="20"/>
        </w:rPr>
      </w:pPr>
      <w:r w:rsidRPr="00E03510">
        <w:rPr>
          <w:rFonts w:asciiTheme="majorHAnsi" w:hAnsiTheme="majorHAnsi"/>
          <w:sz w:val="20"/>
          <w:szCs w:val="20"/>
        </w:rPr>
        <w:t>(ФЕДЕРАЛЬНЫЙ ЗАКОН Об оценочной деятельности в Российской Федерации. (редакция, действующая с 6 августа 2014 года)</w:t>
      </w:r>
    </w:p>
    <w:p w:rsidR="00904A6A" w:rsidRPr="00E03510" w:rsidRDefault="00904A6A" w:rsidP="00904A6A">
      <w:pPr>
        <w:spacing w:before="120"/>
        <w:ind w:firstLine="851"/>
        <w:jc w:val="both"/>
        <w:rPr>
          <w:rFonts w:asciiTheme="majorHAnsi" w:hAnsiTheme="majorHAnsi"/>
          <w:sz w:val="20"/>
          <w:szCs w:val="20"/>
        </w:rPr>
      </w:pPr>
      <w:r w:rsidRPr="00E03510">
        <w:rPr>
          <w:rFonts w:asciiTheme="majorHAnsi" w:hAnsiTheme="majorHAnsi"/>
          <w:b/>
          <w:sz w:val="20"/>
          <w:szCs w:val="20"/>
        </w:rPr>
        <w:t>Подход к оценке</w:t>
      </w:r>
      <w:r w:rsidRPr="00E03510">
        <w:rPr>
          <w:rFonts w:asciiTheme="majorHAnsi" w:hAnsiTheme="majorHAnsi"/>
          <w:sz w:val="20"/>
          <w:szCs w:val="20"/>
        </w:rPr>
        <w:t xml:space="preserve"> - это совокупность методов оценки, объединенных общей методологией. Метод проведения оценки объекта оценки - это последовательность процедур, позволяющая на основе существенной для данного метода информации определить стоимость объекта оценки в рамках одного из подходов к оценке. </w:t>
      </w:r>
    </w:p>
    <w:p w:rsidR="00904A6A" w:rsidRPr="00E03510" w:rsidRDefault="00904A6A" w:rsidP="00904A6A">
      <w:pPr>
        <w:spacing w:before="120"/>
        <w:ind w:right="-2" w:firstLine="709"/>
        <w:jc w:val="both"/>
        <w:rPr>
          <w:rFonts w:asciiTheme="majorHAnsi" w:hAnsiTheme="majorHAnsi"/>
          <w:sz w:val="20"/>
          <w:szCs w:val="20"/>
        </w:rPr>
      </w:pPr>
      <w:r w:rsidRPr="00E03510">
        <w:rPr>
          <w:rFonts w:asciiTheme="majorHAnsi" w:hAnsiTheme="majorHAnsi"/>
          <w:sz w:val="20"/>
          <w:szCs w:val="20"/>
        </w:rPr>
        <w:t>(Федеральный стандарт оценки «Общие понятия оценки, подходы и требования к проведению оценки» (ФСО № 1), Приказ Министерства экономического развития и торговли Российской Федерации (Минэкономразвития России) от 20 мая 2015 г. № 297</w:t>
      </w:r>
    </w:p>
    <w:p w:rsidR="00904A6A" w:rsidRPr="00E03510" w:rsidRDefault="00904A6A" w:rsidP="00904A6A">
      <w:pPr>
        <w:spacing w:before="100" w:beforeAutospacing="1"/>
        <w:ind w:firstLine="851"/>
        <w:jc w:val="both"/>
        <w:rPr>
          <w:rFonts w:asciiTheme="majorHAnsi" w:hAnsiTheme="majorHAnsi"/>
          <w:sz w:val="20"/>
          <w:szCs w:val="20"/>
        </w:rPr>
      </w:pPr>
      <w:r w:rsidRPr="00E03510">
        <w:rPr>
          <w:rFonts w:asciiTheme="majorHAnsi" w:hAnsiTheme="majorHAnsi"/>
          <w:b/>
          <w:sz w:val="20"/>
          <w:szCs w:val="20"/>
        </w:rPr>
        <w:t xml:space="preserve">Объектом </w:t>
      </w:r>
      <w:r w:rsidRPr="00E03510">
        <w:rPr>
          <w:rFonts w:asciiTheme="majorHAnsi" w:hAnsiTheme="majorHAnsi"/>
          <w:sz w:val="20"/>
          <w:szCs w:val="20"/>
        </w:rPr>
        <w:t xml:space="preserve">– аналогом объекта оценки для целей оценки признается объект, сходный объекту оценки по основным экономическим, материальным, техническим и другим характеристикам, определяющим его стоимость. </w:t>
      </w:r>
    </w:p>
    <w:p w:rsidR="00904A6A" w:rsidRPr="00E03510" w:rsidRDefault="00904A6A" w:rsidP="00904A6A">
      <w:pPr>
        <w:spacing w:before="120"/>
        <w:ind w:right="-2" w:firstLine="709"/>
        <w:jc w:val="both"/>
        <w:rPr>
          <w:rFonts w:asciiTheme="majorHAnsi" w:hAnsiTheme="majorHAnsi"/>
          <w:sz w:val="20"/>
          <w:szCs w:val="20"/>
        </w:rPr>
      </w:pPr>
      <w:r w:rsidRPr="00E03510">
        <w:rPr>
          <w:rFonts w:asciiTheme="majorHAnsi" w:hAnsiTheme="majorHAnsi"/>
          <w:sz w:val="20"/>
          <w:szCs w:val="20"/>
        </w:rPr>
        <w:t>(Федеральный стандарт оценки «Общие понятия оценки, подходы и требования к проведению оценки» (ФСО № 1), Приказ Министерства экономического развития и торговли Российской Федерации (Минэкономразвития России) от 20 мая 2015 г. № 297</w:t>
      </w:r>
    </w:p>
    <w:p w:rsidR="00904A6A" w:rsidRPr="00E03510" w:rsidRDefault="00904A6A" w:rsidP="00904A6A">
      <w:pPr>
        <w:spacing w:before="100" w:beforeAutospacing="1"/>
        <w:ind w:firstLine="851"/>
        <w:jc w:val="both"/>
        <w:rPr>
          <w:rFonts w:asciiTheme="majorHAnsi" w:hAnsiTheme="majorHAnsi"/>
          <w:sz w:val="20"/>
          <w:szCs w:val="20"/>
        </w:rPr>
      </w:pPr>
      <w:r w:rsidRPr="00E03510">
        <w:rPr>
          <w:rFonts w:asciiTheme="majorHAnsi" w:hAnsiTheme="majorHAnsi"/>
          <w:b/>
          <w:sz w:val="20"/>
          <w:szCs w:val="20"/>
        </w:rPr>
        <w:t>Итоговая величина стоимости</w:t>
      </w:r>
      <w:r w:rsidRPr="00E03510">
        <w:rPr>
          <w:rFonts w:asciiTheme="majorHAnsi" w:hAnsiTheme="majorHAnsi"/>
          <w:sz w:val="20"/>
          <w:szCs w:val="20"/>
        </w:rPr>
        <w:t xml:space="preserve"> – стоимость объекта оценки, рассчитанная при использовании подходов к оценке и обоснованного оценщиком согласования (обобщения) результатов, полученных в рамках применения различных подходов к оценке. </w:t>
      </w:r>
    </w:p>
    <w:p w:rsidR="00904A6A" w:rsidRPr="00E03510" w:rsidRDefault="00904A6A" w:rsidP="00904A6A">
      <w:pPr>
        <w:spacing w:before="120"/>
        <w:ind w:right="-2" w:firstLine="709"/>
        <w:jc w:val="both"/>
        <w:rPr>
          <w:rFonts w:asciiTheme="majorHAnsi" w:hAnsiTheme="majorHAnsi"/>
          <w:sz w:val="20"/>
          <w:szCs w:val="20"/>
        </w:rPr>
      </w:pPr>
      <w:r w:rsidRPr="00E03510">
        <w:rPr>
          <w:rFonts w:asciiTheme="majorHAnsi" w:hAnsiTheme="majorHAnsi"/>
          <w:sz w:val="20"/>
          <w:szCs w:val="20"/>
        </w:rPr>
        <w:t>(Федеральный стандарт оценки «Общие понятия оценки, подходы и требования к проведению оценки» (ФСО № 1), Приказ Министерства экономического развития и торговли Российской Федерации (Минэкономразвития России) от 20 мая 2015 г. № 297.</w:t>
      </w:r>
    </w:p>
    <w:p w:rsidR="00904A6A" w:rsidRPr="00E03510" w:rsidRDefault="00904A6A" w:rsidP="00904A6A">
      <w:pPr>
        <w:spacing w:before="120"/>
        <w:ind w:firstLine="902"/>
        <w:jc w:val="both"/>
        <w:rPr>
          <w:rFonts w:asciiTheme="majorHAnsi" w:hAnsiTheme="majorHAnsi"/>
          <w:sz w:val="20"/>
          <w:szCs w:val="20"/>
        </w:rPr>
      </w:pPr>
      <w:r w:rsidRPr="00E03510">
        <w:rPr>
          <w:rFonts w:asciiTheme="majorHAnsi" w:hAnsiTheme="majorHAnsi"/>
          <w:b/>
          <w:sz w:val="20"/>
          <w:szCs w:val="20"/>
        </w:rPr>
        <w:t>Основные активы</w:t>
      </w:r>
      <w:r w:rsidRPr="00E03510">
        <w:rPr>
          <w:rFonts w:asciiTheme="majorHAnsi" w:hAnsiTheme="majorHAnsi"/>
          <w:sz w:val="20"/>
          <w:szCs w:val="20"/>
        </w:rPr>
        <w:t xml:space="preserve"> – это материальные и нематериальные активы, подразделяющиеся на две общие категории: Недвижимость, производственные средства и оборудование. Производственные средства, машины и оборудование представляют собой класс активов, не относящихся к недвижимости и проявляющих себя посредством своего физического существования.</w:t>
      </w:r>
    </w:p>
    <w:p w:rsidR="00904A6A" w:rsidRPr="00E03510" w:rsidRDefault="00904A6A" w:rsidP="00904A6A">
      <w:pPr>
        <w:spacing w:before="120"/>
        <w:ind w:right="-2" w:firstLine="709"/>
        <w:jc w:val="both"/>
        <w:rPr>
          <w:rFonts w:asciiTheme="majorHAnsi" w:hAnsiTheme="majorHAnsi"/>
          <w:sz w:val="20"/>
          <w:szCs w:val="20"/>
        </w:rPr>
      </w:pPr>
      <w:r w:rsidRPr="00E03510">
        <w:rPr>
          <w:rFonts w:asciiTheme="majorHAnsi" w:hAnsiTheme="majorHAnsi"/>
          <w:sz w:val="20"/>
          <w:szCs w:val="20"/>
        </w:rPr>
        <w:t>(Международные стандарты оценки. Общие понятия и принципы оценки. М., 1995).</w:t>
      </w:r>
    </w:p>
    <w:p w:rsidR="00904A6A" w:rsidRPr="00E03510" w:rsidRDefault="00904A6A" w:rsidP="00904A6A">
      <w:pPr>
        <w:spacing w:before="120"/>
        <w:ind w:firstLine="900"/>
        <w:jc w:val="both"/>
        <w:rPr>
          <w:rFonts w:asciiTheme="majorHAnsi" w:hAnsiTheme="majorHAnsi"/>
          <w:sz w:val="20"/>
          <w:szCs w:val="20"/>
        </w:rPr>
      </w:pPr>
      <w:r w:rsidRPr="00E03510">
        <w:rPr>
          <w:rFonts w:asciiTheme="majorHAnsi" w:hAnsiTheme="majorHAnsi"/>
          <w:b/>
          <w:sz w:val="20"/>
          <w:szCs w:val="20"/>
        </w:rPr>
        <w:t>Принцип замещения</w:t>
      </w:r>
      <w:r w:rsidRPr="00E03510">
        <w:rPr>
          <w:rFonts w:asciiTheme="majorHAnsi" w:hAnsiTheme="majorHAnsi"/>
          <w:sz w:val="20"/>
          <w:szCs w:val="20"/>
        </w:rPr>
        <w:t xml:space="preserve"> утверждает, что максимальная стоимость собственности определяется наименьшей ценой или стоимостью, по которой может быть приобретена другая собственность с эквивалентной полезностью </w:t>
      </w:r>
    </w:p>
    <w:p w:rsidR="00904A6A" w:rsidRPr="00E03510" w:rsidRDefault="00904A6A" w:rsidP="00904A6A">
      <w:pPr>
        <w:spacing w:before="120"/>
        <w:ind w:right="-2" w:firstLine="709"/>
        <w:jc w:val="both"/>
        <w:rPr>
          <w:rFonts w:asciiTheme="majorHAnsi" w:hAnsiTheme="majorHAnsi"/>
          <w:sz w:val="20"/>
          <w:szCs w:val="20"/>
        </w:rPr>
      </w:pPr>
      <w:r w:rsidRPr="00E03510">
        <w:rPr>
          <w:rFonts w:asciiTheme="majorHAnsi" w:hAnsiTheme="majorHAnsi"/>
          <w:sz w:val="20"/>
          <w:szCs w:val="20"/>
        </w:rPr>
        <w:t>(Д.Фридман, Н. Ордуэй, «Анализ и оценка приносящей доход недвижимости». М., «Дело», 1997)</w:t>
      </w:r>
    </w:p>
    <w:p w:rsidR="00904A6A" w:rsidRPr="00E03510" w:rsidRDefault="00904A6A" w:rsidP="00904A6A">
      <w:pPr>
        <w:spacing w:before="120"/>
        <w:ind w:right="-2" w:firstLine="709"/>
        <w:jc w:val="both"/>
        <w:rPr>
          <w:rFonts w:asciiTheme="majorHAnsi" w:hAnsiTheme="majorHAnsi"/>
          <w:sz w:val="20"/>
          <w:szCs w:val="20"/>
        </w:rPr>
      </w:pPr>
      <w:r w:rsidRPr="00E03510">
        <w:rPr>
          <w:rFonts w:asciiTheme="majorHAnsi" w:hAnsiTheme="majorHAnsi"/>
          <w:sz w:val="20"/>
          <w:szCs w:val="20"/>
        </w:rPr>
        <w:t xml:space="preserve">Принцип спроса и предложения – предложение, это количество товаров (услуг), имеющихся в наличии по определенным ценам, спрос – это количество товаров (услуг), желаемых к приобретению по определенным ценам. Взаимодействие предложения и спроса определяют цены. </w:t>
      </w:r>
    </w:p>
    <w:p w:rsidR="00904A6A" w:rsidRPr="00E03510" w:rsidRDefault="00904A6A" w:rsidP="00904A6A">
      <w:pPr>
        <w:spacing w:before="120"/>
        <w:ind w:right="-2" w:firstLine="709"/>
        <w:jc w:val="both"/>
        <w:rPr>
          <w:rFonts w:asciiTheme="majorHAnsi" w:hAnsiTheme="majorHAnsi"/>
          <w:sz w:val="20"/>
          <w:szCs w:val="20"/>
        </w:rPr>
      </w:pPr>
      <w:r w:rsidRPr="00E03510">
        <w:rPr>
          <w:rFonts w:asciiTheme="majorHAnsi" w:hAnsiTheme="majorHAnsi"/>
          <w:sz w:val="20"/>
          <w:szCs w:val="20"/>
        </w:rPr>
        <w:t>( Д. Фридман, Н. Ордуэй, «Анализ и оценка приносящей доход недвижимости». М., «Дело», 1997)</w:t>
      </w:r>
    </w:p>
    <w:p w:rsidR="00904A6A" w:rsidRPr="00E03510" w:rsidRDefault="00904A6A" w:rsidP="00904A6A">
      <w:pPr>
        <w:spacing w:before="120"/>
        <w:ind w:firstLine="900"/>
        <w:jc w:val="both"/>
        <w:rPr>
          <w:rFonts w:asciiTheme="majorHAnsi" w:hAnsiTheme="majorHAnsi"/>
          <w:spacing w:val="-6"/>
          <w:sz w:val="20"/>
          <w:szCs w:val="20"/>
        </w:rPr>
      </w:pPr>
      <w:r w:rsidRPr="00E03510">
        <w:rPr>
          <w:rFonts w:asciiTheme="majorHAnsi" w:hAnsiTheme="majorHAnsi"/>
          <w:b/>
          <w:spacing w:val="-6"/>
          <w:sz w:val="20"/>
          <w:szCs w:val="20"/>
        </w:rPr>
        <w:lastRenderedPageBreak/>
        <w:t xml:space="preserve">Цена – </w:t>
      </w:r>
      <w:r w:rsidRPr="00E03510">
        <w:rPr>
          <w:rFonts w:asciiTheme="majorHAnsi" w:hAnsiTheme="majorHAnsi"/>
          <w:sz w:val="20"/>
          <w:szCs w:val="20"/>
        </w:rPr>
        <w:t>это денежная сумма, запрашиваемая, предлагаемая или уплачиваемая участниками  в результате совершенной или предполагаемой сделки.</w:t>
      </w:r>
      <w:r w:rsidRPr="00E03510">
        <w:rPr>
          <w:rFonts w:asciiTheme="majorHAnsi" w:hAnsiTheme="majorHAnsi"/>
          <w:spacing w:val="-6"/>
          <w:sz w:val="20"/>
          <w:szCs w:val="20"/>
        </w:rPr>
        <w:t xml:space="preserve"> </w:t>
      </w:r>
    </w:p>
    <w:p w:rsidR="00904A6A" w:rsidRPr="00E03510" w:rsidRDefault="00904A6A" w:rsidP="00904A6A">
      <w:pPr>
        <w:spacing w:before="120"/>
        <w:ind w:right="-2" w:firstLine="709"/>
        <w:jc w:val="both"/>
        <w:rPr>
          <w:rFonts w:asciiTheme="majorHAnsi" w:hAnsiTheme="majorHAnsi"/>
          <w:sz w:val="20"/>
          <w:szCs w:val="20"/>
        </w:rPr>
      </w:pPr>
      <w:r w:rsidRPr="00E03510">
        <w:rPr>
          <w:rFonts w:asciiTheme="majorHAnsi" w:hAnsiTheme="majorHAnsi"/>
          <w:sz w:val="20"/>
          <w:szCs w:val="20"/>
        </w:rPr>
        <w:t>(Федеральный стандарт оценки «Общие понятия оценки, подходы и требования к проведению оценки» (ФСО № 1), Приказ Министерства экономического развития и торговли Российской Федерации (Минэкономразвития России) от 20 мая 2015 г. № 297.</w:t>
      </w:r>
    </w:p>
    <w:p w:rsidR="00904A6A" w:rsidRPr="00E03510" w:rsidRDefault="00904A6A" w:rsidP="00904A6A">
      <w:pPr>
        <w:spacing w:before="120"/>
        <w:ind w:firstLine="900"/>
        <w:jc w:val="both"/>
        <w:rPr>
          <w:rFonts w:asciiTheme="majorHAnsi" w:hAnsiTheme="majorHAnsi"/>
          <w:sz w:val="20"/>
          <w:szCs w:val="20"/>
        </w:rPr>
      </w:pPr>
      <w:r w:rsidRPr="00E03510">
        <w:rPr>
          <w:rFonts w:asciiTheme="majorHAnsi" w:hAnsiTheme="majorHAnsi"/>
          <w:b/>
          <w:sz w:val="20"/>
          <w:szCs w:val="20"/>
        </w:rPr>
        <w:t>Стоимость –</w:t>
      </w:r>
      <w:r w:rsidRPr="00E03510">
        <w:rPr>
          <w:rFonts w:asciiTheme="majorHAnsi" w:hAnsiTheme="majorHAnsi"/>
          <w:sz w:val="20"/>
          <w:szCs w:val="20"/>
        </w:rPr>
        <w:t xml:space="preserve"> является экономическим понятием, устанавливающим взаимоотношения между товарами и услугами, доступными для приобретения, и теми, кто их покупает и продает. Стоимость является не историческим фактом, а оценкой ценности конкретных товаров и услуг в конкретный момент времени в соответствии с выбранным определением стоимости. Экономическое понятие стоимости выражает рыночный взгляд на выгоду, которую имеет обладатель данного товара или клиент, которому оказывают данную услугу, на момент оценки стоимости. </w:t>
      </w:r>
    </w:p>
    <w:p w:rsidR="00904A6A" w:rsidRPr="00E03510" w:rsidRDefault="00904A6A" w:rsidP="00904A6A">
      <w:pPr>
        <w:spacing w:before="120"/>
        <w:ind w:right="-2" w:firstLine="709"/>
        <w:jc w:val="both"/>
        <w:rPr>
          <w:rFonts w:asciiTheme="majorHAnsi" w:hAnsiTheme="majorHAnsi"/>
          <w:sz w:val="20"/>
          <w:szCs w:val="20"/>
        </w:rPr>
      </w:pPr>
      <w:r w:rsidRPr="00E03510">
        <w:rPr>
          <w:rFonts w:asciiTheme="majorHAnsi" w:hAnsiTheme="majorHAnsi"/>
          <w:sz w:val="20"/>
          <w:szCs w:val="20"/>
        </w:rPr>
        <w:t>(Международные стандарты оценки. Термины и определения. ГОСТ Р 51195.0.02-98 «Единая система оценки имущества»).</w:t>
      </w:r>
    </w:p>
    <w:p w:rsidR="00904A6A" w:rsidRPr="00E03510" w:rsidRDefault="00904A6A" w:rsidP="00904A6A">
      <w:pPr>
        <w:tabs>
          <w:tab w:val="left" w:pos="9214"/>
        </w:tabs>
        <w:spacing w:before="120"/>
        <w:ind w:right="851" w:firstLine="709"/>
        <w:jc w:val="both"/>
        <w:rPr>
          <w:rFonts w:asciiTheme="majorHAnsi" w:hAnsiTheme="majorHAnsi"/>
          <w:sz w:val="20"/>
          <w:szCs w:val="20"/>
        </w:rPr>
      </w:pPr>
      <w:r w:rsidRPr="00E03510">
        <w:rPr>
          <w:rFonts w:asciiTheme="majorHAnsi" w:hAnsiTheme="majorHAnsi"/>
          <w:b/>
          <w:sz w:val="20"/>
          <w:szCs w:val="20"/>
        </w:rPr>
        <w:t>Стоимость объекта оценки</w:t>
      </w:r>
      <w:r w:rsidRPr="00E03510">
        <w:rPr>
          <w:rFonts w:asciiTheme="majorHAnsi" w:hAnsiTheme="majorHAnsi"/>
          <w:sz w:val="20"/>
          <w:szCs w:val="20"/>
        </w:rPr>
        <w:t xml:space="preserve"> – это наиболее вероятная величина, определенная на дату оценки в соответствии с выбранным видом стоимости .</w:t>
      </w:r>
    </w:p>
    <w:p w:rsidR="00904A6A" w:rsidRPr="00E03510" w:rsidRDefault="00904A6A" w:rsidP="00904A6A">
      <w:pPr>
        <w:spacing w:before="120"/>
        <w:ind w:right="-2" w:firstLine="709"/>
        <w:jc w:val="both"/>
        <w:rPr>
          <w:rFonts w:asciiTheme="majorHAnsi" w:hAnsiTheme="majorHAnsi"/>
          <w:sz w:val="20"/>
          <w:szCs w:val="20"/>
        </w:rPr>
      </w:pPr>
      <w:r w:rsidRPr="00E03510">
        <w:rPr>
          <w:rFonts w:asciiTheme="majorHAnsi" w:hAnsiTheme="majorHAnsi"/>
          <w:sz w:val="20"/>
          <w:szCs w:val="20"/>
        </w:rPr>
        <w:t>(Федеральный стандарт оценки «Общие понятия оценки, подходы и требования к проведению оценки» (ФСО № 1), Приказ Министерства экономического развития и торговли Российской Федерации (Минэкономразвития России) от 20 мая 2015 г. № 297.</w:t>
      </w:r>
    </w:p>
    <w:p w:rsidR="00904A6A" w:rsidRPr="00E03510" w:rsidRDefault="00904A6A" w:rsidP="0090764B">
      <w:pPr>
        <w:pStyle w:val="af3"/>
        <w:keepNext/>
        <w:keepLines/>
        <w:numPr>
          <w:ilvl w:val="1"/>
          <w:numId w:val="10"/>
        </w:numPr>
        <w:outlineLvl w:val="1"/>
        <w:rPr>
          <w:rFonts w:asciiTheme="majorHAnsi" w:eastAsiaTheme="majorEastAsia" w:hAnsiTheme="majorHAnsi" w:cstheme="majorBidi"/>
          <w:b/>
          <w:bCs/>
          <w:sz w:val="20"/>
          <w:szCs w:val="20"/>
          <w:lang w:val="ru-RU"/>
        </w:rPr>
      </w:pPr>
      <w:bookmarkStart w:id="16" w:name="_Toc451953109"/>
      <w:bookmarkStart w:id="17" w:name="_Toc491763283"/>
      <w:r w:rsidRPr="00E03510">
        <w:rPr>
          <w:rFonts w:asciiTheme="majorHAnsi" w:eastAsiaTheme="majorEastAsia" w:hAnsiTheme="majorHAnsi" w:cstheme="majorBidi"/>
          <w:b/>
          <w:bCs/>
          <w:sz w:val="20"/>
          <w:szCs w:val="20"/>
          <w:lang w:val="ru-RU"/>
        </w:rPr>
        <w:t>Ограничения и пределы применения полученного результата</w:t>
      </w:r>
      <w:bookmarkEnd w:id="16"/>
      <w:bookmarkEnd w:id="17"/>
    </w:p>
    <w:p w:rsidR="00904A6A" w:rsidRPr="00E03510" w:rsidRDefault="00904A6A" w:rsidP="0090764B">
      <w:pPr>
        <w:numPr>
          <w:ilvl w:val="0"/>
          <w:numId w:val="3"/>
        </w:numPr>
        <w:spacing w:before="120"/>
        <w:ind w:left="709" w:hanging="567"/>
        <w:contextualSpacing/>
        <w:jc w:val="both"/>
        <w:rPr>
          <w:rFonts w:asciiTheme="majorHAnsi" w:eastAsiaTheme="minorEastAsia" w:hAnsiTheme="majorHAnsi"/>
          <w:sz w:val="20"/>
          <w:szCs w:val="20"/>
          <w:lang w:bidi="en-US"/>
        </w:rPr>
      </w:pPr>
      <w:r w:rsidRPr="00E03510">
        <w:rPr>
          <w:rFonts w:asciiTheme="majorHAnsi" w:eastAsiaTheme="minorEastAsia" w:hAnsiTheme="majorHAnsi"/>
          <w:sz w:val="20"/>
          <w:szCs w:val="20"/>
          <w:lang w:bidi="en-US"/>
        </w:rPr>
        <w:t>Разглашение содержания настоящего отчета, как в целом, так и по фрагментам возможно только после предварительного письменного согласования. Особенно это касается итоговой величины стоимости и авторства отчета.</w:t>
      </w:r>
    </w:p>
    <w:p w:rsidR="00904A6A" w:rsidRPr="00E03510" w:rsidRDefault="00904A6A" w:rsidP="0090764B">
      <w:pPr>
        <w:numPr>
          <w:ilvl w:val="0"/>
          <w:numId w:val="3"/>
        </w:numPr>
        <w:spacing w:before="120"/>
        <w:ind w:left="709" w:hanging="567"/>
        <w:contextualSpacing/>
        <w:jc w:val="both"/>
        <w:rPr>
          <w:rFonts w:asciiTheme="majorHAnsi" w:eastAsiaTheme="minorEastAsia" w:hAnsiTheme="majorHAnsi"/>
          <w:sz w:val="20"/>
          <w:szCs w:val="20"/>
          <w:lang w:bidi="en-US"/>
        </w:rPr>
      </w:pPr>
      <w:r w:rsidRPr="00E03510">
        <w:rPr>
          <w:rFonts w:asciiTheme="majorHAnsi" w:eastAsiaTheme="minorEastAsia" w:hAnsiTheme="majorHAnsi"/>
          <w:sz w:val="20"/>
          <w:szCs w:val="20"/>
          <w:lang w:bidi="en-US"/>
        </w:rPr>
        <w:t>Итоговая величина стоимости объекта оценки, указанная в отчете об оценке, может быть признана рекомендуемой для целей совершения сделки с объектами оценки, если с даты составления отчета об оценке до даты совершения сделки с объектом оценки или даты представления публичной оферты прошло не более 6 месяцев.</w:t>
      </w:r>
    </w:p>
    <w:p w:rsidR="00904A6A" w:rsidRPr="00E03510" w:rsidRDefault="00904A6A" w:rsidP="0090764B">
      <w:pPr>
        <w:numPr>
          <w:ilvl w:val="0"/>
          <w:numId w:val="3"/>
        </w:numPr>
        <w:spacing w:before="120"/>
        <w:ind w:left="709" w:hanging="567"/>
        <w:contextualSpacing/>
        <w:jc w:val="both"/>
        <w:rPr>
          <w:rFonts w:asciiTheme="majorHAnsi" w:eastAsiaTheme="minorEastAsia" w:hAnsiTheme="majorHAnsi"/>
          <w:sz w:val="20"/>
          <w:szCs w:val="20"/>
          <w:lang w:bidi="en-US"/>
        </w:rPr>
      </w:pPr>
      <w:r w:rsidRPr="00E03510">
        <w:rPr>
          <w:rFonts w:asciiTheme="majorHAnsi" w:eastAsiaTheme="minorEastAsia" w:hAnsiTheme="majorHAnsi"/>
          <w:sz w:val="20"/>
          <w:szCs w:val="20"/>
          <w:lang w:bidi="en-US"/>
        </w:rPr>
        <w:t>Ни Заказчик, ни Исполнитель не могут использовать отчет иначе, чем это предусмотрено договором на оценку. Итоговая величина стоимости объекта оценки, указанная в отчете об оценке, может быть признана рекомендуемой для целей совершения сделки с объектами оценки в соответствии с предполагаемым использованием результатов оценки.</w:t>
      </w:r>
    </w:p>
    <w:p w:rsidR="00904A6A" w:rsidRPr="00E03510" w:rsidRDefault="00904A6A" w:rsidP="0090764B">
      <w:pPr>
        <w:numPr>
          <w:ilvl w:val="0"/>
          <w:numId w:val="3"/>
        </w:numPr>
        <w:spacing w:before="120"/>
        <w:ind w:left="709" w:hanging="567"/>
        <w:contextualSpacing/>
        <w:jc w:val="both"/>
        <w:rPr>
          <w:rFonts w:asciiTheme="majorHAnsi" w:eastAsiaTheme="minorEastAsia" w:hAnsiTheme="majorHAnsi"/>
          <w:sz w:val="20"/>
          <w:szCs w:val="20"/>
          <w:lang w:bidi="en-US"/>
        </w:rPr>
      </w:pPr>
      <w:r w:rsidRPr="00E03510">
        <w:rPr>
          <w:rFonts w:asciiTheme="majorHAnsi" w:eastAsiaTheme="minorEastAsia" w:hAnsiTheme="majorHAnsi"/>
          <w:sz w:val="20"/>
          <w:szCs w:val="20"/>
          <w:lang w:bidi="en-US"/>
        </w:rPr>
        <w:t>Отчет достоверен лишь в полном объеме. Результаты оценки действительны только в случае учета всех допущений и ограничений, перечисленных в настоящем Задании и Отчете об оценке.</w:t>
      </w:r>
    </w:p>
    <w:p w:rsidR="00904A6A" w:rsidRPr="00E03510" w:rsidRDefault="00904A6A" w:rsidP="0090764B">
      <w:pPr>
        <w:pStyle w:val="af3"/>
        <w:keepNext/>
        <w:keepLines/>
        <w:numPr>
          <w:ilvl w:val="1"/>
          <w:numId w:val="10"/>
        </w:numPr>
        <w:outlineLvl w:val="1"/>
        <w:rPr>
          <w:rFonts w:asciiTheme="majorHAnsi" w:eastAsiaTheme="majorEastAsia" w:hAnsiTheme="majorHAnsi" w:cstheme="majorBidi"/>
          <w:b/>
          <w:bCs/>
          <w:sz w:val="20"/>
          <w:szCs w:val="20"/>
          <w:lang w:val="ru-RU"/>
        </w:rPr>
      </w:pPr>
      <w:bookmarkStart w:id="18" w:name="_Toc451953110"/>
      <w:bookmarkStart w:id="19" w:name="_Toc491763284"/>
      <w:r w:rsidRPr="00E03510">
        <w:rPr>
          <w:rFonts w:asciiTheme="majorHAnsi" w:eastAsiaTheme="majorEastAsia" w:hAnsiTheme="majorHAnsi" w:cstheme="majorBidi"/>
          <w:b/>
          <w:bCs/>
          <w:sz w:val="20"/>
          <w:szCs w:val="20"/>
          <w:lang w:val="ru-RU"/>
        </w:rPr>
        <w:t>Допущения, предположения и ограничивающие условия, на которых основывается оценка (принятые при проведении оценки допущения).</w:t>
      </w:r>
      <w:bookmarkEnd w:id="18"/>
      <w:bookmarkEnd w:id="19"/>
    </w:p>
    <w:p w:rsidR="00904A6A" w:rsidRPr="00E03510" w:rsidRDefault="00904A6A" w:rsidP="00904A6A">
      <w:pPr>
        <w:widowControl w:val="0"/>
        <w:snapToGrid w:val="0"/>
        <w:spacing w:before="120" w:after="120"/>
        <w:ind w:firstLine="720"/>
        <w:jc w:val="both"/>
        <w:rPr>
          <w:rFonts w:asciiTheme="majorHAnsi" w:hAnsiTheme="majorHAnsi"/>
          <w:sz w:val="20"/>
          <w:szCs w:val="20"/>
        </w:rPr>
      </w:pPr>
      <w:r w:rsidRPr="00E03510">
        <w:rPr>
          <w:rFonts w:asciiTheme="majorHAnsi" w:hAnsiTheme="majorHAnsi"/>
          <w:sz w:val="20"/>
          <w:szCs w:val="20"/>
        </w:rPr>
        <w:t>Нижеследующие Условия, допущения и ограничения являются неотъемлемой частью настоящего отчета.</w:t>
      </w:r>
    </w:p>
    <w:p w:rsidR="00904A6A" w:rsidRPr="00E03510" w:rsidRDefault="00904A6A" w:rsidP="00904A6A">
      <w:pPr>
        <w:spacing w:before="120" w:after="120"/>
        <w:ind w:firstLine="709"/>
        <w:jc w:val="both"/>
        <w:rPr>
          <w:rFonts w:asciiTheme="majorHAnsi" w:hAnsiTheme="majorHAnsi"/>
          <w:snapToGrid w:val="0"/>
          <w:spacing w:val="-6"/>
          <w:sz w:val="20"/>
          <w:szCs w:val="20"/>
        </w:rPr>
      </w:pPr>
      <w:r w:rsidRPr="00E03510">
        <w:rPr>
          <w:rFonts w:asciiTheme="majorHAnsi" w:hAnsiTheme="majorHAnsi"/>
          <w:snapToGrid w:val="0"/>
          <w:sz w:val="20"/>
          <w:szCs w:val="20"/>
        </w:rPr>
        <w:t xml:space="preserve">Исходя из нижеследующей трактовки и договоренностей, настоящие условия подразумевают их полное однозначное понимание Сторонами, а также факт того, что все положения, результаты переговоров и заявления, не оговоренные в тексте отчета, теряют </w:t>
      </w:r>
      <w:r w:rsidRPr="00E03510">
        <w:rPr>
          <w:rFonts w:asciiTheme="majorHAnsi" w:hAnsiTheme="majorHAnsi"/>
          <w:snapToGrid w:val="0"/>
          <w:spacing w:val="-6"/>
          <w:sz w:val="20"/>
          <w:szCs w:val="20"/>
        </w:rPr>
        <w:t>силу. Обе стороны должны и в дальнейшем соблюдать настоящие условия даже в случае, если право собственности на оцениваемый незастроенный земельный участок, полностью или частично перейдет к другому лицу.</w:t>
      </w:r>
    </w:p>
    <w:p w:rsidR="00904A6A" w:rsidRDefault="00904A6A" w:rsidP="00904A6A">
      <w:pPr>
        <w:spacing w:before="120" w:after="120"/>
        <w:ind w:firstLine="709"/>
        <w:jc w:val="both"/>
        <w:rPr>
          <w:rFonts w:asciiTheme="majorHAnsi" w:hAnsiTheme="majorHAnsi"/>
          <w:snapToGrid w:val="0"/>
          <w:sz w:val="20"/>
          <w:szCs w:val="20"/>
        </w:rPr>
      </w:pPr>
      <w:r w:rsidRPr="00E03510">
        <w:rPr>
          <w:rFonts w:asciiTheme="majorHAnsi" w:hAnsiTheme="majorHAnsi"/>
          <w:snapToGrid w:val="0"/>
          <w:sz w:val="20"/>
          <w:szCs w:val="20"/>
        </w:rPr>
        <w:t xml:space="preserve">Настоящий Отчет составлен в соответствии с допущениями и ограничивающими условиями, установленными заданием на оценку (см. п. </w:t>
      </w:r>
      <w:r w:rsidR="009D3741" w:rsidRPr="00E03510">
        <w:rPr>
          <w:rFonts w:asciiTheme="majorHAnsi" w:hAnsiTheme="majorHAnsi"/>
          <w:snapToGrid w:val="0"/>
          <w:sz w:val="20"/>
          <w:szCs w:val="20"/>
        </w:rPr>
        <w:t>1</w:t>
      </w:r>
      <w:r w:rsidRPr="00E03510">
        <w:rPr>
          <w:rFonts w:asciiTheme="majorHAnsi" w:hAnsiTheme="majorHAnsi"/>
          <w:snapToGrid w:val="0"/>
          <w:sz w:val="20"/>
          <w:szCs w:val="20"/>
        </w:rPr>
        <w:t xml:space="preserve"> настоящего Отчета).</w:t>
      </w:r>
    </w:p>
    <w:p w:rsidR="00E03510" w:rsidRDefault="00E03510" w:rsidP="00904A6A">
      <w:pPr>
        <w:spacing w:before="120" w:after="120"/>
        <w:ind w:firstLine="709"/>
        <w:jc w:val="both"/>
        <w:rPr>
          <w:rFonts w:asciiTheme="majorHAnsi" w:hAnsiTheme="majorHAnsi"/>
          <w:snapToGrid w:val="0"/>
          <w:sz w:val="20"/>
          <w:szCs w:val="20"/>
        </w:rPr>
      </w:pPr>
    </w:p>
    <w:p w:rsidR="00E03510" w:rsidRDefault="00E03510" w:rsidP="00904A6A">
      <w:pPr>
        <w:spacing w:before="120" w:after="120"/>
        <w:ind w:firstLine="709"/>
        <w:jc w:val="both"/>
        <w:rPr>
          <w:rFonts w:asciiTheme="majorHAnsi" w:hAnsiTheme="majorHAnsi"/>
          <w:snapToGrid w:val="0"/>
          <w:sz w:val="20"/>
          <w:szCs w:val="20"/>
        </w:rPr>
      </w:pPr>
    </w:p>
    <w:p w:rsidR="00E03510" w:rsidRDefault="00E03510" w:rsidP="00904A6A">
      <w:pPr>
        <w:spacing w:before="120" w:after="120"/>
        <w:ind w:firstLine="709"/>
        <w:jc w:val="both"/>
        <w:rPr>
          <w:rFonts w:asciiTheme="majorHAnsi" w:hAnsiTheme="majorHAnsi"/>
          <w:snapToGrid w:val="0"/>
          <w:sz w:val="20"/>
          <w:szCs w:val="20"/>
        </w:rPr>
      </w:pPr>
    </w:p>
    <w:p w:rsidR="00E03510" w:rsidRDefault="00E03510" w:rsidP="00904A6A">
      <w:pPr>
        <w:spacing w:before="120" w:after="120"/>
        <w:ind w:firstLine="709"/>
        <w:jc w:val="both"/>
        <w:rPr>
          <w:rFonts w:asciiTheme="majorHAnsi" w:hAnsiTheme="majorHAnsi"/>
          <w:snapToGrid w:val="0"/>
          <w:sz w:val="20"/>
          <w:szCs w:val="20"/>
        </w:rPr>
      </w:pPr>
    </w:p>
    <w:p w:rsidR="00E03510" w:rsidRDefault="00E03510" w:rsidP="00904A6A">
      <w:pPr>
        <w:spacing w:before="120" w:after="120"/>
        <w:ind w:firstLine="709"/>
        <w:jc w:val="both"/>
        <w:rPr>
          <w:rFonts w:asciiTheme="majorHAnsi" w:hAnsiTheme="majorHAnsi"/>
          <w:snapToGrid w:val="0"/>
          <w:sz w:val="20"/>
          <w:szCs w:val="20"/>
        </w:rPr>
      </w:pPr>
    </w:p>
    <w:p w:rsidR="00E03510" w:rsidRPr="00E03510" w:rsidRDefault="00E03510" w:rsidP="00904A6A">
      <w:pPr>
        <w:spacing w:before="120" w:after="120"/>
        <w:ind w:firstLine="709"/>
        <w:jc w:val="both"/>
        <w:rPr>
          <w:rFonts w:asciiTheme="majorHAnsi" w:hAnsiTheme="majorHAnsi"/>
          <w:snapToGrid w:val="0"/>
          <w:sz w:val="20"/>
          <w:szCs w:val="20"/>
        </w:rPr>
      </w:pPr>
    </w:p>
    <w:p w:rsidR="00991118" w:rsidRDefault="00991118" w:rsidP="00904A6A">
      <w:pPr>
        <w:spacing w:before="120" w:after="120"/>
        <w:ind w:firstLine="709"/>
        <w:jc w:val="both"/>
        <w:rPr>
          <w:snapToGrid w:val="0"/>
        </w:rPr>
      </w:pPr>
    </w:p>
    <w:p w:rsidR="00991118" w:rsidRPr="00904A6A" w:rsidRDefault="00991118" w:rsidP="00904A6A">
      <w:pPr>
        <w:spacing w:before="120" w:after="120"/>
        <w:ind w:firstLine="709"/>
        <w:jc w:val="both"/>
        <w:rPr>
          <w:snapToGrid w:val="0"/>
        </w:rPr>
      </w:pPr>
    </w:p>
    <w:p w:rsidR="00C275A4" w:rsidRPr="00E03510" w:rsidRDefault="003262B9" w:rsidP="0090764B">
      <w:pPr>
        <w:pStyle w:val="af3"/>
        <w:numPr>
          <w:ilvl w:val="0"/>
          <w:numId w:val="10"/>
        </w:numPr>
        <w:spacing w:before="100" w:beforeAutospacing="1" w:after="100" w:afterAutospacing="1"/>
        <w:jc w:val="center"/>
        <w:rPr>
          <w:rFonts w:asciiTheme="majorHAnsi" w:eastAsiaTheme="majorEastAsia" w:hAnsiTheme="majorHAnsi" w:cstheme="majorBidi"/>
          <w:b/>
          <w:bCs/>
          <w:smallCaps/>
          <w:sz w:val="20"/>
          <w:szCs w:val="20"/>
          <w:lang w:val="ru-RU"/>
        </w:rPr>
      </w:pPr>
      <w:r w:rsidRPr="00472490">
        <w:rPr>
          <w:rFonts w:eastAsiaTheme="majorEastAsia" w:cstheme="majorBidi"/>
          <w:b/>
          <w:bCs/>
          <w:sz w:val="28"/>
          <w:szCs w:val="28"/>
          <w:lang w:val="ru-RU"/>
        </w:rPr>
        <w:lastRenderedPageBreak/>
        <w:t>Сведения о заказчике оценки и об оценщике.</w:t>
      </w:r>
      <w:bookmarkEnd w:id="11"/>
    </w:p>
    <w:p w:rsidR="00E03510" w:rsidRPr="00E03510" w:rsidRDefault="00E03510" w:rsidP="00E03510">
      <w:pPr>
        <w:pStyle w:val="af3"/>
        <w:spacing w:before="100" w:beforeAutospacing="1" w:after="100" w:afterAutospacing="1"/>
        <w:ind w:left="420" w:firstLine="0"/>
        <w:rPr>
          <w:rFonts w:asciiTheme="majorHAnsi" w:eastAsiaTheme="majorEastAsia" w:hAnsiTheme="majorHAnsi" w:cstheme="majorBidi"/>
          <w:b/>
          <w:bCs/>
          <w:smallCaps/>
          <w:sz w:val="20"/>
          <w:szCs w:val="20"/>
          <w:lang w:val="ru-RU"/>
        </w:rPr>
      </w:pPr>
    </w:p>
    <w:p w:rsidR="00B4381B" w:rsidRPr="00E03510" w:rsidRDefault="00B4381B" w:rsidP="00B4381B">
      <w:pPr>
        <w:pStyle w:val="af3"/>
        <w:spacing w:before="100" w:beforeAutospacing="1" w:after="100" w:afterAutospacing="1"/>
        <w:ind w:left="390" w:firstLine="0"/>
        <w:rPr>
          <w:rFonts w:asciiTheme="majorHAnsi" w:eastAsiaTheme="majorEastAsia" w:hAnsiTheme="majorHAnsi" w:cstheme="majorBidi"/>
          <w:b/>
          <w:bCs/>
          <w:smallCaps/>
          <w:sz w:val="20"/>
          <w:szCs w:val="20"/>
          <w:lang w:val="ru-RU"/>
        </w:rPr>
      </w:pPr>
    </w:p>
    <w:p w:rsidR="000353DC" w:rsidRPr="00AE4DF5" w:rsidRDefault="0093421F" w:rsidP="000353DC">
      <w:pPr>
        <w:pStyle w:val="af3"/>
        <w:keepNext/>
        <w:keepLines/>
        <w:numPr>
          <w:ilvl w:val="1"/>
          <w:numId w:val="10"/>
        </w:numPr>
        <w:outlineLvl w:val="1"/>
        <w:rPr>
          <w:rFonts w:asciiTheme="majorHAnsi" w:eastAsiaTheme="majorEastAsia" w:hAnsiTheme="majorHAnsi" w:cstheme="majorBidi"/>
          <w:b/>
          <w:bCs/>
          <w:sz w:val="20"/>
          <w:szCs w:val="20"/>
        </w:rPr>
      </w:pPr>
      <w:bookmarkStart w:id="20" w:name="_Toc491763285"/>
      <w:r w:rsidRPr="00E03510">
        <w:rPr>
          <w:rFonts w:asciiTheme="majorHAnsi" w:eastAsiaTheme="majorEastAsia" w:hAnsiTheme="majorHAnsi" w:cstheme="majorBidi"/>
          <w:b/>
          <w:bCs/>
          <w:sz w:val="20"/>
          <w:szCs w:val="20"/>
          <w:lang w:val="ru-RU"/>
        </w:rPr>
        <w:t>Сведения о заказчике</w:t>
      </w:r>
      <w:bookmarkEnd w:id="20"/>
      <w:r w:rsidRPr="00E03510">
        <w:rPr>
          <w:rFonts w:asciiTheme="majorHAnsi" w:eastAsiaTheme="majorEastAsia" w:hAnsiTheme="majorHAnsi" w:cstheme="majorBidi"/>
          <w:b/>
          <w:bCs/>
          <w:sz w:val="20"/>
          <w:szCs w:val="20"/>
          <w:lang w:val="ru-RU"/>
        </w:rPr>
        <w:t xml:space="preserve"> </w:t>
      </w:r>
      <w:bookmarkStart w:id="21" w:name="_Toc458381890"/>
    </w:p>
    <w:tbl>
      <w:tblPr>
        <w:tblW w:w="9639" w:type="dxa"/>
        <w:tblInd w:w="392"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827"/>
        <w:gridCol w:w="5812"/>
      </w:tblGrid>
      <w:tr w:rsidR="000353DC" w:rsidRPr="00D267C7" w:rsidTr="000353DC">
        <w:trPr>
          <w:trHeight w:val="20"/>
        </w:trPr>
        <w:tc>
          <w:tcPr>
            <w:tcW w:w="3827" w:type="dxa"/>
            <w:shd w:val="clear" w:color="auto" w:fill="F2F2F2" w:themeFill="background1" w:themeFillShade="F2"/>
            <w:vAlign w:val="center"/>
            <w:hideMark/>
          </w:tcPr>
          <w:p w:rsidR="000353DC" w:rsidRPr="00D267C7" w:rsidRDefault="000353DC" w:rsidP="000353DC">
            <w:pPr>
              <w:jc w:val="center"/>
              <w:rPr>
                <w:rFonts w:asciiTheme="majorHAnsi" w:hAnsiTheme="majorHAnsi"/>
                <w:b/>
                <w:color w:val="000000"/>
                <w:sz w:val="20"/>
                <w:szCs w:val="20"/>
              </w:rPr>
            </w:pPr>
            <w:r w:rsidRPr="00AE4DF5">
              <w:rPr>
                <w:rFonts w:asciiTheme="majorHAnsi" w:hAnsiTheme="majorHAnsi"/>
                <w:b/>
                <w:color w:val="000000"/>
                <w:sz w:val="20"/>
                <w:szCs w:val="20"/>
              </w:rPr>
              <w:t xml:space="preserve">Фамилия, имя, отчество </w:t>
            </w:r>
            <w:r>
              <w:rPr>
                <w:rFonts w:asciiTheme="majorHAnsi" w:hAnsiTheme="majorHAnsi"/>
                <w:b/>
                <w:color w:val="000000"/>
                <w:sz w:val="20"/>
                <w:szCs w:val="20"/>
              </w:rPr>
              <w:t>Заказчика</w:t>
            </w:r>
          </w:p>
        </w:tc>
        <w:tc>
          <w:tcPr>
            <w:tcW w:w="5812" w:type="dxa"/>
            <w:shd w:val="clear" w:color="auto" w:fill="auto"/>
            <w:vAlign w:val="center"/>
            <w:hideMark/>
          </w:tcPr>
          <w:p w:rsidR="000353DC" w:rsidRPr="00D267C7" w:rsidRDefault="004F632A" w:rsidP="00B2010D">
            <w:pPr>
              <w:jc w:val="center"/>
              <w:rPr>
                <w:rFonts w:asciiTheme="majorHAnsi" w:hAnsiTheme="majorHAnsi"/>
                <w:color w:val="000000"/>
                <w:sz w:val="20"/>
                <w:szCs w:val="20"/>
              </w:rPr>
            </w:pPr>
            <w:r w:rsidRPr="004F632A">
              <w:rPr>
                <w:rFonts w:asciiTheme="majorHAnsi" w:eastAsiaTheme="minorHAnsi" w:hAnsiTheme="majorHAnsi"/>
                <w:sz w:val="20"/>
                <w:szCs w:val="20"/>
                <w:lang w:eastAsia="en-US"/>
              </w:rPr>
              <w:t>Лаута Игорь Викторович</w:t>
            </w:r>
          </w:p>
        </w:tc>
      </w:tr>
      <w:tr w:rsidR="000353DC" w:rsidRPr="00D267C7" w:rsidTr="000353DC">
        <w:trPr>
          <w:trHeight w:val="20"/>
        </w:trPr>
        <w:tc>
          <w:tcPr>
            <w:tcW w:w="3827" w:type="dxa"/>
            <w:shd w:val="clear" w:color="auto" w:fill="F2F2F2" w:themeFill="background1" w:themeFillShade="F2"/>
            <w:vAlign w:val="center"/>
            <w:hideMark/>
          </w:tcPr>
          <w:p w:rsidR="000353DC" w:rsidRPr="00D267C7" w:rsidRDefault="000353DC" w:rsidP="000353DC">
            <w:pPr>
              <w:jc w:val="center"/>
              <w:rPr>
                <w:rFonts w:asciiTheme="majorHAnsi" w:eastAsiaTheme="minorHAnsi" w:hAnsiTheme="majorHAnsi" w:cstheme="minorBidi"/>
                <w:b/>
                <w:sz w:val="20"/>
                <w:szCs w:val="20"/>
                <w:lang w:eastAsia="en-US"/>
              </w:rPr>
            </w:pPr>
            <w:r>
              <w:rPr>
                <w:rFonts w:asciiTheme="majorHAnsi" w:eastAsiaTheme="minorHAnsi" w:hAnsiTheme="majorHAnsi" w:cstheme="minorBidi"/>
                <w:b/>
                <w:sz w:val="20"/>
                <w:szCs w:val="20"/>
                <w:lang w:eastAsia="en-US"/>
              </w:rPr>
              <w:t>ИНН</w:t>
            </w:r>
          </w:p>
        </w:tc>
        <w:tc>
          <w:tcPr>
            <w:tcW w:w="5812" w:type="dxa"/>
            <w:shd w:val="clear" w:color="auto" w:fill="auto"/>
            <w:vAlign w:val="center"/>
            <w:hideMark/>
          </w:tcPr>
          <w:p w:rsidR="000353DC" w:rsidRPr="00D267C7" w:rsidRDefault="000353DC" w:rsidP="000353DC">
            <w:pPr>
              <w:jc w:val="center"/>
              <w:rPr>
                <w:rFonts w:asciiTheme="majorHAnsi" w:hAnsiTheme="majorHAnsi"/>
                <w:color w:val="000000"/>
                <w:sz w:val="20"/>
                <w:szCs w:val="20"/>
              </w:rPr>
            </w:pPr>
            <w:r w:rsidRPr="00D267C7">
              <w:rPr>
                <w:rFonts w:asciiTheme="majorHAnsi" w:hAnsiTheme="majorHAnsi"/>
                <w:color w:val="000000"/>
                <w:sz w:val="20"/>
                <w:szCs w:val="20"/>
              </w:rPr>
              <w:t xml:space="preserve">ИНН </w:t>
            </w:r>
            <w:r w:rsidRPr="007E57C1">
              <w:rPr>
                <w:rFonts w:asciiTheme="majorHAnsi" w:hAnsiTheme="majorHAnsi"/>
                <w:color w:val="000000"/>
                <w:sz w:val="20"/>
                <w:szCs w:val="20"/>
              </w:rPr>
              <w:t>463000463557</w:t>
            </w:r>
          </w:p>
        </w:tc>
      </w:tr>
      <w:tr w:rsidR="000353DC" w:rsidRPr="00D267C7" w:rsidTr="000353DC">
        <w:trPr>
          <w:trHeight w:val="20"/>
        </w:trPr>
        <w:tc>
          <w:tcPr>
            <w:tcW w:w="3827" w:type="dxa"/>
            <w:shd w:val="clear" w:color="auto" w:fill="F2F2F2" w:themeFill="background1" w:themeFillShade="F2"/>
            <w:vAlign w:val="center"/>
            <w:hideMark/>
          </w:tcPr>
          <w:p w:rsidR="000353DC" w:rsidRPr="00D267C7" w:rsidRDefault="00B2010D" w:rsidP="000353DC">
            <w:pPr>
              <w:jc w:val="center"/>
              <w:rPr>
                <w:rFonts w:asciiTheme="majorHAnsi" w:eastAsiaTheme="minorHAnsi" w:hAnsiTheme="majorHAnsi" w:cstheme="minorBidi"/>
                <w:b/>
                <w:sz w:val="20"/>
                <w:szCs w:val="20"/>
                <w:lang w:eastAsia="en-US"/>
              </w:rPr>
            </w:pPr>
            <w:r w:rsidRPr="00B2010D">
              <w:rPr>
                <w:rFonts w:asciiTheme="majorHAnsi" w:eastAsiaTheme="minorHAnsi" w:hAnsiTheme="majorHAnsi" w:cstheme="minorBidi"/>
                <w:b/>
                <w:sz w:val="20"/>
                <w:szCs w:val="20"/>
                <w:lang w:eastAsia="en-US"/>
              </w:rPr>
              <w:t>Место нахождения</w:t>
            </w:r>
            <w:r>
              <w:rPr>
                <w:rFonts w:asciiTheme="majorHAnsi" w:eastAsiaTheme="minorHAnsi" w:hAnsiTheme="majorHAnsi" w:cstheme="minorBidi"/>
                <w:b/>
                <w:sz w:val="20"/>
                <w:szCs w:val="20"/>
                <w:lang w:eastAsia="en-US"/>
              </w:rPr>
              <w:t xml:space="preserve"> </w:t>
            </w:r>
            <w:r w:rsidRPr="00B2010D">
              <w:rPr>
                <w:rFonts w:asciiTheme="majorHAnsi" w:eastAsiaTheme="minorHAnsi" w:hAnsiTheme="majorHAnsi" w:cstheme="minorBidi"/>
                <w:b/>
                <w:sz w:val="20"/>
                <w:szCs w:val="20"/>
                <w:lang w:eastAsia="en-US"/>
              </w:rPr>
              <w:t>Заказчика</w:t>
            </w:r>
          </w:p>
        </w:tc>
        <w:tc>
          <w:tcPr>
            <w:tcW w:w="5812" w:type="dxa"/>
            <w:shd w:val="clear" w:color="auto" w:fill="auto"/>
            <w:vAlign w:val="center"/>
            <w:hideMark/>
          </w:tcPr>
          <w:p w:rsidR="00B2010D" w:rsidRDefault="00B2010D" w:rsidP="00B2010D">
            <w:pPr>
              <w:jc w:val="center"/>
              <w:rPr>
                <w:rFonts w:asciiTheme="majorHAnsi" w:eastAsiaTheme="minorHAnsi" w:hAnsiTheme="majorHAnsi"/>
                <w:sz w:val="20"/>
                <w:szCs w:val="20"/>
                <w:lang w:eastAsia="en-US"/>
              </w:rPr>
            </w:pPr>
            <w:r w:rsidRPr="00B2010D">
              <w:rPr>
                <w:rFonts w:asciiTheme="majorHAnsi" w:eastAsiaTheme="minorHAnsi" w:hAnsiTheme="majorHAnsi"/>
                <w:sz w:val="20"/>
                <w:szCs w:val="20"/>
                <w:lang w:eastAsia="en-US"/>
              </w:rPr>
              <w:t>308000,</w:t>
            </w:r>
          </w:p>
          <w:p w:rsidR="000353DC" w:rsidRPr="00D267C7" w:rsidRDefault="00B2010D" w:rsidP="00B2010D">
            <w:pPr>
              <w:jc w:val="center"/>
              <w:rPr>
                <w:rFonts w:asciiTheme="majorHAnsi" w:eastAsiaTheme="minorHAnsi" w:hAnsiTheme="majorHAnsi"/>
                <w:sz w:val="20"/>
                <w:szCs w:val="20"/>
                <w:lang w:eastAsia="en-US"/>
              </w:rPr>
            </w:pPr>
            <w:r>
              <w:rPr>
                <w:rFonts w:asciiTheme="majorHAnsi" w:eastAsiaTheme="minorHAnsi" w:hAnsiTheme="majorHAnsi"/>
                <w:sz w:val="20"/>
                <w:szCs w:val="20"/>
                <w:lang w:eastAsia="en-US"/>
              </w:rPr>
              <w:t xml:space="preserve"> г. </w:t>
            </w:r>
            <w:r w:rsidRPr="00B2010D">
              <w:rPr>
                <w:rFonts w:asciiTheme="majorHAnsi" w:eastAsiaTheme="minorHAnsi" w:hAnsiTheme="majorHAnsi"/>
                <w:sz w:val="20"/>
                <w:szCs w:val="20"/>
                <w:lang w:eastAsia="en-US"/>
              </w:rPr>
              <w:t>Белгород, ул. Конева, д. 1, кв. 172</w:t>
            </w:r>
          </w:p>
        </w:tc>
      </w:tr>
    </w:tbl>
    <w:p w:rsidR="00601157" w:rsidRPr="00601157" w:rsidRDefault="00472490" w:rsidP="00601157">
      <w:pPr>
        <w:pStyle w:val="af3"/>
        <w:keepNext/>
        <w:keepLines/>
        <w:numPr>
          <w:ilvl w:val="1"/>
          <w:numId w:val="35"/>
        </w:numPr>
        <w:outlineLvl w:val="1"/>
        <w:rPr>
          <w:rFonts w:asciiTheme="majorHAnsi" w:hAnsiTheme="majorHAnsi" w:cstheme="majorBidi"/>
          <w:b/>
          <w:bCs/>
          <w:sz w:val="20"/>
          <w:szCs w:val="20"/>
          <w:lang w:val="ru-RU"/>
        </w:rPr>
      </w:pPr>
      <w:bookmarkStart w:id="22" w:name="_Toc491763286"/>
      <w:r w:rsidRPr="00E03510">
        <w:rPr>
          <w:rFonts w:asciiTheme="majorHAnsi" w:eastAsiaTheme="majorEastAsia" w:hAnsiTheme="majorHAnsi" w:cstheme="majorBidi"/>
          <w:b/>
          <w:bCs/>
          <w:sz w:val="20"/>
          <w:szCs w:val="20"/>
          <w:lang w:val="ru-RU"/>
        </w:rPr>
        <w:t>С</w:t>
      </w:r>
      <w:r w:rsidR="0093421F" w:rsidRPr="00E03510">
        <w:rPr>
          <w:rFonts w:asciiTheme="majorHAnsi" w:eastAsiaTheme="majorEastAsia" w:hAnsiTheme="majorHAnsi" w:cstheme="majorBidi"/>
          <w:b/>
          <w:bCs/>
          <w:sz w:val="20"/>
          <w:szCs w:val="20"/>
          <w:lang w:val="ru-RU"/>
        </w:rPr>
        <w:t>ведения об оценщике</w:t>
      </w:r>
      <w:bookmarkEnd w:id="21"/>
      <w:r w:rsidR="0093421F" w:rsidRPr="00E03510">
        <w:rPr>
          <w:rFonts w:asciiTheme="majorHAnsi" w:eastAsiaTheme="majorEastAsia" w:hAnsiTheme="majorHAnsi" w:cstheme="majorBidi"/>
          <w:b/>
          <w:bCs/>
          <w:sz w:val="20"/>
          <w:szCs w:val="20"/>
          <w:lang w:val="ru-RU"/>
        </w:rPr>
        <w:t xml:space="preserve"> </w:t>
      </w:r>
      <w:bookmarkStart w:id="23" w:name="_Toc486227692"/>
      <w:bookmarkStart w:id="24" w:name="_Toc489031693"/>
      <w:r w:rsidR="00601157" w:rsidRPr="00601157">
        <w:rPr>
          <w:rFonts w:asciiTheme="majorHAnsi" w:hAnsiTheme="majorHAnsi" w:cstheme="majorBidi"/>
          <w:b/>
          <w:bCs/>
          <w:sz w:val="20"/>
          <w:szCs w:val="20"/>
          <w:lang w:val="ru-RU"/>
        </w:rPr>
        <w:t>Сведения об оценщике</w:t>
      </w:r>
      <w:bookmarkEnd w:id="22"/>
      <w:bookmarkEnd w:id="23"/>
      <w:bookmarkEnd w:id="24"/>
      <w:r w:rsidR="00601157" w:rsidRPr="00601157">
        <w:rPr>
          <w:rFonts w:asciiTheme="majorHAnsi" w:hAnsiTheme="majorHAnsi" w:cstheme="majorBidi"/>
          <w:b/>
          <w:bCs/>
          <w:sz w:val="20"/>
          <w:szCs w:val="20"/>
          <w:lang w:val="ru-RU"/>
        </w:rPr>
        <w:t xml:space="preserve"> </w:t>
      </w:r>
      <w:bookmarkStart w:id="25" w:name="_Toc452380131"/>
      <w:bookmarkStart w:id="26" w:name="_Toc458381891"/>
      <w:bookmarkStart w:id="27" w:name="_Toc486227693"/>
    </w:p>
    <w:tbl>
      <w:tblPr>
        <w:tblW w:w="9639" w:type="dxa"/>
        <w:tblInd w:w="392" w:type="dxa"/>
        <w:tblBorders>
          <w:top w:val="double" w:sz="6" w:space="0" w:color="auto"/>
          <w:left w:val="double" w:sz="6" w:space="0" w:color="auto"/>
          <w:bottom w:val="double" w:sz="6" w:space="0" w:color="auto"/>
          <w:right w:val="double" w:sz="6" w:space="0" w:color="auto"/>
          <w:insideH w:val="single" w:sz="4" w:space="0" w:color="auto"/>
          <w:insideV w:val="single" w:sz="4" w:space="0" w:color="auto"/>
        </w:tblBorders>
        <w:tblLook w:val="04A0" w:firstRow="1" w:lastRow="0" w:firstColumn="1" w:lastColumn="0" w:noHBand="0" w:noVBand="1"/>
      </w:tblPr>
      <w:tblGrid>
        <w:gridCol w:w="3827"/>
        <w:gridCol w:w="5812"/>
      </w:tblGrid>
      <w:tr w:rsidR="00601157" w:rsidRPr="00601157" w:rsidTr="00946077">
        <w:trPr>
          <w:trHeight w:val="20"/>
        </w:trPr>
        <w:tc>
          <w:tcPr>
            <w:tcW w:w="3827" w:type="dxa"/>
            <w:shd w:val="clear" w:color="auto" w:fill="F2F2F2" w:themeFill="background1" w:themeFillShade="F2"/>
            <w:vAlign w:val="center"/>
            <w:hideMark/>
          </w:tcPr>
          <w:p w:rsidR="00601157" w:rsidRPr="00601157" w:rsidRDefault="00601157" w:rsidP="00601157">
            <w:pPr>
              <w:spacing w:line="276" w:lineRule="auto"/>
              <w:jc w:val="center"/>
              <w:rPr>
                <w:rFonts w:asciiTheme="majorHAnsi" w:hAnsiTheme="majorHAnsi"/>
                <w:b/>
                <w:color w:val="000000"/>
                <w:sz w:val="20"/>
                <w:szCs w:val="20"/>
              </w:rPr>
            </w:pPr>
            <w:r w:rsidRPr="00601157">
              <w:rPr>
                <w:rFonts w:asciiTheme="majorHAnsi" w:hAnsiTheme="majorHAnsi"/>
                <w:b/>
                <w:color w:val="000000"/>
                <w:sz w:val="20"/>
                <w:szCs w:val="20"/>
              </w:rPr>
              <w:t>Фамилия, имя, отчество оценщика</w:t>
            </w:r>
          </w:p>
        </w:tc>
        <w:tc>
          <w:tcPr>
            <w:tcW w:w="5812" w:type="dxa"/>
            <w:noWrap/>
            <w:vAlign w:val="center"/>
            <w:hideMark/>
          </w:tcPr>
          <w:p w:rsidR="00601157" w:rsidRPr="00601157" w:rsidRDefault="00601157" w:rsidP="00601157">
            <w:pPr>
              <w:spacing w:line="276" w:lineRule="auto"/>
              <w:jc w:val="center"/>
              <w:rPr>
                <w:rFonts w:asciiTheme="majorHAnsi" w:hAnsiTheme="majorHAnsi"/>
                <w:color w:val="000000"/>
                <w:sz w:val="20"/>
                <w:szCs w:val="20"/>
              </w:rPr>
            </w:pPr>
            <w:r w:rsidRPr="00601157">
              <w:rPr>
                <w:rFonts w:asciiTheme="majorHAnsi" w:hAnsiTheme="majorHAnsi"/>
                <w:color w:val="000000"/>
                <w:sz w:val="20"/>
                <w:szCs w:val="20"/>
              </w:rPr>
              <w:t>Аникин Олег Николаевич</w:t>
            </w:r>
          </w:p>
        </w:tc>
      </w:tr>
      <w:tr w:rsidR="00601157" w:rsidRPr="00601157" w:rsidTr="00946077">
        <w:trPr>
          <w:trHeight w:val="20"/>
        </w:trPr>
        <w:tc>
          <w:tcPr>
            <w:tcW w:w="3827" w:type="dxa"/>
            <w:shd w:val="clear" w:color="auto" w:fill="F2F2F2" w:themeFill="background1" w:themeFillShade="F2"/>
            <w:vAlign w:val="center"/>
            <w:hideMark/>
          </w:tcPr>
          <w:p w:rsidR="00601157" w:rsidRPr="00601157" w:rsidRDefault="00601157" w:rsidP="00601157">
            <w:pPr>
              <w:spacing w:line="276" w:lineRule="auto"/>
              <w:jc w:val="center"/>
              <w:rPr>
                <w:rFonts w:asciiTheme="majorHAnsi" w:hAnsiTheme="majorHAnsi"/>
                <w:b/>
                <w:color w:val="000000"/>
                <w:sz w:val="20"/>
                <w:szCs w:val="20"/>
              </w:rPr>
            </w:pPr>
            <w:r w:rsidRPr="00601157">
              <w:rPr>
                <w:rFonts w:asciiTheme="majorHAnsi" w:hAnsiTheme="majorHAnsi"/>
                <w:b/>
                <w:color w:val="000000"/>
                <w:sz w:val="20"/>
                <w:szCs w:val="20"/>
              </w:rPr>
              <w:t>Место нахождения оценщика</w:t>
            </w:r>
          </w:p>
        </w:tc>
        <w:tc>
          <w:tcPr>
            <w:tcW w:w="5812" w:type="dxa"/>
            <w:noWrap/>
            <w:vAlign w:val="center"/>
            <w:hideMark/>
          </w:tcPr>
          <w:p w:rsidR="00601157" w:rsidRPr="00601157" w:rsidRDefault="00601157" w:rsidP="00601157">
            <w:pPr>
              <w:spacing w:line="276" w:lineRule="auto"/>
              <w:jc w:val="center"/>
              <w:rPr>
                <w:rFonts w:asciiTheme="majorHAnsi" w:hAnsiTheme="majorHAnsi"/>
                <w:color w:val="000000"/>
                <w:sz w:val="20"/>
                <w:szCs w:val="20"/>
              </w:rPr>
            </w:pPr>
            <w:r w:rsidRPr="00601157">
              <w:rPr>
                <w:rFonts w:asciiTheme="majorHAnsi" w:hAnsiTheme="majorHAnsi"/>
                <w:color w:val="000000"/>
                <w:sz w:val="20"/>
                <w:szCs w:val="20"/>
              </w:rPr>
              <w:t>г. Воронеж, ул. Мопра, д. 18 Б, кв. 96</w:t>
            </w:r>
          </w:p>
        </w:tc>
      </w:tr>
      <w:tr w:rsidR="00601157" w:rsidRPr="00601157" w:rsidTr="00946077">
        <w:trPr>
          <w:trHeight w:val="20"/>
        </w:trPr>
        <w:tc>
          <w:tcPr>
            <w:tcW w:w="3827" w:type="dxa"/>
            <w:shd w:val="clear" w:color="auto" w:fill="F2F2F2" w:themeFill="background1" w:themeFillShade="F2"/>
            <w:vAlign w:val="center"/>
            <w:hideMark/>
          </w:tcPr>
          <w:p w:rsidR="00601157" w:rsidRPr="00601157" w:rsidRDefault="00601157" w:rsidP="00601157">
            <w:pPr>
              <w:spacing w:line="276" w:lineRule="auto"/>
              <w:jc w:val="center"/>
              <w:rPr>
                <w:rFonts w:asciiTheme="majorHAnsi" w:hAnsiTheme="majorHAnsi"/>
                <w:b/>
                <w:color w:val="000000"/>
                <w:sz w:val="20"/>
                <w:szCs w:val="20"/>
              </w:rPr>
            </w:pPr>
            <w:r w:rsidRPr="00601157">
              <w:rPr>
                <w:rFonts w:asciiTheme="majorHAnsi" w:hAnsiTheme="majorHAnsi"/>
                <w:b/>
                <w:color w:val="000000"/>
                <w:sz w:val="20"/>
                <w:szCs w:val="20"/>
              </w:rPr>
              <w:t>Информация о членстве в саморегулируемой организации оценщиков</w:t>
            </w:r>
          </w:p>
        </w:tc>
        <w:tc>
          <w:tcPr>
            <w:tcW w:w="5812" w:type="dxa"/>
            <w:vAlign w:val="center"/>
            <w:hideMark/>
          </w:tcPr>
          <w:p w:rsidR="00601157" w:rsidRPr="00601157" w:rsidRDefault="00601157" w:rsidP="00601157">
            <w:pPr>
              <w:jc w:val="center"/>
              <w:rPr>
                <w:rFonts w:asciiTheme="majorHAnsi" w:hAnsiTheme="majorHAnsi"/>
                <w:color w:val="000000"/>
                <w:sz w:val="20"/>
                <w:szCs w:val="20"/>
                <w:highlight w:val="yellow"/>
              </w:rPr>
            </w:pPr>
            <w:r w:rsidRPr="00601157">
              <w:rPr>
                <w:rFonts w:asciiTheme="majorHAnsi" w:hAnsiTheme="majorHAnsi"/>
                <w:sz w:val="20"/>
                <w:szCs w:val="20"/>
              </w:rPr>
              <w:t>Член межрегиональной саморегулируемой некоммерческой организации – Ассоциация СРО «Межрегиональный союз  оценщиков» (свидетельство № 1355 от 22 июня 2016 года)</w:t>
            </w:r>
          </w:p>
        </w:tc>
      </w:tr>
      <w:tr w:rsidR="00601157" w:rsidRPr="00601157" w:rsidTr="00946077">
        <w:trPr>
          <w:trHeight w:val="20"/>
        </w:trPr>
        <w:tc>
          <w:tcPr>
            <w:tcW w:w="3827" w:type="dxa"/>
            <w:shd w:val="clear" w:color="auto" w:fill="F2F2F2" w:themeFill="background1" w:themeFillShade="F2"/>
            <w:vAlign w:val="center"/>
            <w:hideMark/>
          </w:tcPr>
          <w:p w:rsidR="00601157" w:rsidRPr="00601157" w:rsidRDefault="00601157" w:rsidP="00601157">
            <w:pPr>
              <w:spacing w:line="276" w:lineRule="auto"/>
              <w:jc w:val="center"/>
              <w:rPr>
                <w:rFonts w:asciiTheme="majorHAnsi" w:hAnsiTheme="majorHAnsi"/>
                <w:b/>
                <w:color w:val="000000"/>
                <w:sz w:val="20"/>
                <w:szCs w:val="20"/>
              </w:rPr>
            </w:pPr>
            <w:r w:rsidRPr="00601157">
              <w:rPr>
                <w:rFonts w:asciiTheme="majorHAnsi" w:hAnsiTheme="majorHAnsi"/>
                <w:b/>
                <w:color w:val="000000"/>
                <w:sz w:val="20"/>
                <w:szCs w:val="20"/>
              </w:rPr>
              <w:t>Номер и дата выдачи документа, подтверждающего получение профессиональных знаний в области оценочной деятельности</w:t>
            </w:r>
          </w:p>
        </w:tc>
        <w:tc>
          <w:tcPr>
            <w:tcW w:w="5812" w:type="dxa"/>
            <w:vAlign w:val="center"/>
            <w:hideMark/>
          </w:tcPr>
          <w:p w:rsidR="00601157" w:rsidRPr="00601157" w:rsidRDefault="00601157" w:rsidP="00601157">
            <w:pPr>
              <w:jc w:val="center"/>
              <w:rPr>
                <w:rFonts w:asciiTheme="majorHAnsi" w:hAnsiTheme="majorHAnsi"/>
                <w:color w:val="000000"/>
                <w:sz w:val="20"/>
                <w:szCs w:val="20"/>
                <w:highlight w:val="yellow"/>
              </w:rPr>
            </w:pPr>
            <w:r w:rsidRPr="00601157">
              <w:rPr>
                <w:rFonts w:asciiTheme="majorHAnsi" w:hAnsiTheme="majorHAnsi"/>
                <w:sz w:val="20"/>
                <w:szCs w:val="20"/>
              </w:rPr>
              <w:t>Диплом № 362403079711, выдан 19 апреля 2016 года АНОО Региональным Банковским учебным центром</w:t>
            </w:r>
          </w:p>
        </w:tc>
      </w:tr>
      <w:tr w:rsidR="00601157" w:rsidRPr="00601157" w:rsidTr="00946077">
        <w:trPr>
          <w:trHeight w:val="20"/>
        </w:trPr>
        <w:tc>
          <w:tcPr>
            <w:tcW w:w="3827" w:type="dxa"/>
            <w:shd w:val="clear" w:color="auto" w:fill="F2F2F2" w:themeFill="background1" w:themeFillShade="F2"/>
            <w:vAlign w:val="center"/>
            <w:hideMark/>
          </w:tcPr>
          <w:p w:rsidR="00601157" w:rsidRPr="00601157" w:rsidRDefault="00601157" w:rsidP="00601157">
            <w:pPr>
              <w:spacing w:line="276" w:lineRule="auto"/>
              <w:jc w:val="center"/>
              <w:rPr>
                <w:rFonts w:asciiTheme="majorHAnsi" w:hAnsiTheme="majorHAnsi"/>
                <w:b/>
                <w:color w:val="000000"/>
                <w:sz w:val="20"/>
                <w:szCs w:val="20"/>
              </w:rPr>
            </w:pPr>
            <w:r w:rsidRPr="00601157">
              <w:rPr>
                <w:rFonts w:asciiTheme="majorHAnsi" w:hAnsiTheme="majorHAnsi"/>
                <w:b/>
                <w:color w:val="000000"/>
                <w:sz w:val="20"/>
                <w:szCs w:val="20"/>
              </w:rPr>
              <w:t>Сведения о страховании гражданской ответственности оценщика</w:t>
            </w:r>
          </w:p>
        </w:tc>
        <w:tc>
          <w:tcPr>
            <w:tcW w:w="5812" w:type="dxa"/>
            <w:vAlign w:val="center"/>
            <w:hideMark/>
          </w:tcPr>
          <w:p w:rsidR="00601157" w:rsidRPr="00601157" w:rsidRDefault="00601157" w:rsidP="00601157">
            <w:pPr>
              <w:spacing w:line="276" w:lineRule="auto"/>
              <w:jc w:val="center"/>
              <w:rPr>
                <w:rFonts w:asciiTheme="majorHAnsi" w:hAnsiTheme="majorHAnsi"/>
                <w:color w:val="000000"/>
                <w:sz w:val="20"/>
                <w:szCs w:val="20"/>
              </w:rPr>
            </w:pPr>
            <w:r w:rsidRPr="00601157">
              <w:rPr>
                <w:rFonts w:asciiTheme="majorHAnsi" w:eastAsiaTheme="minorHAnsi" w:hAnsiTheme="majorHAnsi" w:cstheme="minorBidi"/>
                <w:sz w:val="20"/>
                <w:szCs w:val="20"/>
                <w:lang w:eastAsia="en-US"/>
              </w:rPr>
              <w:t>Страховой полис № 134Д17-251-006 от 26.05.2017 г., выдан ПАО СК «Росгосстрах», сроком действия с 27.05.2017 г. по 26.05.2018 г.</w:t>
            </w:r>
          </w:p>
        </w:tc>
      </w:tr>
      <w:tr w:rsidR="00601157" w:rsidRPr="00601157" w:rsidTr="00946077">
        <w:trPr>
          <w:trHeight w:val="20"/>
        </w:trPr>
        <w:tc>
          <w:tcPr>
            <w:tcW w:w="3827" w:type="dxa"/>
            <w:shd w:val="clear" w:color="auto" w:fill="F2F2F2" w:themeFill="background1" w:themeFillShade="F2"/>
            <w:vAlign w:val="center"/>
            <w:hideMark/>
          </w:tcPr>
          <w:p w:rsidR="00601157" w:rsidRPr="00601157" w:rsidRDefault="00601157" w:rsidP="00601157">
            <w:pPr>
              <w:spacing w:line="276" w:lineRule="auto"/>
              <w:jc w:val="center"/>
              <w:rPr>
                <w:rFonts w:asciiTheme="majorHAnsi" w:hAnsiTheme="majorHAnsi"/>
                <w:b/>
                <w:color w:val="000000"/>
                <w:sz w:val="20"/>
                <w:szCs w:val="20"/>
              </w:rPr>
            </w:pPr>
            <w:r w:rsidRPr="00601157">
              <w:rPr>
                <w:rFonts w:asciiTheme="majorHAnsi" w:hAnsiTheme="majorHAnsi"/>
                <w:b/>
                <w:color w:val="000000"/>
                <w:sz w:val="20"/>
                <w:szCs w:val="20"/>
              </w:rPr>
              <w:t>Стаж работы в оценочной деятельности</w:t>
            </w:r>
          </w:p>
        </w:tc>
        <w:tc>
          <w:tcPr>
            <w:tcW w:w="5812" w:type="dxa"/>
            <w:vAlign w:val="center"/>
            <w:hideMark/>
          </w:tcPr>
          <w:p w:rsidR="00601157" w:rsidRPr="00601157" w:rsidRDefault="00601157" w:rsidP="00601157">
            <w:pPr>
              <w:spacing w:line="276" w:lineRule="auto"/>
              <w:jc w:val="center"/>
              <w:rPr>
                <w:rFonts w:asciiTheme="majorHAnsi" w:hAnsiTheme="majorHAnsi"/>
                <w:color w:val="000000"/>
                <w:sz w:val="20"/>
                <w:szCs w:val="20"/>
              </w:rPr>
            </w:pPr>
            <w:r w:rsidRPr="00601157">
              <w:rPr>
                <w:rFonts w:asciiTheme="majorHAnsi" w:hAnsiTheme="majorHAnsi"/>
                <w:color w:val="000000"/>
                <w:sz w:val="20"/>
                <w:szCs w:val="20"/>
              </w:rPr>
              <w:t>С июня 2016 года</w:t>
            </w:r>
          </w:p>
        </w:tc>
      </w:tr>
    </w:tbl>
    <w:p w:rsidR="00601157" w:rsidRDefault="00601157" w:rsidP="00601157">
      <w:pPr>
        <w:keepNext/>
        <w:keepLines/>
        <w:spacing w:before="120" w:after="120"/>
        <w:ind w:left="720"/>
        <w:contextualSpacing/>
        <w:jc w:val="both"/>
        <w:outlineLvl w:val="1"/>
        <w:rPr>
          <w:rFonts w:asciiTheme="majorHAnsi" w:eastAsiaTheme="majorEastAsia" w:hAnsiTheme="majorHAnsi" w:cstheme="majorBidi"/>
          <w:b/>
          <w:bCs/>
          <w:sz w:val="20"/>
          <w:szCs w:val="20"/>
          <w:lang w:bidi="en-US"/>
        </w:rPr>
      </w:pPr>
      <w:bookmarkStart w:id="28" w:name="_Toc489031694"/>
    </w:p>
    <w:p w:rsidR="00601157" w:rsidRDefault="00601157" w:rsidP="00601157">
      <w:pPr>
        <w:keepNext/>
        <w:keepLines/>
        <w:numPr>
          <w:ilvl w:val="1"/>
          <w:numId w:val="35"/>
        </w:numPr>
        <w:spacing w:before="120" w:after="120"/>
        <w:contextualSpacing/>
        <w:jc w:val="both"/>
        <w:outlineLvl w:val="1"/>
        <w:rPr>
          <w:rFonts w:asciiTheme="majorHAnsi" w:eastAsiaTheme="majorEastAsia" w:hAnsiTheme="majorHAnsi" w:cstheme="majorBidi"/>
          <w:b/>
          <w:bCs/>
          <w:sz w:val="20"/>
          <w:szCs w:val="20"/>
          <w:lang w:bidi="en-US"/>
        </w:rPr>
      </w:pPr>
      <w:bookmarkStart w:id="29" w:name="_Toc491763287"/>
      <w:r w:rsidRPr="00601157">
        <w:rPr>
          <w:rFonts w:asciiTheme="majorHAnsi" w:eastAsiaTheme="majorEastAsia" w:hAnsiTheme="majorHAnsi" w:cstheme="majorBidi"/>
          <w:b/>
          <w:bCs/>
          <w:sz w:val="20"/>
          <w:szCs w:val="20"/>
          <w:lang w:bidi="en-US"/>
        </w:rPr>
        <w:t>Сведения о юридическом лице, с которым оценщик заключил трудовой договор</w:t>
      </w:r>
      <w:bookmarkEnd w:id="25"/>
      <w:bookmarkEnd w:id="26"/>
      <w:bookmarkEnd w:id="27"/>
      <w:bookmarkEnd w:id="28"/>
      <w:bookmarkEnd w:id="29"/>
    </w:p>
    <w:p w:rsidR="00601157" w:rsidRPr="00601157" w:rsidRDefault="00601157" w:rsidP="00601157">
      <w:pPr>
        <w:keepNext/>
        <w:keepLines/>
        <w:spacing w:before="120" w:after="120"/>
        <w:ind w:left="720"/>
        <w:contextualSpacing/>
        <w:jc w:val="both"/>
        <w:outlineLvl w:val="1"/>
        <w:rPr>
          <w:rFonts w:asciiTheme="majorHAnsi" w:eastAsiaTheme="majorEastAsia" w:hAnsiTheme="majorHAnsi" w:cstheme="majorBidi"/>
          <w:b/>
          <w:bCs/>
          <w:sz w:val="20"/>
          <w:szCs w:val="20"/>
          <w:lang w:bidi="en-US"/>
        </w:rPr>
      </w:pPr>
    </w:p>
    <w:tbl>
      <w:tblPr>
        <w:tblW w:w="9690"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A0" w:firstRow="1" w:lastRow="0" w:firstColumn="1" w:lastColumn="0" w:noHBand="0" w:noVBand="0"/>
      </w:tblPr>
      <w:tblGrid>
        <w:gridCol w:w="3827"/>
        <w:gridCol w:w="5863"/>
      </w:tblGrid>
      <w:tr w:rsidR="00601157" w:rsidRPr="00601157" w:rsidTr="00946077">
        <w:trPr>
          <w:trHeight w:val="19"/>
          <w:jc w:val="center"/>
        </w:trPr>
        <w:tc>
          <w:tcPr>
            <w:tcW w:w="3827" w:type="dxa"/>
            <w:shd w:val="clear" w:color="auto" w:fill="F2F2F2"/>
            <w:vAlign w:val="center"/>
            <w:hideMark/>
          </w:tcPr>
          <w:p w:rsidR="00601157" w:rsidRPr="00601157" w:rsidRDefault="00601157" w:rsidP="00601157">
            <w:pPr>
              <w:jc w:val="center"/>
              <w:rPr>
                <w:rFonts w:asciiTheme="majorHAnsi" w:hAnsiTheme="majorHAnsi"/>
                <w:b/>
                <w:color w:val="000000"/>
                <w:sz w:val="20"/>
                <w:szCs w:val="20"/>
              </w:rPr>
            </w:pPr>
            <w:r w:rsidRPr="00601157">
              <w:rPr>
                <w:rFonts w:asciiTheme="majorHAnsi" w:hAnsiTheme="majorHAnsi"/>
                <w:b/>
                <w:color w:val="000000"/>
                <w:sz w:val="20"/>
                <w:szCs w:val="20"/>
              </w:rPr>
              <w:t>Организационно-правовая форма</w:t>
            </w:r>
          </w:p>
        </w:tc>
        <w:tc>
          <w:tcPr>
            <w:tcW w:w="5863" w:type="dxa"/>
            <w:shd w:val="clear" w:color="auto" w:fill="FFFFFF"/>
            <w:vAlign w:val="center"/>
            <w:hideMark/>
          </w:tcPr>
          <w:p w:rsidR="00601157" w:rsidRPr="00601157" w:rsidRDefault="00601157" w:rsidP="00601157">
            <w:pPr>
              <w:jc w:val="center"/>
              <w:rPr>
                <w:rFonts w:asciiTheme="majorHAnsi" w:hAnsiTheme="majorHAnsi"/>
                <w:sz w:val="20"/>
                <w:szCs w:val="20"/>
                <w:highlight w:val="yellow"/>
                <w:lang w:val="en-US"/>
              </w:rPr>
            </w:pPr>
            <w:r w:rsidRPr="00601157">
              <w:rPr>
                <w:rFonts w:asciiTheme="majorHAnsi" w:hAnsiTheme="majorHAnsi"/>
                <w:sz w:val="20"/>
                <w:szCs w:val="20"/>
              </w:rPr>
              <w:t>Общество с ограниченной ответственностью</w:t>
            </w:r>
          </w:p>
        </w:tc>
      </w:tr>
      <w:tr w:rsidR="00601157" w:rsidRPr="00601157" w:rsidTr="00946077">
        <w:trPr>
          <w:trHeight w:val="19"/>
          <w:jc w:val="center"/>
        </w:trPr>
        <w:tc>
          <w:tcPr>
            <w:tcW w:w="3827" w:type="dxa"/>
            <w:shd w:val="clear" w:color="auto" w:fill="F2F2F2"/>
            <w:vAlign w:val="center"/>
            <w:hideMark/>
          </w:tcPr>
          <w:p w:rsidR="00601157" w:rsidRPr="00601157" w:rsidRDefault="00601157" w:rsidP="00601157">
            <w:pPr>
              <w:jc w:val="center"/>
              <w:rPr>
                <w:rFonts w:asciiTheme="majorHAnsi" w:hAnsiTheme="majorHAnsi"/>
                <w:b/>
                <w:color w:val="000000"/>
                <w:sz w:val="20"/>
                <w:szCs w:val="20"/>
              </w:rPr>
            </w:pPr>
            <w:r w:rsidRPr="00601157">
              <w:rPr>
                <w:rFonts w:asciiTheme="majorHAnsi" w:hAnsiTheme="majorHAnsi"/>
                <w:b/>
                <w:color w:val="000000"/>
                <w:sz w:val="20"/>
                <w:szCs w:val="20"/>
              </w:rPr>
              <w:t>Полное наименование</w:t>
            </w:r>
          </w:p>
        </w:tc>
        <w:tc>
          <w:tcPr>
            <w:tcW w:w="5863" w:type="dxa"/>
            <w:shd w:val="clear" w:color="auto" w:fill="FFFFFF"/>
            <w:vAlign w:val="center"/>
            <w:hideMark/>
          </w:tcPr>
          <w:p w:rsidR="00601157" w:rsidRPr="00601157" w:rsidRDefault="00601157" w:rsidP="00601157">
            <w:pPr>
              <w:jc w:val="center"/>
              <w:rPr>
                <w:rFonts w:asciiTheme="majorHAnsi" w:hAnsiTheme="majorHAnsi"/>
                <w:sz w:val="20"/>
                <w:szCs w:val="20"/>
                <w:highlight w:val="yellow"/>
              </w:rPr>
            </w:pPr>
            <w:r w:rsidRPr="00601157">
              <w:rPr>
                <w:rFonts w:asciiTheme="majorHAnsi" w:hAnsiTheme="majorHAnsi"/>
                <w:sz w:val="20"/>
                <w:szCs w:val="20"/>
              </w:rPr>
              <w:t>Общество с ограниченной ответственностью Управляющая компания «ФИНАНСЫ НЕДВИЖИМОСТЬ КОНСАЛТИНГ»</w:t>
            </w:r>
          </w:p>
        </w:tc>
      </w:tr>
      <w:tr w:rsidR="00601157" w:rsidRPr="00601157" w:rsidTr="00946077">
        <w:trPr>
          <w:trHeight w:val="19"/>
          <w:jc w:val="center"/>
        </w:trPr>
        <w:tc>
          <w:tcPr>
            <w:tcW w:w="3827" w:type="dxa"/>
            <w:shd w:val="clear" w:color="auto" w:fill="F2F2F2"/>
            <w:vAlign w:val="center"/>
            <w:hideMark/>
          </w:tcPr>
          <w:p w:rsidR="00601157" w:rsidRPr="00601157" w:rsidRDefault="00601157" w:rsidP="00601157">
            <w:pPr>
              <w:jc w:val="center"/>
              <w:rPr>
                <w:rFonts w:asciiTheme="majorHAnsi" w:hAnsiTheme="majorHAnsi"/>
                <w:b/>
                <w:color w:val="000000"/>
                <w:sz w:val="20"/>
                <w:szCs w:val="20"/>
              </w:rPr>
            </w:pPr>
            <w:r w:rsidRPr="00601157">
              <w:rPr>
                <w:rFonts w:asciiTheme="majorHAnsi" w:hAnsiTheme="majorHAnsi"/>
                <w:b/>
                <w:color w:val="000000"/>
                <w:sz w:val="20"/>
                <w:szCs w:val="20"/>
              </w:rPr>
              <w:t>- юридический адрес</w:t>
            </w:r>
          </w:p>
        </w:tc>
        <w:tc>
          <w:tcPr>
            <w:tcW w:w="5863" w:type="dxa"/>
            <w:shd w:val="clear" w:color="auto" w:fill="FFFFFF"/>
            <w:vAlign w:val="center"/>
            <w:hideMark/>
          </w:tcPr>
          <w:p w:rsidR="00601157" w:rsidRPr="00601157" w:rsidRDefault="00601157" w:rsidP="00601157">
            <w:pPr>
              <w:jc w:val="center"/>
              <w:rPr>
                <w:rFonts w:asciiTheme="majorHAnsi" w:hAnsiTheme="majorHAnsi"/>
                <w:sz w:val="20"/>
                <w:szCs w:val="20"/>
                <w:highlight w:val="yellow"/>
              </w:rPr>
            </w:pPr>
            <w:r w:rsidRPr="00601157">
              <w:rPr>
                <w:rFonts w:asciiTheme="majorHAnsi" w:hAnsiTheme="majorHAnsi"/>
                <w:sz w:val="20"/>
                <w:szCs w:val="20"/>
              </w:rPr>
              <w:t>394018, г. Воронеж, ул. Свободы, д.37</w:t>
            </w:r>
          </w:p>
        </w:tc>
      </w:tr>
      <w:tr w:rsidR="00601157" w:rsidRPr="00601157" w:rsidTr="00946077">
        <w:trPr>
          <w:trHeight w:val="49"/>
          <w:jc w:val="center"/>
        </w:trPr>
        <w:tc>
          <w:tcPr>
            <w:tcW w:w="3827" w:type="dxa"/>
            <w:shd w:val="clear" w:color="auto" w:fill="F2F2F2"/>
            <w:vAlign w:val="center"/>
            <w:hideMark/>
          </w:tcPr>
          <w:p w:rsidR="00601157" w:rsidRPr="00601157" w:rsidRDefault="00601157" w:rsidP="00601157">
            <w:pPr>
              <w:jc w:val="center"/>
              <w:rPr>
                <w:rFonts w:asciiTheme="majorHAnsi" w:hAnsiTheme="majorHAnsi"/>
                <w:b/>
                <w:color w:val="000000"/>
                <w:sz w:val="20"/>
                <w:szCs w:val="20"/>
              </w:rPr>
            </w:pPr>
            <w:r w:rsidRPr="00601157">
              <w:rPr>
                <w:rFonts w:asciiTheme="majorHAnsi" w:hAnsiTheme="majorHAnsi"/>
                <w:b/>
                <w:color w:val="000000"/>
                <w:sz w:val="20"/>
                <w:szCs w:val="20"/>
              </w:rPr>
              <w:t>- почтовый адрес</w:t>
            </w:r>
          </w:p>
        </w:tc>
        <w:tc>
          <w:tcPr>
            <w:tcW w:w="5863" w:type="dxa"/>
            <w:shd w:val="clear" w:color="auto" w:fill="FFFFFF"/>
            <w:vAlign w:val="center"/>
            <w:hideMark/>
          </w:tcPr>
          <w:p w:rsidR="00601157" w:rsidRPr="00601157" w:rsidRDefault="00601157" w:rsidP="00601157">
            <w:pPr>
              <w:jc w:val="center"/>
              <w:rPr>
                <w:rFonts w:asciiTheme="majorHAnsi" w:hAnsiTheme="majorHAnsi"/>
                <w:sz w:val="20"/>
                <w:szCs w:val="20"/>
                <w:highlight w:val="yellow"/>
              </w:rPr>
            </w:pPr>
            <w:r w:rsidRPr="00601157">
              <w:rPr>
                <w:rFonts w:asciiTheme="majorHAnsi" w:hAnsiTheme="majorHAnsi"/>
                <w:sz w:val="20"/>
                <w:szCs w:val="20"/>
              </w:rPr>
              <w:t>Он же</w:t>
            </w:r>
          </w:p>
        </w:tc>
      </w:tr>
      <w:tr w:rsidR="00601157" w:rsidRPr="00601157" w:rsidTr="00946077">
        <w:trPr>
          <w:trHeight w:val="553"/>
          <w:jc w:val="center"/>
        </w:trPr>
        <w:tc>
          <w:tcPr>
            <w:tcW w:w="3827" w:type="dxa"/>
            <w:shd w:val="clear" w:color="auto" w:fill="F2F2F2"/>
            <w:vAlign w:val="center"/>
            <w:hideMark/>
          </w:tcPr>
          <w:p w:rsidR="00601157" w:rsidRPr="00601157" w:rsidRDefault="00601157" w:rsidP="00601157">
            <w:pPr>
              <w:jc w:val="center"/>
              <w:rPr>
                <w:rFonts w:asciiTheme="majorHAnsi" w:hAnsiTheme="majorHAnsi"/>
                <w:b/>
                <w:color w:val="000000"/>
                <w:sz w:val="20"/>
                <w:szCs w:val="20"/>
              </w:rPr>
            </w:pPr>
            <w:r w:rsidRPr="00601157">
              <w:rPr>
                <w:rFonts w:asciiTheme="majorHAnsi" w:hAnsiTheme="majorHAnsi"/>
                <w:b/>
                <w:color w:val="000000"/>
                <w:sz w:val="20"/>
                <w:szCs w:val="20"/>
              </w:rPr>
              <w:t>- реквизиты организации</w:t>
            </w:r>
          </w:p>
        </w:tc>
        <w:tc>
          <w:tcPr>
            <w:tcW w:w="5863" w:type="dxa"/>
            <w:shd w:val="clear" w:color="auto" w:fill="FFFFFF"/>
            <w:vAlign w:val="center"/>
            <w:hideMark/>
          </w:tcPr>
          <w:p w:rsidR="00601157" w:rsidRPr="00601157" w:rsidRDefault="00601157" w:rsidP="00601157">
            <w:pPr>
              <w:spacing w:after="120"/>
              <w:ind w:firstLine="709"/>
              <w:contextualSpacing/>
              <w:jc w:val="center"/>
              <w:rPr>
                <w:rFonts w:asciiTheme="majorHAnsi" w:hAnsiTheme="majorHAnsi"/>
                <w:bCs/>
                <w:sz w:val="20"/>
                <w:szCs w:val="20"/>
              </w:rPr>
            </w:pPr>
            <w:r w:rsidRPr="00601157">
              <w:rPr>
                <w:rFonts w:asciiTheme="majorHAnsi" w:hAnsiTheme="majorHAnsi"/>
                <w:sz w:val="20"/>
                <w:szCs w:val="20"/>
              </w:rPr>
              <w:t xml:space="preserve">ИНН </w:t>
            </w:r>
            <w:r w:rsidRPr="00601157">
              <w:rPr>
                <w:rFonts w:asciiTheme="majorHAnsi" w:hAnsiTheme="majorHAnsi" w:cs="Arial"/>
                <w:sz w:val="20"/>
                <w:szCs w:val="20"/>
                <w:shd w:val="clear" w:color="auto" w:fill="FFFFFF"/>
              </w:rPr>
              <w:t>3664079839</w:t>
            </w:r>
            <w:r w:rsidRPr="00601157">
              <w:rPr>
                <w:rFonts w:asciiTheme="majorHAnsi" w:hAnsiTheme="majorHAnsi"/>
                <w:sz w:val="20"/>
                <w:szCs w:val="20"/>
              </w:rPr>
              <w:t xml:space="preserve">,  КПП  </w:t>
            </w:r>
            <w:r w:rsidRPr="00601157">
              <w:rPr>
                <w:rFonts w:asciiTheme="majorHAnsi" w:hAnsiTheme="majorHAnsi" w:cs="Arial"/>
                <w:sz w:val="20"/>
                <w:szCs w:val="20"/>
                <w:shd w:val="clear" w:color="auto" w:fill="FFFFFF"/>
              </w:rPr>
              <w:t>366401001</w:t>
            </w:r>
            <w:r w:rsidRPr="00601157">
              <w:rPr>
                <w:rFonts w:asciiTheme="majorHAnsi" w:hAnsiTheme="majorHAnsi"/>
                <w:sz w:val="20"/>
                <w:szCs w:val="20"/>
              </w:rPr>
              <w:t xml:space="preserve">, р/с </w:t>
            </w:r>
            <w:r w:rsidRPr="00601157">
              <w:rPr>
                <w:rFonts w:asciiTheme="majorHAnsi" w:hAnsiTheme="majorHAnsi"/>
                <w:bCs/>
                <w:sz w:val="20"/>
                <w:szCs w:val="20"/>
              </w:rPr>
              <w:t>40702810100250004381 в  Филиале Банка ВТБ (открытое акционерное общество) в г. Воронеж к/с 30101810100000000835, БИК 042007835</w:t>
            </w:r>
          </w:p>
        </w:tc>
      </w:tr>
      <w:tr w:rsidR="00601157" w:rsidRPr="00601157" w:rsidTr="00946077">
        <w:trPr>
          <w:trHeight w:val="19"/>
          <w:jc w:val="center"/>
        </w:trPr>
        <w:tc>
          <w:tcPr>
            <w:tcW w:w="3827" w:type="dxa"/>
            <w:shd w:val="clear" w:color="auto" w:fill="F2F2F2"/>
            <w:vAlign w:val="center"/>
            <w:hideMark/>
          </w:tcPr>
          <w:p w:rsidR="00601157" w:rsidRPr="00601157" w:rsidRDefault="00601157" w:rsidP="00601157">
            <w:pPr>
              <w:jc w:val="center"/>
              <w:rPr>
                <w:rFonts w:asciiTheme="majorHAnsi" w:hAnsiTheme="majorHAnsi"/>
                <w:b/>
                <w:color w:val="000000"/>
                <w:sz w:val="20"/>
                <w:szCs w:val="20"/>
              </w:rPr>
            </w:pPr>
            <w:r w:rsidRPr="00601157">
              <w:rPr>
                <w:rFonts w:asciiTheme="majorHAnsi" w:hAnsiTheme="majorHAnsi"/>
                <w:b/>
                <w:color w:val="000000"/>
                <w:sz w:val="20"/>
                <w:szCs w:val="20"/>
              </w:rPr>
              <w:t>- ОГРН, дата присвоения</w:t>
            </w:r>
          </w:p>
        </w:tc>
        <w:tc>
          <w:tcPr>
            <w:tcW w:w="5863" w:type="dxa"/>
            <w:shd w:val="clear" w:color="auto" w:fill="FFFFFF"/>
            <w:vAlign w:val="center"/>
            <w:hideMark/>
          </w:tcPr>
          <w:p w:rsidR="00601157" w:rsidRPr="00601157" w:rsidRDefault="00601157" w:rsidP="00601157">
            <w:pPr>
              <w:jc w:val="center"/>
              <w:rPr>
                <w:rFonts w:asciiTheme="majorHAnsi" w:hAnsiTheme="majorHAnsi"/>
                <w:sz w:val="20"/>
                <w:szCs w:val="20"/>
              </w:rPr>
            </w:pPr>
            <w:r w:rsidRPr="00601157">
              <w:rPr>
                <w:rFonts w:asciiTheme="majorHAnsi" w:hAnsiTheme="majorHAnsi"/>
                <w:sz w:val="20"/>
                <w:szCs w:val="20"/>
              </w:rPr>
              <w:t xml:space="preserve">№ </w:t>
            </w:r>
            <w:r w:rsidRPr="00601157">
              <w:rPr>
                <w:rFonts w:asciiTheme="majorHAnsi" w:hAnsiTheme="majorHAnsi" w:cs="Arial"/>
                <w:sz w:val="20"/>
                <w:szCs w:val="20"/>
                <w:shd w:val="clear" w:color="auto" w:fill="FFFFFF"/>
              </w:rPr>
              <w:t>1073667008700 от 31.01.2007 г.</w:t>
            </w:r>
          </w:p>
        </w:tc>
      </w:tr>
      <w:tr w:rsidR="00601157" w:rsidRPr="00601157" w:rsidTr="00946077">
        <w:trPr>
          <w:trHeight w:val="19"/>
          <w:jc w:val="center"/>
        </w:trPr>
        <w:tc>
          <w:tcPr>
            <w:tcW w:w="3827" w:type="dxa"/>
            <w:shd w:val="clear" w:color="auto" w:fill="F2F2F2"/>
            <w:vAlign w:val="center"/>
            <w:hideMark/>
          </w:tcPr>
          <w:p w:rsidR="00601157" w:rsidRPr="00601157" w:rsidRDefault="00601157" w:rsidP="00601157">
            <w:pPr>
              <w:jc w:val="center"/>
              <w:rPr>
                <w:rFonts w:asciiTheme="majorHAnsi" w:hAnsiTheme="majorHAnsi"/>
                <w:b/>
                <w:color w:val="000000"/>
                <w:sz w:val="20"/>
                <w:szCs w:val="20"/>
              </w:rPr>
            </w:pPr>
            <w:r w:rsidRPr="00601157">
              <w:rPr>
                <w:rFonts w:asciiTheme="majorHAnsi" w:hAnsiTheme="majorHAnsi"/>
                <w:b/>
                <w:color w:val="000000"/>
                <w:sz w:val="20"/>
                <w:szCs w:val="20"/>
              </w:rPr>
              <w:t>Сведения о страховании гражданской ответственности</w:t>
            </w:r>
          </w:p>
        </w:tc>
        <w:tc>
          <w:tcPr>
            <w:tcW w:w="5863" w:type="dxa"/>
            <w:shd w:val="clear" w:color="auto" w:fill="FFFFFF"/>
            <w:vAlign w:val="center"/>
            <w:hideMark/>
          </w:tcPr>
          <w:p w:rsidR="00601157" w:rsidRPr="00601157" w:rsidRDefault="00601157" w:rsidP="00601157">
            <w:pPr>
              <w:jc w:val="center"/>
              <w:rPr>
                <w:rFonts w:asciiTheme="majorHAnsi" w:hAnsiTheme="majorHAnsi"/>
                <w:sz w:val="20"/>
                <w:szCs w:val="20"/>
                <w:highlight w:val="yellow"/>
              </w:rPr>
            </w:pPr>
            <w:r w:rsidRPr="00601157">
              <w:rPr>
                <w:rFonts w:asciiTheme="majorHAnsi" w:hAnsiTheme="majorHAnsi"/>
                <w:sz w:val="20"/>
                <w:szCs w:val="20"/>
              </w:rPr>
              <w:t>Договор № 134Д16-251-009 от 22.06.2017 г., выдан ПАО СК «Росгосстрах», сроком действия с 23.06.2017г. по 22.06.2018 г. на сумму 100 000 000 руб.</w:t>
            </w:r>
          </w:p>
        </w:tc>
      </w:tr>
    </w:tbl>
    <w:p w:rsidR="00B4381B" w:rsidRPr="00601157" w:rsidRDefault="00B4381B" w:rsidP="00601157">
      <w:pPr>
        <w:pStyle w:val="af3"/>
        <w:keepNext/>
        <w:keepLines/>
        <w:ind w:left="1080" w:firstLine="0"/>
        <w:outlineLvl w:val="1"/>
        <w:rPr>
          <w:b/>
          <w:bCs/>
          <w:i/>
          <w:iCs/>
          <w:lang w:val="ru-RU"/>
        </w:rPr>
      </w:pPr>
    </w:p>
    <w:p w:rsidR="00B4381B" w:rsidRDefault="00B4381B" w:rsidP="00B4381B">
      <w:pPr>
        <w:spacing w:before="120" w:after="120"/>
        <w:ind w:firstLine="709"/>
        <w:jc w:val="both"/>
        <w:rPr>
          <w:b/>
          <w:bCs/>
          <w:i/>
          <w:iCs/>
        </w:rPr>
      </w:pPr>
    </w:p>
    <w:p w:rsidR="00B4381B" w:rsidRDefault="00B4381B" w:rsidP="00B4381B">
      <w:pPr>
        <w:spacing w:before="120" w:after="120"/>
        <w:ind w:firstLine="709"/>
        <w:jc w:val="both"/>
        <w:rPr>
          <w:b/>
          <w:bCs/>
          <w:i/>
          <w:iCs/>
        </w:rPr>
      </w:pPr>
    </w:p>
    <w:p w:rsidR="00B4381B" w:rsidRDefault="00B4381B" w:rsidP="00B4381B">
      <w:pPr>
        <w:spacing w:before="120" w:after="120"/>
        <w:ind w:firstLine="709"/>
        <w:jc w:val="both"/>
        <w:rPr>
          <w:b/>
          <w:bCs/>
          <w:i/>
          <w:iCs/>
        </w:rPr>
      </w:pPr>
    </w:p>
    <w:p w:rsidR="00B4381B" w:rsidRDefault="00B4381B" w:rsidP="00B4381B">
      <w:pPr>
        <w:spacing w:before="120" w:after="120"/>
        <w:ind w:firstLine="709"/>
        <w:jc w:val="both"/>
        <w:rPr>
          <w:b/>
          <w:bCs/>
          <w:i/>
          <w:iCs/>
        </w:rPr>
      </w:pPr>
    </w:p>
    <w:p w:rsidR="00B2010D" w:rsidRDefault="00B2010D" w:rsidP="00B4381B">
      <w:pPr>
        <w:spacing w:before="120" w:after="120"/>
        <w:ind w:firstLine="709"/>
        <w:jc w:val="both"/>
        <w:rPr>
          <w:b/>
          <w:bCs/>
          <w:i/>
          <w:iCs/>
        </w:rPr>
      </w:pPr>
    </w:p>
    <w:p w:rsidR="00B2010D" w:rsidRDefault="00B2010D" w:rsidP="00B4381B">
      <w:pPr>
        <w:spacing w:before="120" w:after="120"/>
        <w:ind w:firstLine="709"/>
        <w:jc w:val="both"/>
        <w:rPr>
          <w:b/>
          <w:bCs/>
          <w:i/>
          <w:iCs/>
        </w:rPr>
      </w:pPr>
    </w:p>
    <w:p w:rsidR="00B4381B" w:rsidRPr="00B4381B" w:rsidRDefault="00B4381B" w:rsidP="00B4381B">
      <w:pPr>
        <w:spacing w:before="120" w:after="120"/>
        <w:ind w:firstLine="709"/>
        <w:jc w:val="both"/>
        <w:rPr>
          <w:snapToGrid w:val="0"/>
          <w:spacing w:val="-6"/>
        </w:rPr>
      </w:pPr>
    </w:p>
    <w:p w:rsidR="006C3A33" w:rsidRPr="00B4381B" w:rsidRDefault="006C3A33" w:rsidP="00B4381B">
      <w:pPr>
        <w:spacing w:before="120" w:after="120"/>
        <w:ind w:firstLine="709"/>
        <w:jc w:val="both"/>
        <w:rPr>
          <w:snapToGrid w:val="0"/>
          <w:spacing w:val="-6"/>
        </w:rPr>
      </w:pPr>
    </w:p>
    <w:p w:rsidR="006C3A33" w:rsidRPr="00B4381B" w:rsidRDefault="006C3A33" w:rsidP="00B4381B">
      <w:pPr>
        <w:spacing w:before="120" w:after="120"/>
        <w:ind w:firstLine="709"/>
        <w:jc w:val="both"/>
        <w:rPr>
          <w:snapToGrid w:val="0"/>
          <w:spacing w:val="-6"/>
        </w:rPr>
      </w:pPr>
    </w:p>
    <w:p w:rsidR="003262B9" w:rsidRPr="009D3741" w:rsidRDefault="003262B9" w:rsidP="0090764B">
      <w:pPr>
        <w:pStyle w:val="af3"/>
        <w:numPr>
          <w:ilvl w:val="0"/>
          <w:numId w:val="10"/>
        </w:numPr>
        <w:spacing w:before="100" w:beforeAutospacing="1" w:after="100" w:afterAutospacing="1"/>
        <w:jc w:val="center"/>
        <w:rPr>
          <w:rFonts w:asciiTheme="majorHAnsi" w:eastAsiaTheme="majorEastAsia" w:hAnsiTheme="majorHAnsi" w:cstheme="majorBidi"/>
          <w:b/>
          <w:bCs/>
          <w:sz w:val="28"/>
          <w:szCs w:val="28"/>
          <w:lang w:val="ru-RU"/>
        </w:rPr>
      </w:pPr>
      <w:r w:rsidRPr="009D3741">
        <w:rPr>
          <w:rFonts w:asciiTheme="majorHAnsi" w:eastAsiaTheme="majorEastAsia" w:hAnsiTheme="majorHAnsi" w:cstheme="majorBidi"/>
          <w:b/>
          <w:bCs/>
          <w:sz w:val="28"/>
          <w:szCs w:val="28"/>
          <w:lang w:val="ru-RU"/>
        </w:rPr>
        <w:lastRenderedPageBreak/>
        <w:t>И</w:t>
      </w:r>
      <w:r w:rsidR="00B4381B" w:rsidRPr="009D3741">
        <w:rPr>
          <w:rFonts w:asciiTheme="majorHAnsi" w:eastAsiaTheme="majorEastAsia" w:hAnsiTheme="majorHAnsi" w:cstheme="majorBidi"/>
          <w:b/>
          <w:bCs/>
          <w:sz w:val="28"/>
          <w:szCs w:val="28"/>
          <w:lang w:val="ru-RU"/>
        </w:rPr>
        <w:t>нформация обо всех привлекаемых к проведению оценки и подготовки отчета об оценке организациях и специалистах с указанием их квалификации и степени их участия в проведении оценки объекта оценки</w:t>
      </w:r>
    </w:p>
    <w:p w:rsidR="004B7C5D" w:rsidRPr="00E03510" w:rsidRDefault="004B7C5D" w:rsidP="00B4381B">
      <w:pPr>
        <w:ind w:firstLine="709"/>
        <w:jc w:val="both"/>
        <w:rPr>
          <w:rFonts w:asciiTheme="majorHAnsi" w:hAnsiTheme="majorHAnsi"/>
          <w:sz w:val="20"/>
          <w:szCs w:val="20"/>
        </w:rPr>
      </w:pPr>
      <w:r w:rsidRPr="00E03510">
        <w:rPr>
          <w:rFonts w:asciiTheme="majorHAnsi" w:hAnsiTheme="majorHAnsi"/>
          <w:sz w:val="20"/>
          <w:szCs w:val="20"/>
        </w:rPr>
        <w:t>Непосредственно к проведению оценки и подготовке Отчета об оценке никакие сторонние организации и специалисты (в том числе оценщики) не привлекались. Обращение к сторонним организациям или специалистам происходило лишь в рамках использования их баз данных и знаний в качестве источников информации. Сведения обо всех специалистах (организациях), информация от которых была получена и использована в настоящем Отчете (в качестве консультирования), указаны далее по тексту. Квалификация привлекаемых специалистов (работников организаций), используемая только в целях получения открытой информации, признается достаточной – соответственно, данные специалисты (работники организаций) могут быть привлечены в качестве источников информации, обладающих необходимой степенью д</w:t>
      </w:r>
      <w:r w:rsidR="006C3A33" w:rsidRPr="00E03510">
        <w:rPr>
          <w:rFonts w:asciiTheme="majorHAnsi" w:hAnsiTheme="majorHAnsi"/>
          <w:sz w:val="20"/>
          <w:szCs w:val="20"/>
        </w:rPr>
        <w:t>остоверности.</w:t>
      </w:r>
    </w:p>
    <w:p w:rsidR="006C3A33" w:rsidRDefault="006C3A33" w:rsidP="006C3A33"/>
    <w:p w:rsidR="006C3A33" w:rsidRDefault="006C3A33" w:rsidP="006C3A33"/>
    <w:p w:rsidR="006C3A33" w:rsidRDefault="006C3A33" w:rsidP="006C3A33"/>
    <w:p w:rsidR="006C3A33" w:rsidRDefault="006C3A33" w:rsidP="006C3A33"/>
    <w:p w:rsidR="006C3A33" w:rsidRDefault="006C3A33" w:rsidP="006C3A33"/>
    <w:p w:rsidR="006C3A33" w:rsidRDefault="006C3A33" w:rsidP="006C3A33"/>
    <w:p w:rsidR="006C3A33" w:rsidRDefault="006C3A33" w:rsidP="006C3A33"/>
    <w:p w:rsidR="006C3A33" w:rsidRDefault="006C3A33" w:rsidP="006C3A33"/>
    <w:p w:rsidR="006C3A33" w:rsidRDefault="006C3A33" w:rsidP="006C3A33"/>
    <w:p w:rsidR="006C3A33" w:rsidRDefault="006C3A33" w:rsidP="006C3A33"/>
    <w:p w:rsidR="006C3A33" w:rsidRDefault="006C3A33" w:rsidP="006C3A33"/>
    <w:p w:rsidR="006C3A33" w:rsidRDefault="006C3A33" w:rsidP="006C3A33"/>
    <w:p w:rsidR="006C3A33" w:rsidRDefault="006C3A33" w:rsidP="006C3A33"/>
    <w:p w:rsidR="006C3A33" w:rsidRDefault="006C3A33" w:rsidP="006C3A33"/>
    <w:p w:rsidR="006C3A33" w:rsidRDefault="006C3A33" w:rsidP="006C3A33"/>
    <w:p w:rsidR="006C3A33" w:rsidRDefault="006C3A33" w:rsidP="006C3A33"/>
    <w:p w:rsidR="006C3A33" w:rsidRDefault="006C3A33" w:rsidP="006C3A33"/>
    <w:p w:rsidR="006C3A33" w:rsidRDefault="006C3A33" w:rsidP="006C3A33"/>
    <w:p w:rsidR="00A9726E" w:rsidRDefault="00A9726E" w:rsidP="00086C49">
      <w:pPr>
        <w:keepNext/>
        <w:keepLines/>
        <w:spacing w:before="100" w:beforeAutospacing="1" w:after="100" w:afterAutospacing="1"/>
        <w:ind w:right="-2"/>
        <w:outlineLvl w:val="0"/>
        <w:rPr>
          <w:rFonts w:asciiTheme="majorHAnsi" w:eastAsiaTheme="majorEastAsia" w:hAnsiTheme="majorHAnsi" w:cstheme="majorBidi"/>
          <w:b/>
          <w:bCs/>
          <w:sz w:val="28"/>
          <w:szCs w:val="28"/>
        </w:rPr>
        <w:sectPr w:rsidR="00A9726E" w:rsidSect="00991118">
          <w:pgSz w:w="11906" w:h="16838"/>
          <w:pgMar w:top="851" w:right="849" w:bottom="851" w:left="851" w:header="709" w:footer="709" w:gutter="0"/>
          <w:pgBorders w:offsetFrom="page">
            <w:top w:val="single" w:sz="4" w:space="24" w:color="4F81BD" w:themeColor="accent1"/>
            <w:left w:val="single" w:sz="4" w:space="24" w:color="4F81BD" w:themeColor="accent1"/>
            <w:bottom w:val="single" w:sz="4" w:space="24" w:color="4F81BD" w:themeColor="accent1"/>
            <w:right w:val="single" w:sz="4" w:space="24" w:color="4F81BD" w:themeColor="accent1"/>
          </w:pgBorders>
          <w:cols w:space="720"/>
        </w:sectPr>
      </w:pPr>
      <w:bookmarkStart w:id="30" w:name="_Toc428454846"/>
    </w:p>
    <w:p w:rsidR="006C3A33" w:rsidRDefault="006C3A33" w:rsidP="006C3A33">
      <w:pPr>
        <w:keepNext/>
        <w:keepLines/>
        <w:spacing w:before="100" w:beforeAutospacing="1" w:after="100" w:afterAutospacing="1"/>
        <w:ind w:right="-2"/>
        <w:jc w:val="center"/>
        <w:outlineLvl w:val="0"/>
        <w:rPr>
          <w:rFonts w:asciiTheme="majorHAnsi" w:eastAsiaTheme="majorEastAsia" w:hAnsiTheme="majorHAnsi" w:cstheme="majorBidi"/>
          <w:b/>
          <w:bCs/>
          <w:sz w:val="28"/>
          <w:szCs w:val="28"/>
        </w:rPr>
      </w:pPr>
      <w:bookmarkStart w:id="31" w:name="_Toc491763288"/>
      <w:r>
        <w:rPr>
          <w:rFonts w:asciiTheme="majorHAnsi" w:eastAsiaTheme="majorEastAsia" w:hAnsiTheme="majorHAnsi" w:cstheme="majorBidi"/>
          <w:b/>
          <w:bCs/>
          <w:sz w:val="28"/>
          <w:szCs w:val="28"/>
        </w:rPr>
        <w:lastRenderedPageBreak/>
        <w:t>6. Основные факты и выводы.</w:t>
      </w:r>
      <w:bookmarkEnd w:id="30"/>
      <w:bookmarkEnd w:id="31"/>
    </w:p>
    <w:p w:rsidR="006C3A33" w:rsidRPr="00E03510" w:rsidRDefault="006C3A33" w:rsidP="006C3A33">
      <w:pPr>
        <w:jc w:val="center"/>
        <w:rPr>
          <w:rFonts w:asciiTheme="majorHAnsi" w:hAnsiTheme="majorHAnsi"/>
          <w:smallCaps/>
          <w:sz w:val="20"/>
          <w:szCs w:val="20"/>
          <w:u w:val="single"/>
        </w:rPr>
      </w:pPr>
      <w:r w:rsidRPr="00E03510">
        <w:rPr>
          <w:rFonts w:asciiTheme="majorHAnsi" w:hAnsiTheme="majorHAnsi"/>
          <w:smallCaps/>
          <w:sz w:val="20"/>
          <w:szCs w:val="20"/>
          <w:u w:val="single"/>
        </w:rPr>
        <w:t xml:space="preserve">Основание для проведения оценки оценщиком объекта оценки – </w:t>
      </w:r>
    </w:p>
    <w:p w:rsidR="006C3A33" w:rsidRPr="00E03510" w:rsidRDefault="006C3A33" w:rsidP="006C3A33">
      <w:pPr>
        <w:jc w:val="center"/>
        <w:rPr>
          <w:rFonts w:asciiTheme="majorHAnsi" w:hAnsiTheme="majorHAnsi"/>
          <w:sz w:val="20"/>
          <w:szCs w:val="20"/>
          <w:u w:val="single"/>
        </w:rPr>
      </w:pPr>
      <w:r w:rsidRPr="00E03510">
        <w:rPr>
          <w:rFonts w:asciiTheme="majorHAnsi" w:hAnsiTheme="majorHAnsi"/>
          <w:sz w:val="20"/>
          <w:szCs w:val="20"/>
          <w:u w:val="single"/>
        </w:rPr>
        <w:t xml:space="preserve">Договор от </w:t>
      </w:r>
      <w:r w:rsidR="00B2010D">
        <w:rPr>
          <w:rFonts w:asciiTheme="majorHAnsi" w:hAnsiTheme="majorHAnsi"/>
          <w:sz w:val="20"/>
          <w:szCs w:val="20"/>
          <w:u w:val="single"/>
        </w:rPr>
        <w:t>09</w:t>
      </w:r>
      <w:r w:rsidRPr="00E03510">
        <w:rPr>
          <w:rFonts w:asciiTheme="majorHAnsi" w:hAnsiTheme="majorHAnsi"/>
          <w:sz w:val="20"/>
          <w:szCs w:val="20"/>
          <w:u w:val="single"/>
        </w:rPr>
        <w:t xml:space="preserve"> </w:t>
      </w:r>
      <w:r w:rsidR="00224701">
        <w:rPr>
          <w:rFonts w:asciiTheme="majorHAnsi" w:hAnsiTheme="majorHAnsi"/>
          <w:sz w:val="20"/>
          <w:szCs w:val="20"/>
          <w:u w:val="single"/>
        </w:rPr>
        <w:t>августа</w:t>
      </w:r>
      <w:r w:rsidRPr="00E03510">
        <w:rPr>
          <w:rFonts w:asciiTheme="majorHAnsi" w:hAnsiTheme="majorHAnsi"/>
          <w:sz w:val="20"/>
          <w:szCs w:val="20"/>
          <w:u w:val="single"/>
        </w:rPr>
        <w:t xml:space="preserve"> 201</w:t>
      </w:r>
      <w:r w:rsidR="00B2010D">
        <w:rPr>
          <w:rFonts w:asciiTheme="majorHAnsi" w:hAnsiTheme="majorHAnsi"/>
          <w:sz w:val="20"/>
          <w:szCs w:val="20"/>
          <w:u w:val="single"/>
        </w:rPr>
        <w:t>7</w:t>
      </w:r>
      <w:r w:rsidRPr="00E03510">
        <w:rPr>
          <w:rFonts w:asciiTheme="majorHAnsi" w:hAnsiTheme="majorHAnsi"/>
          <w:sz w:val="20"/>
          <w:szCs w:val="20"/>
          <w:u w:val="single"/>
        </w:rPr>
        <w:t xml:space="preserve"> года  № </w:t>
      </w:r>
      <w:r w:rsidR="00B2010D">
        <w:rPr>
          <w:rFonts w:asciiTheme="majorHAnsi" w:hAnsiTheme="majorHAnsi"/>
          <w:sz w:val="20"/>
          <w:szCs w:val="20"/>
          <w:u w:val="single"/>
        </w:rPr>
        <w:t>18</w:t>
      </w:r>
      <w:r w:rsidRPr="00E03510">
        <w:rPr>
          <w:rFonts w:asciiTheme="majorHAnsi" w:hAnsiTheme="majorHAnsi"/>
          <w:sz w:val="20"/>
          <w:szCs w:val="20"/>
          <w:u w:val="single"/>
        </w:rPr>
        <w:t>/</w:t>
      </w:r>
      <w:r w:rsidR="00224701">
        <w:rPr>
          <w:rFonts w:asciiTheme="majorHAnsi" w:hAnsiTheme="majorHAnsi"/>
          <w:sz w:val="20"/>
          <w:szCs w:val="20"/>
          <w:u w:val="single"/>
        </w:rPr>
        <w:t>недв</w:t>
      </w:r>
      <w:r w:rsidRPr="00E03510">
        <w:rPr>
          <w:rFonts w:asciiTheme="majorHAnsi" w:hAnsiTheme="majorHAnsi"/>
          <w:sz w:val="20"/>
          <w:szCs w:val="20"/>
          <w:u w:val="single"/>
        </w:rPr>
        <w:t>-</w:t>
      </w:r>
      <w:r w:rsidR="00224701">
        <w:rPr>
          <w:rFonts w:asciiTheme="majorHAnsi" w:hAnsiTheme="majorHAnsi"/>
          <w:sz w:val="20"/>
          <w:szCs w:val="20"/>
          <w:u w:val="single"/>
        </w:rPr>
        <w:t>08</w:t>
      </w:r>
      <w:r w:rsidRPr="00E03510">
        <w:rPr>
          <w:rFonts w:asciiTheme="majorHAnsi" w:hAnsiTheme="majorHAnsi"/>
          <w:sz w:val="20"/>
          <w:szCs w:val="20"/>
          <w:u w:val="single"/>
        </w:rPr>
        <w:t>-1</w:t>
      </w:r>
      <w:r w:rsidR="00224701">
        <w:rPr>
          <w:rFonts w:asciiTheme="majorHAnsi" w:hAnsiTheme="majorHAnsi"/>
          <w:sz w:val="20"/>
          <w:szCs w:val="20"/>
          <w:u w:val="single"/>
        </w:rPr>
        <w:t>7</w:t>
      </w:r>
    </w:p>
    <w:p w:rsidR="006C3A33" w:rsidRPr="00E03510" w:rsidRDefault="006C3A33" w:rsidP="0090764B">
      <w:pPr>
        <w:pStyle w:val="af3"/>
        <w:keepNext/>
        <w:keepLines/>
        <w:numPr>
          <w:ilvl w:val="1"/>
          <w:numId w:val="13"/>
        </w:numPr>
        <w:outlineLvl w:val="1"/>
        <w:rPr>
          <w:rFonts w:asciiTheme="majorHAnsi" w:eastAsiaTheme="majorEastAsia" w:hAnsiTheme="majorHAnsi" w:cstheme="majorBidi"/>
          <w:b/>
          <w:bCs/>
          <w:sz w:val="20"/>
          <w:szCs w:val="20"/>
          <w:lang w:val="ru-RU"/>
        </w:rPr>
      </w:pPr>
      <w:bookmarkStart w:id="32" w:name="_Toc428454847"/>
      <w:bookmarkStart w:id="33" w:name="_Toc491763289"/>
      <w:r w:rsidRPr="00E03510">
        <w:rPr>
          <w:rFonts w:asciiTheme="majorHAnsi" w:eastAsiaTheme="majorEastAsia" w:hAnsiTheme="majorHAnsi" w:cstheme="majorBidi"/>
          <w:b/>
          <w:bCs/>
          <w:sz w:val="20"/>
          <w:szCs w:val="20"/>
          <w:lang w:val="ru-RU"/>
        </w:rPr>
        <w:t>Общая информация, идентифицирующая объект оценки.</w:t>
      </w:r>
      <w:bookmarkEnd w:id="32"/>
      <w:bookmarkEnd w:id="33"/>
    </w:p>
    <w:p w:rsidR="00224701" w:rsidRDefault="00224701" w:rsidP="00224701">
      <w:pPr>
        <w:ind w:firstLine="708"/>
        <w:jc w:val="both"/>
        <w:rPr>
          <w:rFonts w:asciiTheme="majorHAnsi" w:eastAsiaTheme="minorHAnsi" w:hAnsiTheme="majorHAnsi" w:cstheme="minorBidi"/>
          <w:b/>
          <w:sz w:val="20"/>
          <w:szCs w:val="22"/>
          <w:lang w:eastAsia="en-US"/>
        </w:rPr>
      </w:pPr>
      <w:bookmarkStart w:id="34" w:name="_Toc428454850"/>
      <w:r>
        <w:rPr>
          <w:rFonts w:asciiTheme="majorHAnsi" w:hAnsiTheme="majorHAnsi"/>
          <w:sz w:val="20"/>
          <w:szCs w:val="20"/>
        </w:rPr>
        <w:t xml:space="preserve">Объекты оценки представляют собой (по информации заказчика) </w:t>
      </w:r>
      <w:r>
        <w:rPr>
          <w:rFonts w:asciiTheme="majorHAnsi" w:hAnsiTheme="majorHAnsi"/>
          <w:bCs/>
          <w:sz w:val="20"/>
          <w:szCs w:val="20"/>
        </w:rPr>
        <w:t xml:space="preserve">объекты капитального строительства, принадлежащие </w:t>
      </w:r>
      <w:r w:rsidR="004F632A">
        <w:rPr>
          <w:rFonts w:asciiTheme="majorHAnsi" w:hAnsiTheme="majorHAnsi"/>
          <w:bCs/>
          <w:sz w:val="20"/>
          <w:szCs w:val="20"/>
        </w:rPr>
        <w:t>Лауте Игорю Викторовичу</w:t>
      </w:r>
      <w:r>
        <w:rPr>
          <w:rFonts w:asciiTheme="majorHAnsi" w:hAnsiTheme="majorHAnsi"/>
          <w:sz w:val="20"/>
          <w:szCs w:val="20"/>
        </w:rPr>
        <w:t>, в том числе:</w:t>
      </w:r>
      <w:r>
        <w:rPr>
          <w:rFonts w:asciiTheme="majorHAnsi" w:eastAsiaTheme="minorHAnsi" w:hAnsiTheme="majorHAnsi" w:cstheme="minorBidi"/>
          <w:b/>
          <w:sz w:val="20"/>
          <w:szCs w:val="22"/>
          <w:lang w:eastAsia="en-US"/>
        </w:rPr>
        <w:t xml:space="preserve"> </w:t>
      </w:r>
    </w:p>
    <w:p w:rsidR="00224701" w:rsidRDefault="00224701" w:rsidP="00224701">
      <w:pPr>
        <w:tabs>
          <w:tab w:val="left" w:pos="2925"/>
        </w:tabs>
        <w:spacing w:before="120" w:after="120"/>
        <w:ind w:firstLine="709"/>
        <w:jc w:val="both"/>
        <w:rPr>
          <w:rFonts w:ascii="Cambria" w:hAnsi="Cambria"/>
          <w:b/>
          <w:bCs/>
          <w:sz w:val="20"/>
          <w:szCs w:val="20"/>
        </w:rPr>
      </w:pPr>
      <w:r>
        <w:rPr>
          <w:rFonts w:ascii="Cambria" w:hAnsi="Cambria"/>
          <w:b/>
          <w:bCs/>
          <w:sz w:val="20"/>
          <w:szCs w:val="20"/>
        </w:rPr>
        <w:t>– производственный комплекс</w:t>
      </w:r>
    </w:p>
    <w:tbl>
      <w:tblPr>
        <w:tblW w:w="0" w:type="auto"/>
        <w:jc w:val="center"/>
        <w:tblLook w:val="04A0" w:firstRow="1" w:lastRow="0" w:firstColumn="1" w:lastColumn="0" w:noHBand="0" w:noVBand="1"/>
      </w:tblPr>
      <w:tblGrid>
        <w:gridCol w:w="3612"/>
        <w:gridCol w:w="6525"/>
      </w:tblGrid>
      <w:tr w:rsidR="00224701" w:rsidTr="00770A9D">
        <w:trPr>
          <w:trHeight w:val="20"/>
          <w:jc w:val="center"/>
        </w:trPr>
        <w:tc>
          <w:tcPr>
            <w:tcW w:w="0" w:type="auto"/>
            <w:gridSpan w:val="2"/>
            <w:tcBorders>
              <w:top w:val="double" w:sz="4" w:space="0" w:color="auto"/>
              <w:left w:val="double" w:sz="4" w:space="0" w:color="auto"/>
              <w:bottom w:val="single" w:sz="4" w:space="0" w:color="auto"/>
              <w:right w:val="double" w:sz="4" w:space="0" w:color="auto"/>
            </w:tcBorders>
            <w:shd w:val="clear" w:color="auto" w:fill="F2F2F2" w:themeFill="background1" w:themeFillShade="F2"/>
            <w:vAlign w:val="center"/>
            <w:hideMark/>
          </w:tcPr>
          <w:p w:rsidR="00224701" w:rsidRDefault="00224701" w:rsidP="00770A9D">
            <w:pPr>
              <w:jc w:val="center"/>
              <w:rPr>
                <w:rFonts w:ascii="Cambria" w:hAnsi="Cambria"/>
                <w:b/>
                <w:bCs/>
                <w:color w:val="000000"/>
                <w:sz w:val="18"/>
                <w:szCs w:val="18"/>
                <w:lang w:eastAsia="en-US"/>
              </w:rPr>
            </w:pPr>
            <w:r>
              <w:rPr>
                <w:rFonts w:ascii="Cambria" w:hAnsi="Cambria"/>
                <w:b/>
                <w:bCs/>
                <w:color w:val="000000"/>
                <w:sz w:val="18"/>
                <w:szCs w:val="18"/>
                <w:lang w:eastAsia="en-US"/>
              </w:rPr>
              <w:t>Общая информация, идентифицирующая объект недвижимости – нежилые строения производственного корпуса</w:t>
            </w:r>
          </w:p>
        </w:tc>
      </w:tr>
      <w:tr w:rsidR="00224701" w:rsidTr="00770A9D">
        <w:trPr>
          <w:trHeight w:val="20"/>
          <w:jc w:val="center"/>
        </w:trPr>
        <w:tc>
          <w:tcPr>
            <w:tcW w:w="0" w:type="auto"/>
            <w:tcBorders>
              <w:top w:val="nil"/>
              <w:left w:val="double" w:sz="4" w:space="0" w:color="auto"/>
              <w:bottom w:val="single" w:sz="4" w:space="0" w:color="auto"/>
              <w:right w:val="single" w:sz="4" w:space="0" w:color="auto"/>
            </w:tcBorders>
            <w:shd w:val="clear" w:color="auto" w:fill="F2F2F2"/>
            <w:vAlign w:val="center"/>
            <w:hideMark/>
          </w:tcPr>
          <w:p w:rsidR="00224701" w:rsidRDefault="00224701" w:rsidP="00770A9D">
            <w:pPr>
              <w:jc w:val="center"/>
              <w:rPr>
                <w:rFonts w:ascii="Cambria" w:hAnsi="Cambria"/>
                <w:b/>
                <w:bCs/>
                <w:color w:val="000000"/>
                <w:sz w:val="18"/>
                <w:szCs w:val="18"/>
                <w:lang w:eastAsia="en-US"/>
              </w:rPr>
            </w:pPr>
            <w:r>
              <w:rPr>
                <w:rFonts w:ascii="Cambria" w:hAnsi="Cambria"/>
                <w:b/>
                <w:bCs/>
                <w:color w:val="000000"/>
                <w:sz w:val="18"/>
                <w:szCs w:val="18"/>
                <w:lang w:eastAsia="en-US"/>
              </w:rPr>
              <w:t>Адрес объекта оценки</w:t>
            </w:r>
          </w:p>
        </w:tc>
        <w:tc>
          <w:tcPr>
            <w:tcW w:w="0" w:type="auto"/>
            <w:tcBorders>
              <w:top w:val="single" w:sz="4" w:space="0" w:color="auto"/>
              <w:left w:val="nil"/>
              <w:bottom w:val="single" w:sz="4" w:space="0" w:color="auto"/>
              <w:right w:val="double" w:sz="4" w:space="0" w:color="auto"/>
            </w:tcBorders>
            <w:vAlign w:val="center"/>
            <w:hideMark/>
          </w:tcPr>
          <w:p w:rsidR="00224701" w:rsidRDefault="00224701" w:rsidP="00770A9D">
            <w:pPr>
              <w:jc w:val="center"/>
              <w:rPr>
                <w:rFonts w:ascii="Cambria" w:hAnsi="Cambria"/>
                <w:color w:val="000000"/>
                <w:lang w:eastAsia="en-US"/>
              </w:rPr>
            </w:pPr>
            <w:r>
              <w:rPr>
                <w:rFonts w:ascii="Cambria" w:hAnsi="Cambria"/>
                <w:color w:val="000000"/>
                <w:sz w:val="18"/>
                <w:szCs w:val="18"/>
                <w:lang w:eastAsia="en-US"/>
              </w:rPr>
              <w:t>Белгородская обл. г. Белгород, ул Мирная, 21</w:t>
            </w:r>
          </w:p>
        </w:tc>
      </w:tr>
      <w:tr w:rsidR="00224701" w:rsidTr="00770A9D">
        <w:trPr>
          <w:trHeight w:val="20"/>
          <w:jc w:val="center"/>
        </w:trPr>
        <w:tc>
          <w:tcPr>
            <w:tcW w:w="0" w:type="auto"/>
            <w:tcBorders>
              <w:top w:val="nil"/>
              <w:left w:val="double" w:sz="4" w:space="0" w:color="auto"/>
              <w:bottom w:val="single" w:sz="4" w:space="0" w:color="auto"/>
              <w:right w:val="single" w:sz="4" w:space="0" w:color="auto"/>
            </w:tcBorders>
            <w:shd w:val="clear" w:color="auto" w:fill="F2F2F2"/>
            <w:vAlign w:val="center"/>
            <w:hideMark/>
          </w:tcPr>
          <w:p w:rsidR="00224701" w:rsidRDefault="00224701" w:rsidP="00770A9D">
            <w:pPr>
              <w:jc w:val="center"/>
              <w:rPr>
                <w:rFonts w:ascii="Cambria" w:hAnsi="Cambria"/>
                <w:b/>
                <w:bCs/>
                <w:color w:val="000000"/>
                <w:sz w:val="18"/>
                <w:szCs w:val="18"/>
                <w:lang w:eastAsia="en-US"/>
              </w:rPr>
            </w:pPr>
            <w:r>
              <w:rPr>
                <w:rFonts w:ascii="Cambria" w:hAnsi="Cambria"/>
                <w:b/>
                <w:bCs/>
                <w:color w:val="000000"/>
                <w:sz w:val="18"/>
                <w:szCs w:val="18"/>
                <w:lang w:eastAsia="en-US"/>
              </w:rPr>
              <w:t>Собственник:</w:t>
            </w:r>
          </w:p>
        </w:tc>
        <w:tc>
          <w:tcPr>
            <w:tcW w:w="0" w:type="auto"/>
            <w:tcBorders>
              <w:top w:val="single" w:sz="4" w:space="0" w:color="auto"/>
              <w:left w:val="nil"/>
              <w:bottom w:val="single" w:sz="4" w:space="0" w:color="auto"/>
              <w:right w:val="double" w:sz="4" w:space="0" w:color="auto"/>
            </w:tcBorders>
            <w:shd w:val="clear" w:color="auto" w:fill="FFFFFF"/>
            <w:vAlign w:val="center"/>
            <w:hideMark/>
          </w:tcPr>
          <w:p w:rsidR="00224701" w:rsidRDefault="004F632A" w:rsidP="00770A9D">
            <w:pPr>
              <w:jc w:val="center"/>
              <w:rPr>
                <w:rFonts w:ascii="Cambria" w:hAnsi="Cambria"/>
                <w:color w:val="000000"/>
                <w:sz w:val="18"/>
                <w:szCs w:val="18"/>
                <w:lang w:eastAsia="en-US"/>
              </w:rPr>
            </w:pPr>
            <w:r>
              <w:rPr>
                <w:rFonts w:ascii="Cambria" w:hAnsi="Cambria"/>
                <w:color w:val="000000"/>
                <w:sz w:val="18"/>
                <w:szCs w:val="18"/>
              </w:rPr>
              <w:t>Лаута Игорь Викторович</w:t>
            </w:r>
          </w:p>
        </w:tc>
      </w:tr>
      <w:tr w:rsidR="00224701" w:rsidTr="00770A9D">
        <w:trPr>
          <w:trHeight w:val="20"/>
          <w:jc w:val="center"/>
        </w:trPr>
        <w:tc>
          <w:tcPr>
            <w:tcW w:w="0" w:type="auto"/>
            <w:tcBorders>
              <w:top w:val="nil"/>
              <w:left w:val="double" w:sz="4" w:space="0" w:color="auto"/>
              <w:bottom w:val="double" w:sz="4" w:space="0" w:color="auto"/>
              <w:right w:val="single" w:sz="4" w:space="0" w:color="auto"/>
            </w:tcBorders>
            <w:shd w:val="clear" w:color="auto" w:fill="F2F2F2"/>
            <w:vAlign w:val="center"/>
            <w:hideMark/>
          </w:tcPr>
          <w:p w:rsidR="00224701" w:rsidRDefault="00224701" w:rsidP="00770A9D">
            <w:pPr>
              <w:jc w:val="center"/>
              <w:rPr>
                <w:rFonts w:ascii="Cambria" w:hAnsi="Cambria"/>
                <w:b/>
                <w:bCs/>
                <w:color w:val="000000"/>
                <w:sz w:val="18"/>
                <w:szCs w:val="18"/>
                <w:lang w:eastAsia="en-US"/>
              </w:rPr>
            </w:pPr>
            <w:r>
              <w:rPr>
                <w:rFonts w:ascii="Cambria" w:hAnsi="Cambria"/>
                <w:b/>
                <w:bCs/>
                <w:color w:val="000000"/>
                <w:sz w:val="18"/>
                <w:szCs w:val="18"/>
                <w:lang w:eastAsia="en-US"/>
              </w:rPr>
              <w:t>Вид права:</w:t>
            </w:r>
          </w:p>
        </w:tc>
        <w:tc>
          <w:tcPr>
            <w:tcW w:w="0" w:type="auto"/>
            <w:tcBorders>
              <w:top w:val="single" w:sz="4" w:space="0" w:color="auto"/>
              <w:left w:val="nil"/>
              <w:bottom w:val="double" w:sz="4" w:space="0" w:color="auto"/>
              <w:right w:val="double" w:sz="4" w:space="0" w:color="auto"/>
            </w:tcBorders>
            <w:vAlign w:val="center"/>
            <w:hideMark/>
          </w:tcPr>
          <w:p w:rsidR="00224701" w:rsidRDefault="00224701" w:rsidP="00770A9D">
            <w:pPr>
              <w:jc w:val="center"/>
              <w:rPr>
                <w:rFonts w:ascii="Cambria" w:hAnsi="Cambria"/>
                <w:color w:val="000000"/>
                <w:sz w:val="18"/>
                <w:szCs w:val="18"/>
                <w:lang w:eastAsia="en-US"/>
              </w:rPr>
            </w:pPr>
            <w:r>
              <w:rPr>
                <w:rFonts w:ascii="Cambria" w:hAnsi="Cambria"/>
                <w:color w:val="000000"/>
                <w:sz w:val="18"/>
                <w:szCs w:val="18"/>
                <w:lang w:eastAsia="en-US"/>
              </w:rPr>
              <w:t>Собственность</w:t>
            </w:r>
          </w:p>
        </w:tc>
      </w:tr>
    </w:tbl>
    <w:p w:rsidR="00224701" w:rsidRDefault="00224701" w:rsidP="00224701">
      <w:pPr>
        <w:ind w:firstLine="709"/>
        <w:jc w:val="both"/>
        <w:rPr>
          <w:rFonts w:asciiTheme="majorHAnsi" w:eastAsiaTheme="minorHAnsi" w:hAnsiTheme="majorHAnsi" w:cstheme="minorBidi"/>
          <w:b/>
          <w:sz w:val="18"/>
          <w:szCs w:val="18"/>
          <w:lang w:eastAsia="en-US"/>
        </w:rPr>
      </w:pPr>
    </w:p>
    <w:tbl>
      <w:tblPr>
        <w:tblW w:w="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380"/>
        <w:gridCol w:w="1372"/>
        <w:gridCol w:w="1013"/>
        <w:gridCol w:w="1588"/>
        <w:gridCol w:w="801"/>
        <w:gridCol w:w="1326"/>
        <w:gridCol w:w="1417"/>
        <w:gridCol w:w="1276"/>
        <w:gridCol w:w="1134"/>
      </w:tblGrid>
      <w:tr w:rsidR="00224701" w:rsidTr="00770A9D">
        <w:trPr>
          <w:trHeight w:val="20"/>
          <w:jc w:val="center"/>
        </w:trPr>
        <w:tc>
          <w:tcPr>
            <w:tcW w:w="380" w:type="dxa"/>
            <w:tcBorders>
              <w:top w:val="double" w:sz="4" w:space="0" w:color="auto"/>
              <w:left w:val="double" w:sz="4" w:space="0" w:color="auto"/>
              <w:bottom w:val="single" w:sz="4" w:space="0" w:color="auto"/>
              <w:right w:val="single" w:sz="4" w:space="0" w:color="auto"/>
            </w:tcBorders>
            <w:shd w:val="clear" w:color="auto" w:fill="F2F2F2"/>
            <w:vAlign w:val="center"/>
            <w:hideMark/>
          </w:tcPr>
          <w:p w:rsidR="00224701" w:rsidRDefault="00224701" w:rsidP="00770A9D">
            <w:pPr>
              <w:ind w:left="-57" w:right="-112"/>
              <w:jc w:val="center"/>
              <w:rPr>
                <w:rFonts w:ascii="Cambria" w:hAnsi="Cambria"/>
                <w:b/>
                <w:bCs/>
                <w:color w:val="000000"/>
                <w:sz w:val="18"/>
                <w:szCs w:val="18"/>
                <w:lang w:eastAsia="en-US"/>
              </w:rPr>
            </w:pPr>
            <w:r>
              <w:rPr>
                <w:rFonts w:ascii="Cambria" w:hAnsi="Cambria"/>
                <w:b/>
                <w:bCs/>
                <w:color w:val="000000"/>
                <w:sz w:val="18"/>
                <w:szCs w:val="18"/>
                <w:lang w:eastAsia="en-US"/>
              </w:rPr>
              <w:t>№ п/п</w:t>
            </w:r>
          </w:p>
        </w:tc>
        <w:tc>
          <w:tcPr>
            <w:tcW w:w="1372"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57" w:right="-112"/>
              <w:jc w:val="center"/>
              <w:rPr>
                <w:rFonts w:ascii="Cambria" w:hAnsi="Cambria"/>
                <w:b/>
                <w:bCs/>
                <w:color w:val="000000"/>
                <w:sz w:val="18"/>
                <w:szCs w:val="18"/>
                <w:lang w:eastAsia="en-US"/>
              </w:rPr>
            </w:pPr>
            <w:r>
              <w:rPr>
                <w:rFonts w:ascii="Cambria" w:hAnsi="Cambria"/>
                <w:b/>
                <w:bCs/>
                <w:color w:val="000000"/>
                <w:sz w:val="18"/>
                <w:szCs w:val="18"/>
                <w:lang w:eastAsia="en-US"/>
              </w:rPr>
              <w:t>Наименование объекта</w:t>
            </w:r>
          </w:p>
        </w:tc>
        <w:tc>
          <w:tcPr>
            <w:tcW w:w="1013"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57" w:right="-112"/>
              <w:jc w:val="center"/>
              <w:rPr>
                <w:rFonts w:ascii="Cambria" w:hAnsi="Cambria"/>
                <w:b/>
                <w:bCs/>
                <w:color w:val="000000"/>
                <w:sz w:val="18"/>
                <w:szCs w:val="18"/>
                <w:lang w:eastAsia="en-US"/>
              </w:rPr>
            </w:pPr>
            <w:r>
              <w:rPr>
                <w:rFonts w:ascii="Cambria" w:hAnsi="Cambria"/>
                <w:b/>
                <w:bCs/>
                <w:color w:val="000000"/>
                <w:sz w:val="18"/>
                <w:szCs w:val="18"/>
                <w:lang w:eastAsia="en-US"/>
              </w:rPr>
              <w:t>Этажность</w:t>
            </w:r>
          </w:p>
        </w:tc>
        <w:tc>
          <w:tcPr>
            <w:tcW w:w="1588"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57" w:right="-112"/>
              <w:jc w:val="center"/>
              <w:rPr>
                <w:rFonts w:ascii="Cambria" w:hAnsi="Cambria"/>
                <w:b/>
                <w:bCs/>
                <w:color w:val="000000"/>
                <w:sz w:val="18"/>
                <w:szCs w:val="18"/>
                <w:lang w:eastAsia="en-US"/>
              </w:rPr>
            </w:pPr>
            <w:r>
              <w:rPr>
                <w:rFonts w:ascii="Cambria" w:hAnsi="Cambria"/>
                <w:b/>
                <w:bCs/>
                <w:color w:val="000000"/>
                <w:sz w:val="18"/>
                <w:szCs w:val="18"/>
                <w:lang w:eastAsia="en-US"/>
              </w:rPr>
              <w:t>Функциональное назначение</w:t>
            </w:r>
          </w:p>
        </w:tc>
        <w:tc>
          <w:tcPr>
            <w:tcW w:w="801"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57" w:right="-112"/>
              <w:jc w:val="center"/>
              <w:rPr>
                <w:rFonts w:ascii="Cambria" w:hAnsi="Cambria"/>
                <w:b/>
                <w:bCs/>
                <w:color w:val="000000"/>
                <w:sz w:val="18"/>
                <w:szCs w:val="18"/>
                <w:lang w:eastAsia="en-US"/>
              </w:rPr>
            </w:pPr>
            <w:r>
              <w:rPr>
                <w:rFonts w:ascii="Cambria" w:hAnsi="Cambria"/>
                <w:b/>
                <w:bCs/>
                <w:color w:val="000000"/>
                <w:sz w:val="18"/>
                <w:szCs w:val="18"/>
                <w:lang w:eastAsia="en-US"/>
              </w:rPr>
              <w:t>Литеры</w:t>
            </w:r>
          </w:p>
        </w:tc>
        <w:tc>
          <w:tcPr>
            <w:tcW w:w="1326"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57" w:right="-112"/>
              <w:jc w:val="center"/>
              <w:rPr>
                <w:rFonts w:ascii="Cambria" w:hAnsi="Cambria"/>
                <w:b/>
                <w:bCs/>
                <w:color w:val="000000"/>
                <w:sz w:val="18"/>
                <w:szCs w:val="18"/>
                <w:lang w:eastAsia="en-US"/>
              </w:rPr>
            </w:pPr>
            <w:r>
              <w:rPr>
                <w:rFonts w:ascii="Cambria" w:hAnsi="Cambria"/>
                <w:b/>
                <w:bCs/>
                <w:color w:val="000000"/>
                <w:sz w:val="18"/>
                <w:szCs w:val="18"/>
                <w:lang w:eastAsia="en-US"/>
              </w:rPr>
              <w:t xml:space="preserve">Кадастр. номер согласно свид. о гос. регистрации </w:t>
            </w:r>
          </w:p>
        </w:tc>
        <w:tc>
          <w:tcPr>
            <w:tcW w:w="1417"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57" w:right="-112"/>
              <w:jc w:val="center"/>
              <w:rPr>
                <w:rFonts w:ascii="Cambria" w:hAnsi="Cambria"/>
                <w:b/>
                <w:bCs/>
                <w:color w:val="000000"/>
                <w:sz w:val="18"/>
                <w:szCs w:val="18"/>
                <w:lang w:eastAsia="en-US"/>
              </w:rPr>
            </w:pPr>
            <w:r>
              <w:rPr>
                <w:rFonts w:ascii="Cambria" w:hAnsi="Cambria"/>
                <w:b/>
                <w:bCs/>
                <w:color w:val="000000"/>
                <w:sz w:val="18"/>
                <w:szCs w:val="18"/>
                <w:lang w:eastAsia="en-US"/>
              </w:rPr>
              <w:t>Обремене</w:t>
            </w:r>
            <w:bookmarkStart w:id="35" w:name="_GoBack"/>
            <w:bookmarkEnd w:id="35"/>
            <w:r>
              <w:rPr>
                <w:rFonts w:ascii="Cambria" w:hAnsi="Cambria"/>
                <w:b/>
                <w:bCs/>
                <w:color w:val="000000"/>
                <w:sz w:val="18"/>
                <w:szCs w:val="18"/>
                <w:lang w:eastAsia="en-US"/>
              </w:rPr>
              <w:t>ния</w:t>
            </w:r>
          </w:p>
        </w:tc>
        <w:tc>
          <w:tcPr>
            <w:tcW w:w="1276"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57" w:right="-112"/>
              <w:jc w:val="center"/>
              <w:rPr>
                <w:rFonts w:ascii="Cambria" w:hAnsi="Cambria"/>
                <w:b/>
                <w:bCs/>
                <w:color w:val="000000"/>
                <w:sz w:val="18"/>
                <w:szCs w:val="18"/>
                <w:lang w:eastAsia="en-US"/>
              </w:rPr>
            </w:pPr>
            <w:r>
              <w:rPr>
                <w:rFonts w:ascii="Cambria" w:hAnsi="Cambria"/>
                <w:b/>
                <w:bCs/>
                <w:color w:val="000000"/>
                <w:sz w:val="18"/>
                <w:szCs w:val="18"/>
                <w:lang w:eastAsia="en-US"/>
              </w:rPr>
              <w:t>№№ и дата свидетельства о гос. регистр. прав</w:t>
            </w:r>
          </w:p>
        </w:tc>
        <w:tc>
          <w:tcPr>
            <w:tcW w:w="1134" w:type="dxa"/>
            <w:tcBorders>
              <w:top w:val="double" w:sz="4" w:space="0" w:color="auto"/>
              <w:left w:val="single" w:sz="4" w:space="0" w:color="auto"/>
              <w:bottom w:val="single" w:sz="4" w:space="0" w:color="auto"/>
              <w:right w:val="double" w:sz="4" w:space="0" w:color="auto"/>
            </w:tcBorders>
            <w:shd w:val="clear" w:color="auto" w:fill="F2F2F2"/>
            <w:vAlign w:val="center"/>
            <w:hideMark/>
          </w:tcPr>
          <w:p w:rsidR="00224701" w:rsidRDefault="00224701" w:rsidP="00770A9D">
            <w:pPr>
              <w:ind w:left="-57" w:right="-112"/>
              <w:jc w:val="center"/>
              <w:rPr>
                <w:rFonts w:ascii="Cambria" w:hAnsi="Cambria"/>
                <w:b/>
                <w:bCs/>
                <w:color w:val="000000"/>
                <w:sz w:val="18"/>
                <w:szCs w:val="18"/>
                <w:lang w:eastAsia="en-US"/>
              </w:rPr>
            </w:pPr>
            <w:r>
              <w:rPr>
                <w:rFonts w:ascii="Cambria" w:hAnsi="Cambria"/>
                <w:b/>
                <w:bCs/>
                <w:color w:val="000000"/>
                <w:sz w:val="18"/>
                <w:szCs w:val="18"/>
                <w:lang w:eastAsia="en-US"/>
              </w:rPr>
              <w:t>Сведения о балансовой стоимость объекта</w:t>
            </w:r>
          </w:p>
        </w:tc>
      </w:tr>
      <w:tr w:rsidR="00224701" w:rsidTr="00770A9D">
        <w:trPr>
          <w:trHeight w:val="20"/>
          <w:jc w:val="center"/>
        </w:trPr>
        <w:tc>
          <w:tcPr>
            <w:tcW w:w="380" w:type="dxa"/>
            <w:tcBorders>
              <w:top w:val="single" w:sz="4" w:space="0" w:color="auto"/>
              <w:left w:val="double" w:sz="4" w:space="0" w:color="auto"/>
              <w:bottom w:val="double" w:sz="4" w:space="0" w:color="auto"/>
              <w:right w:val="single" w:sz="4" w:space="0" w:color="auto"/>
            </w:tcBorders>
            <w:vAlign w:val="center"/>
            <w:hideMark/>
          </w:tcPr>
          <w:p w:rsidR="00224701" w:rsidRDefault="00224701" w:rsidP="00770A9D">
            <w:pPr>
              <w:ind w:left="-57" w:right="-112"/>
              <w:jc w:val="center"/>
              <w:rPr>
                <w:rFonts w:ascii="Cambria" w:hAnsi="Cambria"/>
                <w:color w:val="000000"/>
                <w:sz w:val="18"/>
                <w:szCs w:val="18"/>
                <w:lang w:eastAsia="en-US"/>
              </w:rPr>
            </w:pPr>
            <w:r>
              <w:rPr>
                <w:rFonts w:ascii="Cambria" w:hAnsi="Cambria"/>
                <w:color w:val="000000"/>
                <w:sz w:val="18"/>
                <w:szCs w:val="18"/>
                <w:lang w:eastAsia="en-US"/>
              </w:rPr>
              <w:t>1</w:t>
            </w:r>
          </w:p>
        </w:tc>
        <w:tc>
          <w:tcPr>
            <w:tcW w:w="1372"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57" w:right="-112"/>
              <w:jc w:val="center"/>
              <w:rPr>
                <w:rFonts w:ascii="Cambria" w:hAnsi="Cambria"/>
                <w:color w:val="000000"/>
                <w:sz w:val="18"/>
                <w:szCs w:val="18"/>
                <w:lang w:eastAsia="en-US"/>
              </w:rPr>
            </w:pPr>
            <w:r>
              <w:rPr>
                <w:rFonts w:ascii="Cambria" w:hAnsi="Cambria"/>
                <w:color w:val="000000"/>
                <w:sz w:val="18"/>
                <w:szCs w:val="18"/>
                <w:lang w:eastAsia="en-US"/>
              </w:rPr>
              <w:t>Нежилые строения (Производственный корпус)</w:t>
            </w:r>
          </w:p>
        </w:tc>
        <w:tc>
          <w:tcPr>
            <w:tcW w:w="1013"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57" w:right="-112"/>
              <w:jc w:val="center"/>
              <w:rPr>
                <w:rFonts w:ascii="Cambria" w:hAnsi="Cambria"/>
                <w:color w:val="000000"/>
                <w:sz w:val="18"/>
                <w:szCs w:val="18"/>
                <w:lang w:eastAsia="en-US"/>
              </w:rPr>
            </w:pPr>
            <w:r>
              <w:rPr>
                <w:rFonts w:ascii="Cambria" w:hAnsi="Cambria"/>
                <w:color w:val="000000"/>
                <w:sz w:val="18"/>
                <w:szCs w:val="18"/>
                <w:lang w:eastAsia="en-US"/>
              </w:rPr>
              <w:t>1</w:t>
            </w:r>
          </w:p>
        </w:tc>
        <w:tc>
          <w:tcPr>
            <w:tcW w:w="1588"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57" w:right="-112"/>
              <w:jc w:val="center"/>
              <w:rPr>
                <w:rFonts w:ascii="Cambria" w:hAnsi="Cambria"/>
                <w:color w:val="000000"/>
                <w:sz w:val="18"/>
                <w:szCs w:val="18"/>
                <w:lang w:eastAsia="en-US"/>
              </w:rPr>
            </w:pPr>
            <w:r>
              <w:rPr>
                <w:rFonts w:ascii="Cambria" w:hAnsi="Cambria"/>
                <w:color w:val="000000"/>
                <w:sz w:val="18"/>
                <w:szCs w:val="18"/>
                <w:lang w:eastAsia="en-US"/>
              </w:rPr>
              <w:t>Нежилое помещение</w:t>
            </w:r>
          </w:p>
        </w:tc>
        <w:tc>
          <w:tcPr>
            <w:tcW w:w="801"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57" w:right="-112"/>
              <w:jc w:val="center"/>
              <w:rPr>
                <w:rFonts w:ascii="Cambria" w:hAnsi="Cambria"/>
                <w:color w:val="000000"/>
                <w:sz w:val="18"/>
                <w:szCs w:val="18"/>
                <w:lang w:eastAsia="en-US"/>
              </w:rPr>
            </w:pPr>
            <w:r>
              <w:rPr>
                <w:rFonts w:ascii="Cambria" w:hAnsi="Cambria"/>
                <w:color w:val="000000"/>
                <w:sz w:val="18"/>
                <w:szCs w:val="18"/>
                <w:lang w:eastAsia="en-US"/>
              </w:rPr>
              <w:t>Б,б</w:t>
            </w:r>
          </w:p>
        </w:tc>
        <w:tc>
          <w:tcPr>
            <w:tcW w:w="1326"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57" w:right="-112"/>
              <w:jc w:val="center"/>
              <w:rPr>
                <w:rFonts w:ascii="Cambria" w:hAnsi="Cambria"/>
                <w:color w:val="000000"/>
                <w:sz w:val="18"/>
                <w:szCs w:val="18"/>
                <w:lang w:eastAsia="en-US"/>
              </w:rPr>
            </w:pPr>
            <w:r>
              <w:rPr>
                <w:rFonts w:ascii="Cambria" w:hAnsi="Cambria"/>
                <w:color w:val="000000"/>
                <w:sz w:val="18"/>
                <w:szCs w:val="18"/>
                <w:lang w:eastAsia="en-US"/>
              </w:rPr>
              <w:t>31:16:23:1 /99:37</w:t>
            </w:r>
          </w:p>
        </w:tc>
        <w:tc>
          <w:tcPr>
            <w:tcW w:w="1417" w:type="dxa"/>
            <w:tcBorders>
              <w:top w:val="single" w:sz="4" w:space="0" w:color="auto"/>
              <w:left w:val="single" w:sz="4" w:space="0" w:color="auto"/>
              <w:bottom w:val="double" w:sz="4" w:space="0" w:color="auto"/>
              <w:right w:val="single" w:sz="4" w:space="0" w:color="auto"/>
            </w:tcBorders>
            <w:shd w:val="clear" w:color="auto" w:fill="FFFFFF"/>
            <w:vAlign w:val="center"/>
            <w:hideMark/>
          </w:tcPr>
          <w:p w:rsidR="00224701" w:rsidRDefault="00224701" w:rsidP="00770A9D">
            <w:pPr>
              <w:ind w:left="-57" w:right="-112"/>
              <w:jc w:val="center"/>
              <w:rPr>
                <w:rFonts w:ascii="Cambria" w:hAnsi="Cambria"/>
                <w:color w:val="000000"/>
                <w:sz w:val="18"/>
                <w:szCs w:val="18"/>
                <w:lang w:eastAsia="en-US"/>
              </w:rPr>
            </w:pPr>
            <w:r>
              <w:rPr>
                <w:rFonts w:ascii="Cambria" w:hAnsi="Cambria"/>
                <w:color w:val="000000"/>
                <w:sz w:val="18"/>
                <w:szCs w:val="18"/>
                <w:lang w:eastAsia="en-US"/>
              </w:rPr>
              <w:t>залог у ПАО «ВТБ»</w:t>
            </w:r>
          </w:p>
        </w:tc>
        <w:tc>
          <w:tcPr>
            <w:tcW w:w="1276" w:type="dxa"/>
            <w:tcBorders>
              <w:top w:val="single" w:sz="4" w:space="0" w:color="auto"/>
              <w:left w:val="single" w:sz="4" w:space="0" w:color="auto"/>
              <w:bottom w:val="double" w:sz="4" w:space="0" w:color="auto"/>
              <w:right w:val="single" w:sz="4" w:space="0" w:color="auto"/>
            </w:tcBorders>
            <w:shd w:val="clear" w:color="auto" w:fill="FFFFFF"/>
            <w:vAlign w:val="center"/>
            <w:hideMark/>
          </w:tcPr>
          <w:p w:rsidR="00224701" w:rsidRDefault="00224701" w:rsidP="00770A9D">
            <w:pPr>
              <w:ind w:left="-57" w:right="-112"/>
              <w:jc w:val="center"/>
              <w:rPr>
                <w:rFonts w:ascii="Cambria" w:hAnsi="Cambria"/>
                <w:color w:val="000000"/>
                <w:sz w:val="18"/>
                <w:szCs w:val="18"/>
                <w:lang w:eastAsia="en-US"/>
              </w:rPr>
            </w:pPr>
            <w:r>
              <w:rPr>
                <w:rFonts w:ascii="Cambria" w:hAnsi="Cambria"/>
                <w:color w:val="000000"/>
                <w:sz w:val="18"/>
                <w:szCs w:val="18"/>
                <w:lang w:eastAsia="en-US"/>
              </w:rPr>
              <w:t>31 №5738 от 04.10.1999</w:t>
            </w:r>
          </w:p>
        </w:tc>
        <w:tc>
          <w:tcPr>
            <w:tcW w:w="1134" w:type="dxa"/>
            <w:tcBorders>
              <w:top w:val="single" w:sz="4" w:space="0" w:color="auto"/>
              <w:left w:val="single" w:sz="4" w:space="0" w:color="auto"/>
              <w:bottom w:val="double" w:sz="4" w:space="0" w:color="auto"/>
              <w:right w:val="double" w:sz="4" w:space="0" w:color="auto"/>
            </w:tcBorders>
            <w:vAlign w:val="center"/>
            <w:hideMark/>
          </w:tcPr>
          <w:p w:rsidR="00224701" w:rsidRDefault="00224701" w:rsidP="00770A9D">
            <w:pPr>
              <w:ind w:left="-57" w:right="-112"/>
              <w:jc w:val="center"/>
              <w:rPr>
                <w:rFonts w:ascii="Cambria" w:hAnsi="Cambria"/>
                <w:color w:val="000000"/>
                <w:sz w:val="18"/>
                <w:szCs w:val="18"/>
                <w:lang w:eastAsia="en-US"/>
              </w:rPr>
            </w:pPr>
            <w:r>
              <w:rPr>
                <w:rFonts w:ascii="Cambria" w:hAnsi="Cambria"/>
                <w:color w:val="000000"/>
                <w:sz w:val="18"/>
                <w:szCs w:val="18"/>
                <w:lang w:eastAsia="en-US"/>
              </w:rPr>
              <w:t>Отсутствует</w:t>
            </w:r>
          </w:p>
        </w:tc>
      </w:tr>
    </w:tbl>
    <w:p w:rsidR="00224701" w:rsidRDefault="00224701" w:rsidP="00224701">
      <w:pPr>
        <w:ind w:firstLine="709"/>
        <w:jc w:val="both"/>
        <w:rPr>
          <w:rFonts w:asciiTheme="majorHAnsi" w:eastAsiaTheme="minorHAnsi" w:hAnsiTheme="majorHAnsi" w:cstheme="minorBidi"/>
          <w:b/>
          <w:sz w:val="20"/>
          <w:szCs w:val="22"/>
          <w:lang w:eastAsia="en-US"/>
        </w:rPr>
      </w:pPr>
    </w:p>
    <w:tbl>
      <w:tblPr>
        <w:tblW w:w="0" w:type="auto"/>
        <w:jc w:val="center"/>
        <w:tblLook w:val="04A0" w:firstRow="1" w:lastRow="0" w:firstColumn="1" w:lastColumn="0" w:noHBand="0" w:noVBand="1"/>
      </w:tblPr>
      <w:tblGrid>
        <w:gridCol w:w="2684"/>
        <w:gridCol w:w="5179"/>
      </w:tblGrid>
      <w:tr w:rsidR="00224701" w:rsidTr="00770A9D">
        <w:trPr>
          <w:trHeight w:val="18"/>
          <w:jc w:val="center"/>
        </w:trPr>
        <w:tc>
          <w:tcPr>
            <w:tcW w:w="7863" w:type="dxa"/>
            <w:gridSpan w:val="2"/>
            <w:tcBorders>
              <w:top w:val="double" w:sz="4" w:space="0" w:color="auto"/>
              <w:left w:val="double" w:sz="4" w:space="0" w:color="auto"/>
              <w:bottom w:val="single" w:sz="4" w:space="0" w:color="auto"/>
              <w:right w:val="double" w:sz="4" w:space="0" w:color="auto"/>
            </w:tcBorders>
            <w:shd w:val="clear" w:color="auto" w:fill="F2F2F2"/>
            <w:vAlign w:val="center"/>
            <w:hideMark/>
          </w:tcPr>
          <w:p w:rsidR="00224701" w:rsidRDefault="00224701" w:rsidP="00770A9D">
            <w:pPr>
              <w:jc w:val="center"/>
              <w:rPr>
                <w:rFonts w:asciiTheme="majorHAnsi" w:hAnsiTheme="majorHAnsi"/>
                <w:b/>
                <w:bCs/>
                <w:color w:val="000000"/>
                <w:sz w:val="18"/>
                <w:szCs w:val="18"/>
                <w:lang w:eastAsia="en-US"/>
              </w:rPr>
            </w:pPr>
            <w:r>
              <w:rPr>
                <w:rFonts w:asciiTheme="majorHAnsi" w:hAnsiTheme="majorHAnsi"/>
                <w:b/>
                <w:bCs/>
                <w:color w:val="000000"/>
                <w:sz w:val="18"/>
                <w:szCs w:val="18"/>
                <w:lang w:eastAsia="en-US"/>
              </w:rPr>
              <w:t>Сведения о земельном участке на котором расположены ОКС производственного корпуса</w:t>
            </w:r>
          </w:p>
        </w:tc>
      </w:tr>
      <w:tr w:rsidR="00224701" w:rsidTr="00770A9D">
        <w:trPr>
          <w:trHeight w:val="18"/>
          <w:jc w:val="center"/>
        </w:trPr>
        <w:tc>
          <w:tcPr>
            <w:tcW w:w="2684" w:type="dxa"/>
            <w:tcBorders>
              <w:top w:val="nil"/>
              <w:left w:val="double" w:sz="4" w:space="0" w:color="auto"/>
              <w:bottom w:val="single" w:sz="4" w:space="0" w:color="auto"/>
              <w:right w:val="single" w:sz="4" w:space="0" w:color="auto"/>
            </w:tcBorders>
            <w:shd w:val="clear" w:color="auto" w:fill="F2F2F2"/>
            <w:vAlign w:val="center"/>
            <w:hideMark/>
          </w:tcPr>
          <w:p w:rsidR="00224701" w:rsidRDefault="00224701" w:rsidP="00770A9D">
            <w:pPr>
              <w:jc w:val="center"/>
              <w:rPr>
                <w:rFonts w:asciiTheme="majorHAnsi" w:hAnsiTheme="majorHAnsi"/>
                <w:color w:val="000000"/>
                <w:sz w:val="18"/>
                <w:szCs w:val="18"/>
                <w:lang w:eastAsia="en-US"/>
              </w:rPr>
            </w:pPr>
            <w:r>
              <w:rPr>
                <w:rFonts w:asciiTheme="majorHAnsi" w:hAnsiTheme="majorHAnsi"/>
                <w:b/>
                <w:bCs/>
                <w:color w:val="000000"/>
                <w:sz w:val="18"/>
                <w:szCs w:val="18"/>
                <w:lang w:eastAsia="en-US"/>
              </w:rPr>
              <w:t>Адрес объекта оценки</w:t>
            </w:r>
          </w:p>
        </w:tc>
        <w:tc>
          <w:tcPr>
            <w:tcW w:w="5179" w:type="dxa"/>
            <w:tcBorders>
              <w:top w:val="single" w:sz="4" w:space="0" w:color="auto"/>
              <w:left w:val="nil"/>
              <w:bottom w:val="single" w:sz="4" w:space="0" w:color="auto"/>
              <w:right w:val="double" w:sz="4" w:space="0" w:color="auto"/>
            </w:tcBorders>
            <w:shd w:val="clear" w:color="auto" w:fill="FFFFFF"/>
            <w:vAlign w:val="center"/>
            <w:hideMark/>
          </w:tcPr>
          <w:p w:rsidR="00224701" w:rsidRDefault="00224701" w:rsidP="00770A9D">
            <w:pPr>
              <w:jc w:val="center"/>
              <w:rPr>
                <w:rFonts w:asciiTheme="majorHAnsi" w:hAnsiTheme="majorHAnsi"/>
                <w:color w:val="000000"/>
                <w:sz w:val="18"/>
                <w:szCs w:val="18"/>
                <w:lang w:eastAsia="en-US"/>
              </w:rPr>
            </w:pPr>
            <w:r>
              <w:rPr>
                <w:rFonts w:asciiTheme="majorHAnsi" w:hAnsiTheme="majorHAnsi"/>
                <w:color w:val="000000"/>
                <w:sz w:val="18"/>
                <w:szCs w:val="18"/>
                <w:lang w:eastAsia="en-US"/>
              </w:rPr>
              <w:t>Белгородская обл. г. Белгород, ул Мирная, 21</w:t>
            </w:r>
          </w:p>
        </w:tc>
      </w:tr>
      <w:tr w:rsidR="00224701" w:rsidTr="00770A9D">
        <w:trPr>
          <w:trHeight w:val="18"/>
          <w:jc w:val="center"/>
        </w:trPr>
        <w:tc>
          <w:tcPr>
            <w:tcW w:w="2684" w:type="dxa"/>
            <w:tcBorders>
              <w:top w:val="nil"/>
              <w:left w:val="double" w:sz="4" w:space="0" w:color="auto"/>
              <w:bottom w:val="single" w:sz="4" w:space="0" w:color="auto"/>
              <w:right w:val="single" w:sz="4" w:space="0" w:color="auto"/>
            </w:tcBorders>
            <w:shd w:val="clear" w:color="auto" w:fill="F2F2F2"/>
            <w:vAlign w:val="center"/>
            <w:hideMark/>
          </w:tcPr>
          <w:p w:rsidR="00224701" w:rsidRDefault="00224701" w:rsidP="00770A9D">
            <w:pPr>
              <w:jc w:val="center"/>
              <w:rPr>
                <w:rFonts w:asciiTheme="majorHAnsi" w:hAnsiTheme="majorHAnsi"/>
                <w:b/>
                <w:bCs/>
                <w:color w:val="000000"/>
                <w:sz w:val="18"/>
                <w:szCs w:val="18"/>
                <w:lang w:eastAsia="en-US"/>
              </w:rPr>
            </w:pPr>
            <w:r>
              <w:rPr>
                <w:rFonts w:asciiTheme="majorHAnsi" w:hAnsiTheme="majorHAnsi"/>
                <w:b/>
                <w:bCs/>
                <w:color w:val="000000"/>
                <w:sz w:val="18"/>
                <w:szCs w:val="18"/>
                <w:lang w:eastAsia="en-US"/>
              </w:rPr>
              <w:t>Субъект права</w:t>
            </w:r>
          </w:p>
        </w:tc>
        <w:tc>
          <w:tcPr>
            <w:tcW w:w="5179" w:type="dxa"/>
            <w:tcBorders>
              <w:top w:val="single" w:sz="4" w:space="0" w:color="auto"/>
              <w:left w:val="nil"/>
              <w:bottom w:val="single" w:sz="4" w:space="0" w:color="auto"/>
              <w:right w:val="double" w:sz="4" w:space="0" w:color="auto"/>
            </w:tcBorders>
            <w:shd w:val="clear" w:color="auto" w:fill="FFFFFF"/>
            <w:vAlign w:val="center"/>
            <w:hideMark/>
          </w:tcPr>
          <w:p w:rsidR="00224701" w:rsidRDefault="004F632A" w:rsidP="00770A9D">
            <w:pPr>
              <w:jc w:val="center"/>
              <w:rPr>
                <w:rFonts w:ascii="Cambria" w:hAnsi="Cambria"/>
                <w:color w:val="000000"/>
                <w:sz w:val="18"/>
                <w:szCs w:val="18"/>
                <w:lang w:eastAsia="en-US"/>
              </w:rPr>
            </w:pPr>
            <w:r>
              <w:rPr>
                <w:rFonts w:ascii="Cambria" w:hAnsi="Cambria"/>
                <w:color w:val="000000"/>
                <w:sz w:val="18"/>
                <w:szCs w:val="18"/>
              </w:rPr>
              <w:t>Лаута Игорь Викторович</w:t>
            </w:r>
          </w:p>
        </w:tc>
      </w:tr>
      <w:tr w:rsidR="00224701" w:rsidTr="00770A9D">
        <w:trPr>
          <w:trHeight w:val="18"/>
          <w:jc w:val="center"/>
        </w:trPr>
        <w:tc>
          <w:tcPr>
            <w:tcW w:w="2684" w:type="dxa"/>
            <w:tcBorders>
              <w:top w:val="nil"/>
              <w:left w:val="double" w:sz="4" w:space="0" w:color="auto"/>
              <w:bottom w:val="double" w:sz="4" w:space="0" w:color="auto"/>
              <w:right w:val="single" w:sz="4" w:space="0" w:color="auto"/>
            </w:tcBorders>
            <w:shd w:val="clear" w:color="auto" w:fill="F2F2F2"/>
            <w:vAlign w:val="center"/>
            <w:hideMark/>
          </w:tcPr>
          <w:p w:rsidR="00224701" w:rsidRDefault="00224701" w:rsidP="00770A9D">
            <w:pPr>
              <w:jc w:val="center"/>
              <w:rPr>
                <w:rFonts w:asciiTheme="majorHAnsi" w:hAnsiTheme="majorHAnsi"/>
                <w:b/>
                <w:bCs/>
                <w:color w:val="000000"/>
                <w:sz w:val="18"/>
                <w:szCs w:val="18"/>
                <w:lang w:eastAsia="en-US"/>
              </w:rPr>
            </w:pPr>
            <w:r>
              <w:rPr>
                <w:rFonts w:asciiTheme="majorHAnsi" w:hAnsiTheme="majorHAnsi"/>
                <w:b/>
                <w:bCs/>
                <w:color w:val="000000"/>
                <w:sz w:val="18"/>
                <w:szCs w:val="18"/>
                <w:lang w:eastAsia="en-US"/>
              </w:rPr>
              <w:t>Вид права</w:t>
            </w:r>
          </w:p>
        </w:tc>
        <w:tc>
          <w:tcPr>
            <w:tcW w:w="5179" w:type="dxa"/>
            <w:tcBorders>
              <w:top w:val="single" w:sz="4" w:space="0" w:color="auto"/>
              <w:left w:val="nil"/>
              <w:bottom w:val="double" w:sz="4" w:space="0" w:color="auto"/>
              <w:right w:val="double" w:sz="4" w:space="0" w:color="auto"/>
            </w:tcBorders>
            <w:vAlign w:val="center"/>
            <w:hideMark/>
          </w:tcPr>
          <w:p w:rsidR="00224701" w:rsidRDefault="00224701" w:rsidP="00770A9D">
            <w:pPr>
              <w:jc w:val="center"/>
              <w:rPr>
                <w:rFonts w:ascii="Cambria" w:hAnsi="Cambria"/>
                <w:color w:val="000000"/>
                <w:sz w:val="18"/>
                <w:szCs w:val="18"/>
                <w:lang w:eastAsia="en-US"/>
              </w:rPr>
            </w:pPr>
            <w:r>
              <w:rPr>
                <w:rFonts w:ascii="Cambria" w:hAnsi="Cambria"/>
                <w:color w:val="000000"/>
                <w:sz w:val="18"/>
                <w:szCs w:val="18"/>
                <w:lang w:eastAsia="en-US"/>
              </w:rPr>
              <w:t>Постоянное право бессрочного пользования</w:t>
            </w:r>
          </w:p>
        </w:tc>
      </w:tr>
    </w:tbl>
    <w:p w:rsidR="00224701" w:rsidRDefault="00224701" w:rsidP="00224701">
      <w:pPr>
        <w:ind w:firstLine="709"/>
        <w:jc w:val="both"/>
        <w:rPr>
          <w:rFonts w:asciiTheme="majorHAnsi" w:eastAsiaTheme="minorHAnsi" w:hAnsiTheme="majorHAnsi" w:cstheme="minorBidi"/>
          <w:b/>
          <w:sz w:val="18"/>
          <w:szCs w:val="18"/>
          <w:lang w:eastAsia="en-US"/>
        </w:rPr>
      </w:pPr>
    </w:p>
    <w:tbl>
      <w:tblPr>
        <w:tblW w:w="0" w:type="dxa"/>
        <w:tblInd w:w="93"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349"/>
        <w:gridCol w:w="747"/>
        <w:gridCol w:w="1321"/>
        <w:gridCol w:w="1134"/>
        <w:gridCol w:w="1455"/>
        <w:gridCol w:w="1522"/>
        <w:gridCol w:w="1401"/>
        <w:gridCol w:w="1425"/>
      </w:tblGrid>
      <w:tr w:rsidR="00224701" w:rsidTr="00770A9D">
        <w:trPr>
          <w:trHeight w:val="726"/>
        </w:trPr>
        <w:tc>
          <w:tcPr>
            <w:tcW w:w="1349" w:type="dxa"/>
            <w:tcBorders>
              <w:top w:val="double" w:sz="4" w:space="0" w:color="auto"/>
              <w:left w:val="double" w:sz="4" w:space="0" w:color="auto"/>
              <w:bottom w:val="single" w:sz="4" w:space="0" w:color="auto"/>
              <w:right w:val="single" w:sz="4" w:space="0" w:color="auto"/>
            </w:tcBorders>
            <w:shd w:val="clear" w:color="auto" w:fill="F2F2F2"/>
            <w:vAlign w:val="center"/>
            <w:hideMark/>
          </w:tcPr>
          <w:p w:rsidR="00224701" w:rsidRDefault="00224701" w:rsidP="00770A9D">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Адрес земельного участка</w:t>
            </w:r>
          </w:p>
        </w:tc>
        <w:tc>
          <w:tcPr>
            <w:tcW w:w="747"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Размер (кв. м.)</w:t>
            </w:r>
          </w:p>
        </w:tc>
        <w:tc>
          <w:tcPr>
            <w:tcW w:w="1321"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Кадастровый  номер</w:t>
            </w:r>
          </w:p>
        </w:tc>
        <w:tc>
          <w:tcPr>
            <w:tcW w:w="1134"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Назначение</w:t>
            </w:r>
          </w:p>
        </w:tc>
        <w:tc>
          <w:tcPr>
            <w:tcW w:w="1455"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Разрешенное использование</w:t>
            </w:r>
          </w:p>
        </w:tc>
        <w:tc>
          <w:tcPr>
            <w:tcW w:w="1522"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Фактическое использование</w:t>
            </w:r>
          </w:p>
        </w:tc>
        <w:tc>
          <w:tcPr>
            <w:tcW w:w="1401"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 и дата свидетельства о гос. регистр. прав</w:t>
            </w:r>
          </w:p>
        </w:tc>
        <w:tc>
          <w:tcPr>
            <w:tcW w:w="1425" w:type="dxa"/>
            <w:tcBorders>
              <w:top w:val="double" w:sz="4" w:space="0" w:color="auto"/>
              <w:left w:val="single" w:sz="4" w:space="0" w:color="auto"/>
              <w:bottom w:val="single" w:sz="4" w:space="0" w:color="auto"/>
              <w:right w:val="double" w:sz="4" w:space="0" w:color="auto"/>
            </w:tcBorders>
            <w:shd w:val="clear" w:color="auto" w:fill="F2F2F2"/>
            <w:vAlign w:val="center"/>
            <w:hideMark/>
          </w:tcPr>
          <w:p w:rsidR="00224701" w:rsidRDefault="00224701" w:rsidP="00770A9D">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 и дата регистрации в Едином гос. реестре прав на недвиж. имущ.</w:t>
            </w:r>
          </w:p>
        </w:tc>
      </w:tr>
      <w:tr w:rsidR="00224701" w:rsidTr="00770A9D">
        <w:trPr>
          <w:trHeight w:val="1082"/>
        </w:trPr>
        <w:tc>
          <w:tcPr>
            <w:tcW w:w="1349" w:type="dxa"/>
            <w:tcBorders>
              <w:top w:val="single" w:sz="4" w:space="0" w:color="auto"/>
              <w:left w:val="double" w:sz="4" w:space="0" w:color="auto"/>
              <w:bottom w:val="double" w:sz="4" w:space="0" w:color="auto"/>
              <w:right w:val="single" w:sz="4" w:space="0" w:color="auto"/>
            </w:tcBorders>
            <w:vAlign w:val="center"/>
            <w:hideMark/>
          </w:tcPr>
          <w:p w:rsidR="00224701" w:rsidRDefault="00224701" w:rsidP="00770A9D">
            <w:pPr>
              <w:ind w:left="-93" w:right="-90"/>
              <w:jc w:val="center"/>
              <w:rPr>
                <w:rFonts w:ascii="Cambria" w:hAnsi="Cambria"/>
                <w:color w:val="000000"/>
                <w:sz w:val="18"/>
                <w:szCs w:val="18"/>
                <w:lang w:eastAsia="en-US"/>
              </w:rPr>
            </w:pPr>
            <w:r>
              <w:rPr>
                <w:rFonts w:ascii="Cambria" w:hAnsi="Cambria"/>
                <w:color w:val="000000"/>
                <w:sz w:val="18"/>
                <w:szCs w:val="18"/>
                <w:lang w:eastAsia="en-US"/>
              </w:rPr>
              <w:t>Белгородская обл. г. Белгород, ул Мирная, 21</w:t>
            </w:r>
          </w:p>
        </w:tc>
        <w:tc>
          <w:tcPr>
            <w:tcW w:w="747"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93" w:right="-90"/>
              <w:jc w:val="center"/>
              <w:rPr>
                <w:rFonts w:ascii="Cambria" w:hAnsi="Cambria"/>
                <w:color w:val="000000"/>
                <w:sz w:val="18"/>
                <w:szCs w:val="18"/>
                <w:lang w:eastAsia="en-US"/>
              </w:rPr>
            </w:pPr>
            <w:r>
              <w:rPr>
                <w:rFonts w:ascii="Cambria" w:hAnsi="Cambria"/>
                <w:color w:val="000000"/>
                <w:sz w:val="18"/>
                <w:szCs w:val="18"/>
                <w:lang w:eastAsia="en-US"/>
              </w:rPr>
              <w:t>83276</w:t>
            </w:r>
          </w:p>
        </w:tc>
        <w:tc>
          <w:tcPr>
            <w:tcW w:w="1321"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93" w:right="-90"/>
              <w:jc w:val="center"/>
              <w:rPr>
                <w:rFonts w:ascii="Cambria" w:hAnsi="Cambria"/>
                <w:color w:val="000000"/>
                <w:sz w:val="18"/>
                <w:szCs w:val="18"/>
                <w:lang w:eastAsia="en-US"/>
              </w:rPr>
            </w:pPr>
            <w:r>
              <w:rPr>
                <w:rFonts w:ascii="Cambria" w:hAnsi="Cambria"/>
                <w:color w:val="000000"/>
                <w:sz w:val="18"/>
                <w:szCs w:val="18"/>
                <w:lang w:eastAsia="en-US"/>
              </w:rPr>
              <w:t>31:16:01 10 15:04</w:t>
            </w:r>
          </w:p>
        </w:tc>
        <w:tc>
          <w:tcPr>
            <w:tcW w:w="1134"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93" w:right="-90"/>
              <w:jc w:val="center"/>
              <w:rPr>
                <w:rFonts w:ascii="Cambria" w:hAnsi="Cambria"/>
                <w:color w:val="000000"/>
                <w:sz w:val="18"/>
                <w:szCs w:val="18"/>
                <w:lang w:eastAsia="en-US"/>
              </w:rPr>
            </w:pPr>
            <w:r>
              <w:rPr>
                <w:rFonts w:ascii="Cambria" w:hAnsi="Cambria"/>
                <w:color w:val="000000"/>
                <w:sz w:val="18"/>
                <w:szCs w:val="18"/>
                <w:lang w:eastAsia="en-US"/>
              </w:rPr>
              <w:t>Земли населенных пунктов</w:t>
            </w:r>
          </w:p>
        </w:tc>
        <w:tc>
          <w:tcPr>
            <w:tcW w:w="1455"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93" w:right="-90"/>
              <w:jc w:val="center"/>
              <w:rPr>
                <w:rFonts w:ascii="Cambria" w:hAnsi="Cambria"/>
                <w:color w:val="000000"/>
                <w:sz w:val="18"/>
                <w:szCs w:val="18"/>
                <w:lang w:eastAsia="en-US"/>
              </w:rPr>
            </w:pPr>
            <w:r>
              <w:rPr>
                <w:rFonts w:ascii="Cambria" w:hAnsi="Cambria"/>
                <w:color w:val="000000"/>
                <w:sz w:val="18"/>
                <w:szCs w:val="18"/>
                <w:lang w:eastAsia="en-US"/>
              </w:rPr>
              <w:t>Для производственной деятельности</w:t>
            </w:r>
          </w:p>
        </w:tc>
        <w:tc>
          <w:tcPr>
            <w:tcW w:w="1522"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93" w:right="-90"/>
              <w:jc w:val="center"/>
              <w:rPr>
                <w:rFonts w:ascii="Cambria" w:hAnsi="Cambria"/>
                <w:color w:val="000000"/>
                <w:sz w:val="18"/>
                <w:szCs w:val="18"/>
                <w:lang w:eastAsia="en-US"/>
              </w:rPr>
            </w:pPr>
            <w:r>
              <w:rPr>
                <w:rFonts w:ascii="Cambria" w:hAnsi="Cambria"/>
                <w:color w:val="000000"/>
                <w:sz w:val="18"/>
                <w:szCs w:val="18"/>
                <w:lang w:eastAsia="en-US"/>
              </w:rPr>
              <w:t>Эксплуатация нежилых помещений производственного корпуса</w:t>
            </w:r>
          </w:p>
        </w:tc>
        <w:tc>
          <w:tcPr>
            <w:tcW w:w="1401"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93" w:right="-90"/>
              <w:jc w:val="center"/>
              <w:rPr>
                <w:rFonts w:ascii="Cambria" w:hAnsi="Cambria"/>
                <w:color w:val="000000"/>
                <w:sz w:val="18"/>
                <w:szCs w:val="18"/>
                <w:lang w:eastAsia="en-US"/>
              </w:rPr>
            </w:pPr>
            <w:r>
              <w:rPr>
                <w:rFonts w:ascii="Cambria" w:hAnsi="Cambria"/>
                <w:color w:val="000000"/>
                <w:sz w:val="18"/>
                <w:szCs w:val="18"/>
                <w:lang w:eastAsia="en-US"/>
              </w:rPr>
              <w:t xml:space="preserve">АА №0045660 от </w:t>
            </w:r>
          </w:p>
        </w:tc>
        <w:tc>
          <w:tcPr>
            <w:tcW w:w="1425" w:type="dxa"/>
            <w:tcBorders>
              <w:top w:val="single" w:sz="4" w:space="0" w:color="auto"/>
              <w:left w:val="single" w:sz="4" w:space="0" w:color="auto"/>
              <w:bottom w:val="double" w:sz="4" w:space="0" w:color="auto"/>
              <w:right w:val="double" w:sz="4" w:space="0" w:color="auto"/>
            </w:tcBorders>
            <w:vAlign w:val="center"/>
            <w:hideMark/>
          </w:tcPr>
          <w:p w:rsidR="00224701" w:rsidRDefault="00224701" w:rsidP="00770A9D">
            <w:pPr>
              <w:ind w:left="-93" w:right="-90"/>
              <w:jc w:val="center"/>
              <w:rPr>
                <w:rFonts w:ascii="Cambria" w:hAnsi="Cambria"/>
                <w:color w:val="000000"/>
                <w:sz w:val="18"/>
                <w:szCs w:val="18"/>
                <w:lang w:eastAsia="en-US"/>
              </w:rPr>
            </w:pPr>
            <w:r>
              <w:rPr>
                <w:rFonts w:ascii="Cambria" w:hAnsi="Cambria"/>
                <w:color w:val="000000"/>
                <w:sz w:val="18"/>
                <w:szCs w:val="18"/>
                <w:lang w:eastAsia="en-US"/>
              </w:rPr>
              <w:t>31-01/00-3/ 2000-2463.2 от 16.10.2000</w:t>
            </w:r>
          </w:p>
        </w:tc>
      </w:tr>
    </w:tbl>
    <w:p w:rsidR="00224701" w:rsidRDefault="00224701" w:rsidP="00224701">
      <w:pPr>
        <w:tabs>
          <w:tab w:val="left" w:pos="2925"/>
        </w:tabs>
        <w:spacing w:before="120" w:after="120"/>
        <w:ind w:firstLine="709"/>
        <w:jc w:val="both"/>
        <w:rPr>
          <w:rFonts w:ascii="Cambria" w:hAnsi="Cambria"/>
          <w:b/>
          <w:bCs/>
          <w:sz w:val="20"/>
          <w:szCs w:val="20"/>
        </w:rPr>
      </w:pPr>
      <w:r>
        <w:rPr>
          <w:rFonts w:ascii="Cambria" w:hAnsi="Cambria"/>
          <w:b/>
          <w:bCs/>
          <w:sz w:val="20"/>
          <w:szCs w:val="20"/>
        </w:rPr>
        <w:t>– административно-бытовой комплекс</w:t>
      </w:r>
    </w:p>
    <w:tbl>
      <w:tblPr>
        <w:tblW w:w="0" w:type="auto"/>
        <w:jc w:val="center"/>
        <w:tblLook w:val="04A0" w:firstRow="1" w:lastRow="0" w:firstColumn="1" w:lastColumn="0" w:noHBand="0" w:noVBand="1"/>
      </w:tblPr>
      <w:tblGrid>
        <w:gridCol w:w="3536"/>
        <w:gridCol w:w="6601"/>
      </w:tblGrid>
      <w:tr w:rsidR="00224701" w:rsidTr="00770A9D">
        <w:trPr>
          <w:trHeight w:val="20"/>
          <w:jc w:val="center"/>
        </w:trPr>
        <w:tc>
          <w:tcPr>
            <w:tcW w:w="0" w:type="auto"/>
            <w:gridSpan w:val="2"/>
            <w:tcBorders>
              <w:top w:val="double" w:sz="4" w:space="0" w:color="auto"/>
              <w:left w:val="double" w:sz="4" w:space="0" w:color="auto"/>
              <w:bottom w:val="single" w:sz="4" w:space="0" w:color="auto"/>
              <w:right w:val="double" w:sz="4" w:space="0" w:color="auto"/>
            </w:tcBorders>
            <w:shd w:val="clear" w:color="auto" w:fill="F2F2F2" w:themeFill="background1" w:themeFillShade="F2"/>
            <w:vAlign w:val="center"/>
            <w:hideMark/>
          </w:tcPr>
          <w:p w:rsidR="00224701" w:rsidRDefault="00224701" w:rsidP="00770A9D">
            <w:pPr>
              <w:jc w:val="center"/>
              <w:rPr>
                <w:rFonts w:ascii="Cambria" w:hAnsi="Cambria"/>
                <w:b/>
                <w:bCs/>
                <w:color w:val="000000"/>
                <w:sz w:val="18"/>
                <w:szCs w:val="18"/>
                <w:lang w:eastAsia="en-US"/>
              </w:rPr>
            </w:pPr>
            <w:r>
              <w:rPr>
                <w:rFonts w:ascii="Cambria" w:hAnsi="Cambria"/>
                <w:b/>
                <w:bCs/>
                <w:color w:val="000000"/>
                <w:sz w:val="18"/>
                <w:szCs w:val="18"/>
                <w:lang w:eastAsia="en-US"/>
              </w:rPr>
              <w:t>Общая информация, идентифицирующая объект недвижимости – нежилые строения производственного корпуса</w:t>
            </w:r>
          </w:p>
        </w:tc>
      </w:tr>
      <w:tr w:rsidR="00224701" w:rsidTr="00770A9D">
        <w:trPr>
          <w:trHeight w:val="20"/>
          <w:jc w:val="center"/>
        </w:trPr>
        <w:tc>
          <w:tcPr>
            <w:tcW w:w="0" w:type="auto"/>
            <w:tcBorders>
              <w:top w:val="nil"/>
              <w:left w:val="double" w:sz="4" w:space="0" w:color="auto"/>
              <w:bottom w:val="single" w:sz="4" w:space="0" w:color="auto"/>
              <w:right w:val="single" w:sz="4" w:space="0" w:color="auto"/>
            </w:tcBorders>
            <w:shd w:val="clear" w:color="auto" w:fill="F2F2F2"/>
            <w:vAlign w:val="center"/>
            <w:hideMark/>
          </w:tcPr>
          <w:p w:rsidR="00224701" w:rsidRDefault="00224701" w:rsidP="00770A9D">
            <w:pPr>
              <w:jc w:val="center"/>
              <w:rPr>
                <w:rFonts w:ascii="Cambria" w:hAnsi="Cambria"/>
                <w:b/>
                <w:bCs/>
                <w:color w:val="000000"/>
                <w:sz w:val="18"/>
                <w:szCs w:val="18"/>
                <w:lang w:eastAsia="en-US"/>
              </w:rPr>
            </w:pPr>
            <w:r>
              <w:rPr>
                <w:rFonts w:ascii="Cambria" w:hAnsi="Cambria"/>
                <w:b/>
                <w:bCs/>
                <w:color w:val="000000"/>
                <w:sz w:val="18"/>
                <w:szCs w:val="18"/>
                <w:lang w:eastAsia="en-US"/>
              </w:rPr>
              <w:t>Адрес объекта оценки</w:t>
            </w:r>
          </w:p>
        </w:tc>
        <w:tc>
          <w:tcPr>
            <w:tcW w:w="0" w:type="auto"/>
            <w:tcBorders>
              <w:top w:val="single" w:sz="4" w:space="0" w:color="auto"/>
              <w:left w:val="nil"/>
              <w:bottom w:val="single" w:sz="4" w:space="0" w:color="auto"/>
              <w:right w:val="double" w:sz="4" w:space="0" w:color="auto"/>
            </w:tcBorders>
            <w:vAlign w:val="center"/>
            <w:hideMark/>
          </w:tcPr>
          <w:p w:rsidR="00224701" w:rsidRDefault="00224701" w:rsidP="00770A9D">
            <w:pPr>
              <w:jc w:val="center"/>
              <w:rPr>
                <w:rFonts w:ascii="Cambria" w:hAnsi="Cambria"/>
                <w:color w:val="000000"/>
                <w:lang w:eastAsia="en-US"/>
              </w:rPr>
            </w:pPr>
            <w:r>
              <w:rPr>
                <w:rFonts w:ascii="Cambria" w:hAnsi="Cambria"/>
                <w:color w:val="000000"/>
                <w:sz w:val="18"/>
                <w:szCs w:val="18"/>
                <w:lang w:eastAsia="en-US"/>
              </w:rPr>
              <w:t>Белгородская обл. г. Белгород, ул Сумская, 168</w:t>
            </w:r>
          </w:p>
        </w:tc>
      </w:tr>
      <w:tr w:rsidR="00224701" w:rsidTr="00770A9D">
        <w:trPr>
          <w:trHeight w:val="20"/>
          <w:jc w:val="center"/>
        </w:trPr>
        <w:tc>
          <w:tcPr>
            <w:tcW w:w="0" w:type="auto"/>
            <w:tcBorders>
              <w:top w:val="nil"/>
              <w:left w:val="double" w:sz="4" w:space="0" w:color="auto"/>
              <w:bottom w:val="single" w:sz="4" w:space="0" w:color="auto"/>
              <w:right w:val="single" w:sz="4" w:space="0" w:color="auto"/>
            </w:tcBorders>
            <w:shd w:val="clear" w:color="auto" w:fill="F2F2F2"/>
            <w:vAlign w:val="center"/>
            <w:hideMark/>
          </w:tcPr>
          <w:p w:rsidR="00224701" w:rsidRDefault="00224701" w:rsidP="00770A9D">
            <w:pPr>
              <w:jc w:val="center"/>
              <w:rPr>
                <w:rFonts w:ascii="Cambria" w:hAnsi="Cambria"/>
                <w:b/>
                <w:bCs/>
                <w:color w:val="000000"/>
                <w:sz w:val="18"/>
                <w:szCs w:val="18"/>
                <w:lang w:eastAsia="en-US"/>
              </w:rPr>
            </w:pPr>
            <w:r>
              <w:rPr>
                <w:rFonts w:ascii="Cambria" w:hAnsi="Cambria"/>
                <w:b/>
                <w:bCs/>
                <w:color w:val="000000"/>
                <w:sz w:val="18"/>
                <w:szCs w:val="18"/>
                <w:lang w:eastAsia="en-US"/>
              </w:rPr>
              <w:t>Собственник:</w:t>
            </w:r>
          </w:p>
        </w:tc>
        <w:tc>
          <w:tcPr>
            <w:tcW w:w="0" w:type="auto"/>
            <w:tcBorders>
              <w:top w:val="single" w:sz="4" w:space="0" w:color="auto"/>
              <w:left w:val="nil"/>
              <w:bottom w:val="single" w:sz="4" w:space="0" w:color="auto"/>
              <w:right w:val="double" w:sz="4" w:space="0" w:color="auto"/>
            </w:tcBorders>
            <w:shd w:val="clear" w:color="auto" w:fill="FFFFFF"/>
            <w:vAlign w:val="center"/>
            <w:hideMark/>
          </w:tcPr>
          <w:p w:rsidR="00224701" w:rsidRDefault="004F632A" w:rsidP="00770A9D">
            <w:pPr>
              <w:jc w:val="center"/>
              <w:rPr>
                <w:rFonts w:ascii="Cambria" w:hAnsi="Cambria"/>
                <w:color w:val="000000"/>
                <w:sz w:val="18"/>
                <w:szCs w:val="18"/>
                <w:lang w:eastAsia="en-US"/>
              </w:rPr>
            </w:pPr>
            <w:r>
              <w:rPr>
                <w:rFonts w:ascii="Cambria" w:hAnsi="Cambria"/>
                <w:color w:val="000000"/>
                <w:sz w:val="18"/>
                <w:szCs w:val="18"/>
              </w:rPr>
              <w:t>Лаута Игорь Викторович</w:t>
            </w:r>
          </w:p>
        </w:tc>
      </w:tr>
      <w:tr w:rsidR="00224701" w:rsidTr="00770A9D">
        <w:trPr>
          <w:trHeight w:val="20"/>
          <w:jc w:val="center"/>
        </w:trPr>
        <w:tc>
          <w:tcPr>
            <w:tcW w:w="0" w:type="auto"/>
            <w:tcBorders>
              <w:top w:val="nil"/>
              <w:left w:val="double" w:sz="4" w:space="0" w:color="auto"/>
              <w:bottom w:val="double" w:sz="4" w:space="0" w:color="auto"/>
              <w:right w:val="single" w:sz="4" w:space="0" w:color="auto"/>
            </w:tcBorders>
            <w:shd w:val="clear" w:color="auto" w:fill="F2F2F2"/>
            <w:vAlign w:val="center"/>
            <w:hideMark/>
          </w:tcPr>
          <w:p w:rsidR="00224701" w:rsidRDefault="00224701" w:rsidP="00770A9D">
            <w:pPr>
              <w:jc w:val="center"/>
              <w:rPr>
                <w:rFonts w:ascii="Cambria" w:hAnsi="Cambria"/>
                <w:b/>
                <w:bCs/>
                <w:color w:val="000000"/>
                <w:sz w:val="18"/>
                <w:szCs w:val="18"/>
                <w:lang w:eastAsia="en-US"/>
              </w:rPr>
            </w:pPr>
            <w:r>
              <w:rPr>
                <w:rFonts w:ascii="Cambria" w:hAnsi="Cambria"/>
                <w:b/>
                <w:bCs/>
                <w:color w:val="000000"/>
                <w:sz w:val="18"/>
                <w:szCs w:val="18"/>
                <w:lang w:eastAsia="en-US"/>
              </w:rPr>
              <w:t>Вид права:</w:t>
            </w:r>
          </w:p>
        </w:tc>
        <w:tc>
          <w:tcPr>
            <w:tcW w:w="0" w:type="auto"/>
            <w:tcBorders>
              <w:top w:val="single" w:sz="4" w:space="0" w:color="auto"/>
              <w:left w:val="nil"/>
              <w:bottom w:val="double" w:sz="4" w:space="0" w:color="auto"/>
              <w:right w:val="double" w:sz="4" w:space="0" w:color="auto"/>
            </w:tcBorders>
            <w:vAlign w:val="center"/>
            <w:hideMark/>
          </w:tcPr>
          <w:p w:rsidR="00224701" w:rsidRDefault="00224701" w:rsidP="00770A9D">
            <w:pPr>
              <w:jc w:val="center"/>
              <w:rPr>
                <w:rFonts w:ascii="Cambria" w:hAnsi="Cambria"/>
                <w:color w:val="000000"/>
                <w:sz w:val="18"/>
                <w:szCs w:val="18"/>
                <w:lang w:eastAsia="en-US"/>
              </w:rPr>
            </w:pPr>
            <w:r>
              <w:rPr>
                <w:rFonts w:ascii="Cambria" w:hAnsi="Cambria"/>
                <w:color w:val="000000"/>
                <w:sz w:val="18"/>
                <w:szCs w:val="18"/>
                <w:lang w:eastAsia="en-US"/>
              </w:rPr>
              <w:t>Собственность</w:t>
            </w:r>
          </w:p>
        </w:tc>
      </w:tr>
    </w:tbl>
    <w:p w:rsidR="00224701" w:rsidRDefault="00224701" w:rsidP="00224701">
      <w:pPr>
        <w:ind w:firstLine="709"/>
        <w:jc w:val="both"/>
        <w:rPr>
          <w:rFonts w:asciiTheme="majorHAnsi" w:eastAsiaTheme="minorHAnsi" w:hAnsiTheme="majorHAnsi" w:cstheme="minorBidi"/>
          <w:b/>
          <w:sz w:val="18"/>
          <w:szCs w:val="18"/>
          <w:lang w:eastAsia="en-US"/>
        </w:rPr>
      </w:pPr>
    </w:p>
    <w:tbl>
      <w:tblPr>
        <w:tblW w:w="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380"/>
        <w:gridCol w:w="1656"/>
        <w:gridCol w:w="992"/>
        <w:gridCol w:w="1559"/>
        <w:gridCol w:w="709"/>
        <w:gridCol w:w="1276"/>
        <w:gridCol w:w="1325"/>
        <w:gridCol w:w="1276"/>
        <w:gridCol w:w="1134"/>
      </w:tblGrid>
      <w:tr w:rsidR="00224701" w:rsidTr="00770A9D">
        <w:trPr>
          <w:trHeight w:val="20"/>
          <w:jc w:val="center"/>
        </w:trPr>
        <w:tc>
          <w:tcPr>
            <w:tcW w:w="380" w:type="dxa"/>
            <w:tcBorders>
              <w:top w:val="double" w:sz="4" w:space="0" w:color="auto"/>
              <w:left w:val="double" w:sz="4" w:space="0" w:color="auto"/>
              <w:bottom w:val="single" w:sz="4" w:space="0" w:color="auto"/>
              <w:right w:val="single" w:sz="4" w:space="0" w:color="auto"/>
            </w:tcBorders>
            <w:shd w:val="clear" w:color="auto" w:fill="F2F2F2"/>
            <w:vAlign w:val="center"/>
            <w:hideMark/>
          </w:tcPr>
          <w:p w:rsidR="00224701" w:rsidRDefault="00224701" w:rsidP="00770A9D">
            <w:pPr>
              <w:ind w:left="-199" w:right="-139"/>
              <w:jc w:val="center"/>
              <w:rPr>
                <w:rFonts w:ascii="Cambria" w:hAnsi="Cambria"/>
                <w:b/>
                <w:bCs/>
                <w:color w:val="000000"/>
                <w:sz w:val="18"/>
                <w:szCs w:val="18"/>
                <w:lang w:eastAsia="en-US"/>
              </w:rPr>
            </w:pPr>
            <w:r>
              <w:rPr>
                <w:rFonts w:ascii="Cambria" w:hAnsi="Cambria"/>
                <w:b/>
                <w:bCs/>
                <w:color w:val="000000"/>
                <w:sz w:val="18"/>
                <w:szCs w:val="18"/>
                <w:lang w:eastAsia="en-US"/>
              </w:rPr>
              <w:t>№ п/п</w:t>
            </w:r>
          </w:p>
        </w:tc>
        <w:tc>
          <w:tcPr>
            <w:tcW w:w="1656"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199" w:right="-139"/>
              <w:jc w:val="center"/>
              <w:rPr>
                <w:rFonts w:ascii="Cambria" w:hAnsi="Cambria"/>
                <w:b/>
                <w:bCs/>
                <w:color w:val="000000"/>
                <w:sz w:val="18"/>
                <w:szCs w:val="18"/>
                <w:lang w:eastAsia="en-US"/>
              </w:rPr>
            </w:pPr>
            <w:r>
              <w:rPr>
                <w:rFonts w:ascii="Cambria" w:hAnsi="Cambria"/>
                <w:b/>
                <w:bCs/>
                <w:color w:val="000000"/>
                <w:sz w:val="18"/>
                <w:szCs w:val="18"/>
                <w:lang w:eastAsia="en-US"/>
              </w:rPr>
              <w:t>Наименование объекта</w:t>
            </w:r>
          </w:p>
        </w:tc>
        <w:tc>
          <w:tcPr>
            <w:tcW w:w="992"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199" w:right="-139"/>
              <w:jc w:val="center"/>
              <w:rPr>
                <w:rFonts w:ascii="Cambria" w:hAnsi="Cambria"/>
                <w:b/>
                <w:bCs/>
                <w:color w:val="000000"/>
                <w:sz w:val="18"/>
                <w:szCs w:val="18"/>
                <w:lang w:eastAsia="en-US"/>
              </w:rPr>
            </w:pPr>
            <w:r>
              <w:rPr>
                <w:rFonts w:ascii="Cambria" w:hAnsi="Cambria"/>
                <w:b/>
                <w:bCs/>
                <w:color w:val="000000"/>
                <w:sz w:val="18"/>
                <w:szCs w:val="18"/>
                <w:lang w:eastAsia="en-US"/>
              </w:rPr>
              <w:t>Этажность</w:t>
            </w:r>
          </w:p>
        </w:tc>
        <w:tc>
          <w:tcPr>
            <w:tcW w:w="1559"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199" w:right="-139"/>
              <w:jc w:val="center"/>
              <w:rPr>
                <w:rFonts w:ascii="Cambria" w:hAnsi="Cambria"/>
                <w:b/>
                <w:bCs/>
                <w:color w:val="000000"/>
                <w:sz w:val="18"/>
                <w:szCs w:val="18"/>
                <w:lang w:eastAsia="en-US"/>
              </w:rPr>
            </w:pPr>
            <w:r>
              <w:rPr>
                <w:rFonts w:ascii="Cambria" w:hAnsi="Cambria"/>
                <w:b/>
                <w:bCs/>
                <w:color w:val="000000"/>
                <w:sz w:val="18"/>
                <w:szCs w:val="18"/>
                <w:lang w:eastAsia="en-US"/>
              </w:rPr>
              <w:t>Функциональное назначение</w:t>
            </w:r>
          </w:p>
        </w:tc>
        <w:tc>
          <w:tcPr>
            <w:tcW w:w="709"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199" w:right="-139"/>
              <w:jc w:val="center"/>
              <w:rPr>
                <w:rFonts w:ascii="Cambria" w:hAnsi="Cambria"/>
                <w:b/>
                <w:bCs/>
                <w:color w:val="000000"/>
                <w:sz w:val="18"/>
                <w:szCs w:val="18"/>
                <w:lang w:eastAsia="en-US"/>
              </w:rPr>
            </w:pPr>
            <w:r>
              <w:rPr>
                <w:rFonts w:ascii="Cambria" w:hAnsi="Cambria"/>
                <w:b/>
                <w:bCs/>
                <w:color w:val="000000"/>
                <w:sz w:val="18"/>
                <w:szCs w:val="18"/>
                <w:lang w:eastAsia="en-US"/>
              </w:rPr>
              <w:t>Литеры</w:t>
            </w:r>
          </w:p>
        </w:tc>
        <w:tc>
          <w:tcPr>
            <w:tcW w:w="1276"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108" w:right="-139"/>
              <w:jc w:val="center"/>
              <w:rPr>
                <w:rFonts w:ascii="Cambria" w:hAnsi="Cambria"/>
                <w:b/>
                <w:bCs/>
                <w:color w:val="000000"/>
                <w:sz w:val="18"/>
                <w:szCs w:val="18"/>
                <w:lang w:eastAsia="en-US"/>
              </w:rPr>
            </w:pPr>
            <w:r>
              <w:rPr>
                <w:rFonts w:ascii="Cambria" w:hAnsi="Cambria"/>
                <w:b/>
                <w:bCs/>
                <w:color w:val="000000"/>
                <w:sz w:val="18"/>
                <w:szCs w:val="18"/>
                <w:lang w:eastAsia="en-US"/>
              </w:rPr>
              <w:t xml:space="preserve">Кадастр. номер согласно свид. о гос. регистрации </w:t>
            </w:r>
          </w:p>
        </w:tc>
        <w:tc>
          <w:tcPr>
            <w:tcW w:w="1325"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199" w:right="-139"/>
              <w:jc w:val="center"/>
              <w:rPr>
                <w:rFonts w:ascii="Cambria" w:hAnsi="Cambria"/>
                <w:b/>
                <w:bCs/>
                <w:color w:val="000000"/>
                <w:sz w:val="18"/>
                <w:szCs w:val="18"/>
                <w:lang w:eastAsia="en-US"/>
              </w:rPr>
            </w:pPr>
            <w:r>
              <w:rPr>
                <w:rFonts w:ascii="Cambria" w:hAnsi="Cambria"/>
                <w:b/>
                <w:bCs/>
                <w:color w:val="000000"/>
                <w:sz w:val="18"/>
                <w:szCs w:val="18"/>
                <w:lang w:eastAsia="en-US"/>
              </w:rPr>
              <w:t>Обременения</w:t>
            </w:r>
          </w:p>
        </w:tc>
        <w:tc>
          <w:tcPr>
            <w:tcW w:w="1276"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157" w:right="-139"/>
              <w:jc w:val="center"/>
              <w:rPr>
                <w:rFonts w:ascii="Cambria" w:hAnsi="Cambria"/>
                <w:b/>
                <w:bCs/>
                <w:color w:val="000000"/>
                <w:sz w:val="18"/>
                <w:szCs w:val="18"/>
                <w:lang w:eastAsia="en-US"/>
              </w:rPr>
            </w:pPr>
            <w:r>
              <w:rPr>
                <w:rFonts w:ascii="Cambria" w:hAnsi="Cambria"/>
                <w:b/>
                <w:bCs/>
                <w:color w:val="000000"/>
                <w:sz w:val="18"/>
                <w:szCs w:val="18"/>
                <w:lang w:eastAsia="en-US"/>
              </w:rPr>
              <w:t>№№ и дата свидетельства о гос. регистр. прав</w:t>
            </w:r>
          </w:p>
        </w:tc>
        <w:tc>
          <w:tcPr>
            <w:tcW w:w="1134" w:type="dxa"/>
            <w:tcBorders>
              <w:top w:val="double" w:sz="4" w:space="0" w:color="auto"/>
              <w:left w:val="single" w:sz="4" w:space="0" w:color="auto"/>
              <w:bottom w:val="single" w:sz="4" w:space="0" w:color="auto"/>
              <w:right w:val="double" w:sz="4" w:space="0" w:color="auto"/>
            </w:tcBorders>
            <w:shd w:val="clear" w:color="auto" w:fill="F2F2F2"/>
            <w:vAlign w:val="center"/>
            <w:hideMark/>
          </w:tcPr>
          <w:p w:rsidR="00224701" w:rsidRDefault="00224701" w:rsidP="00770A9D">
            <w:pPr>
              <w:ind w:left="-199" w:right="-139"/>
              <w:jc w:val="center"/>
              <w:rPr>
                <w:rFonts w:ascii="Cambria" w:hAnsi="Cambria"/>
                <w:b/>
                <w:bCs/>
                <w:color w:val="000000"/>
                <w:sz w:val="18"/>
                <w:szCs w:val="18"/>
                <w:lang w:eastAsia="en-US"/>
              </w:rPr>
            </w:pPr>
            <w:r>
              <w:rPr>
                <w:rFonts w:ascii="Cambria" w:hAnsi="Cambria"/>
                <w:b/>
                <w:bCs/>
                <w:color w:val="000000"/>
                <w:sz w:val="18"/>
                <w:szCs w:val="18"/>
                <w:lang w:eastAsia="en-US"/>
              </w:rPr>
              <w:t>Сведения о балансовой стоимость объекта</w:t>
            </w:r>
          </w:p>
        </w:tc>
      </w:tr>
      <w:tr w:rsidR="00224701" w:rsidTr="00770A9D">
        <w:trPr>
          <w:trHeight w:val="20"/>
          <w:jc w:val="center"/>
        </w:trPr>
        <w:tc>
          <w:tcPr>
            <w:tcW w:w="380" w:type="dxa"/>
            <w:tcBorders>
              <w:top w:val="single" w:sz="4" w:space="0" w:color="auto"/>
              <w:left w:val="double" w:sz="4" w:space="0" w:color="auto"/>
              <w:bottom w:val="double" w:sz="4" w:space="0" w:color="auto"/>
              <w:right w:val="single" w:sz="4" w:space="0" w:color="auto"/>
            </w:tcBorders>
            <w:vAlign w:val="center"/>
            <w:hideMark/>
          </w:tcPr>
          <w:p w:rsidR="00224701" w:rsidRDefault="00224701" w:rsidP="00770A9D">
            <w:pPr>
              <w:ind w:left="-199" w:right="-139"/>
              <w:jc w:val="center"/>
              <w:rPr>
                <w:rFonts w:ascii="Cambria" w:hAnsi="Cambria"/>
                <w:color w:val="000000"/>
                <w:sz w:val="18"/>
                <w:szCs w:val="18"/>
                <w:lang w:eastAsia="en-US"/>
              </w:rPr>
            </w:pPr>
            <w:r>
              <w:rPr>
                <w:rFonts w:ascii="Cambria" w:hAnsi="Cambria"/>
                <w:color w:val="000000"/>
                <w:sz w:val="18"/>
                <w:szCs w:val="18"/>
                <w:lang w:eastAsia="en-US"/>
              </w:rPr>
              <w:t>1</w:t>
            </w:r>
          </w:p>
        </w:tc>
        <w:tc>
          <w:tcPr>
            <w:tcW w:w="1656"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153" w:right="-139"/>
              <w:jc w:val="center"/>
              <w:rPr>
                <w:rFonts w:ascii="Cambria" w:hAnsi="Cambria"/>
                <w:color w:val="000000"/>
                <w:sz w:val="18"/>
                <w:szCs w:val="18"/>
                <w:lang w:eastAsia="en-US"/>
              </w:rPr>
            </w:pPr>
            <w:r>
              <w:rPr>
                <w:rFonts w:ascii="Cambria" w:hAnsi="Cambria"/>
                <w:color w:val="000000"/>
                <w:sz w:val="18"/>
                <w:szCs w:val="18"/>
                <w:lang w:eastAsia="en-US"/>
              </w:rPr>
              <w:t>Административно-бытовой комплекс</w:t>
            </w:r>
          </w:p>
        </w:tc>
        <w:tc>
          <w:tcPr>
            <w:tcW w:w="992"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199" w:right="-139"/>
              <w:jc w:val="center"/>
              <w:rPr>
                <w:rFonts w:ascii="Cambria" w:hAnsi="Cambria"/>
                <w:color w:val="000000"/>
                <w:sz w:val="18"/>
                <w:szCs w:val="18"/>
                <w:lang w:eastAsia="en-US"/>
              </w:rPr>
            </w:pPr>
            <w:r>
              <w:rPr>
                <w:rFonts w:ascii="Cambria" w:hAnsi="Cambria"/>
                <w:color w:val="000000"/>
                <w:sz w:val="18"/>
                <w:szCs w:val="18"/>
                <w:lang w:eastAsia="en-US"/>
              </w:rPr>
              <w:t>6</w:t>
            </w:r>
          </w:p>
        </w:tc>
        <w:tc>
          <w:tcPr>
            <w:tcW w:w="1559"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199" w:right="-139"/>
              <w:jc w:val="center"/>
              <w:rPr>
                <w:rFonts w:ascii="Cambria" w:hAnsi="Cambria"/>
                <w:color w:val="000000"/>
                <w:sz w:val="18"/>
                <w:szCs w:val="18"/>
                <w:lang w:eastAsia="en-US"/>
              </w:rPr>
            </w:pPr>
            <w:r>
              <w:rPr>
                <w:rFonts w:ascii="Cambria" w:hAnsi="Cambria"/>
                <w:color w:val="000000"/>
                <w:sz w:val="18"/>
                <w:szCs w:val="18"/>
                <w:lang w:eastAsia="en-US"/>
              </w:rPr>
              <w:t>Нежилое помещение</w:t>
            </w:r>
          </w:p>
        </w:tc>
        <w:tc>
          <w:tcPr>
            <w:tcW w:w="709"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199" w:right="-139"/>
              <w:jc w:val="center"/>
              <w:rPr>
                <w:rFonts w:ascii="Cambria" w:hAnsi="Cambria"/>
                <w:color w:val="000000"/>
                <w:sz w:val="18"/>
                <w:szCs w:val="18"/>
                <w:lang w:eastAsia="en-US"/>
              </w:rPr>
            </w:pPr>
            <w:r>
              <w:rPr>
                <w:rFonts w:ascii="Cambria" w:hAnsi="Cambria"/>
                <w:color w:val="000000"/>
                <w:sz w:val="18"/>
                <w:szCs w:val="18"/>
                <w:lang w:eastAsia="en-US"/>
              </w:rPr>
              <w:t>А</w:t>
            </w:r>
          </w:p>
        </w:tc>
        <w:tc>
          <w:tcPr>
            <w:tcW w:w="1276"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108" w:right="-139"/>
              <w:jc w:val="center"/>
              <w:rPr>
                <w:rFonts w:ascii="Cambria" w:hAnsi="Cambria"/>
                <w:color w:val="000000"/>
                <w:sz w:val="18"/>
                <w:szCs w:val="18"/>
                <w:lang w:eastAsia="en-US"/>
              </w:rPr>
            </w:pPr>
            <w:r>
              <w:rPr>
                <w:rFonts w:ascii="Cambria" w:hAnsi="Cambria"/>
                <w:color w:val="000000"/>
                <w:sz w:val="18"/>
                <w:szCs w:val="18"/>
                <w:lang w:eastAsia="en-US"/>
              </w:rPr>
              <w:t>31:16:0000 000:011456-00/001-1001/А</w:t>
            </w:r>
          </w:p>
        </w:tc>
        <w:tc>
          <w:tcPr>
            <w:tcW w:w="1325" w:type="dxa"/>
            <w:tcBorders>
              <w:top w:val="single" w:sz="4" w:space="0" w:color="auto"/>
              <w:left w:val="single" w:sz="4" w:space="0" w:color="auto"/>
              <w:bottom w:val="double" w:sz="4" w:space="0" w:color="auto"/>
              <w:right w:val="single" w:sz="4" w:space="0" w:color="auto"/>
            </w:tcBorders>
            <w:shd w:val="clear" w:color="auto" w:fill="FFFFFF"/>
            <w:vAlign w:val="center"/>
            <w:hideMark/>
          </w:tcPr>
          <w:p w:rsidR="00224701" w:rsidRDefault="00224701" w:rsidP="00770A9D">
            <w:pPr>
              <w:ind w:left="-199" w:right="-139"/>
              <w:jc w:val="center"/>
              <w:rPr>
                <w:rFonts w:ascii="Cambria" w:hAnsi="Cambria"/>
                <w:color w:val="000000"/>
                <w:sz w:val="18"/>
                <w:szCs w:val="18"/>
                <w:lang w:eastAsia="en-US"/>
              </w:rPr>
            </w:pPr>
            <w:r>
              <w:rPr>
                <w:rFonts w:ascii="Cambria" w:hAnsi="Cambria"/>
                <w:color w:val="000000"/>
                <w:sz w:val="18"/>
                <w:szCs w:val="18"/>
                <w:lang w:eastAsia="en-US"/>
              </w:rPr>
              <w:t>залог у ПАО «ВТБ»</w:t>
            </w:r>
          </w:p>
        </w:tc>
        <w:tc>
          <w:tcPr>
            <w:tcW w:w="1276" w:type="dxa"/>
            <w:tcBorders>
              <w:top w:val="single" w:sz="4" w:space="0" w:color="auto"/>
              <w:left w:val="single" w:sz="4" w:space="0" w:color="auto"/>
              <w:bottom w:val="double" w:sz="4" w:space="0" w:color="auto"/>
              <w:right w:val="single" w:sz="4" w:space="0" w:color="auto"/>
            </w:tcBorders>
            <w:shd w:val="clear" w:color="auto" w:fill="FFFFFF"/>
            <w:vAlign w:val="center"/>
            <w:hideMark/>
          </w:tcPr>
          <w:p w:rsidR="00224701" w:rsidRDefault="00224701" w:rsidP="00770A9D">
            <w:pPr>
              <w:ind w:left="-157" w:right="-139"/>
              <w:jc w:val="center"/>
              <w:rPr>
                <w:rFonts w:ascii="Cambria" w:hAnsi="Cambria"/>
                <w:color w:val="000000"/>
                <w:sz w:val="18"/>
                <w:szCs w:val="18"/>
                <w:lang w:eastAsia="en-US"/>
              </w:rPr>
            </w:pPr>
            <w:r>
              <w:rPr>
                <w:rFonts w:ascii="Cambria" w:hAnsi="Cambria"/>
                <w:color w:val="000000"/>
                <w:sz w:val="18"/>
                <w:szCs w:val="18"/>
                <w:lang w:eastAsia="en-US"/>
              </w:rPr>
              <w:t>31 №5659 от 27.01.1999</w:t>
            </w:r>
          </w:p>
        </w:tc>
        <w:tc>
          <w:tcPr>
            <w:tcW w:w="1134" w:type="dxa"/>
            <w:tcBorders>
              <w:top w:val="single" w:sz="4" w:space="0" w:color="auto"/>
              <w:left w:val="single" w:sz="4" w:space="0" w:color="auto"/>
              <w:bottom w:val="double" w:sz="4" w:space="0" w:color="auto"/>
              <w:right w:val="double" w:sz="4" w:space="0" w:color="auto"/>
            </w:tcBorders>
            <w:vAlign w:val="center"/>
            <w:hideMark/>
          </w:tcPr>
          <w:p w:rsidR="00224701" w:rsidRDefault="00224701" w:rsidP="00770A9D">
            <w:pPr>
              <w:ind w:left="-199" w:right="-139"/>
              <w:jc w:val="center"/>
              <w:rPr>
                <w:rFonts w:ascii="Cambria" w:hAnsi="Cambria"/>
                <w:color w:val="000000"/>
                <w:sz w:val="18"/>
                <w:szCs w:val="18"/>
                <w:lang w:eastAsia="en-US"/>
              </w:rPr>
            </w:pPr>
            <w:r>
              <w:rPr>
                <w:rFonts w:ascii="Cambria" w:hAnsi="Cambria"/>
                <w:color w:val="000000"/>
                <w:sz w:val="18"/>
                <w:szCs w:val="18"/>
                <w:lang w:eastAsia="en-US"/>
              </w:rPr>
              <w:t>Отсутствует</w:t>
            </w:r>
          </w:p>
        </w:tc>
      </w:tr>
    </w:tbl>
    <w:p w:rsidR="00224701" w:rsidRDefault="00224701" w:rsidP="00224701">
      <w:pPr>
        <w:ind w:firstLine="709"/>
        <w:jc w:val="both"/>
        <w:rPr>
          <w:rFonts w:asciiTheme="majorHAnsi" w:eastAsiaTheme="minorHAnsi" w:hAnsiTheme="majorHAnsi" w:cstheme="minorBidi"/>
          <w:b/>
          <w:sz w:val="20"/>
          <w:szCs w:val="22"/>
          <w:lang w:eastAsia="en-US"/>
        </w:rPr>
      </w:pPr>
    </w:p>
    <w:p w:rsidR="00224701" w:rsidRDefault="00224701" w:rsidP="00224701">
      <w:pPr>
        <w:ind w:firstLine="709"/>
        <w:jc w:val="both"/>
        <w:rPr>
          <w:rFonts w:asciiTheme="majorHAnsi" w:eastAsiaTheme="minorHAnsi" w:hAnsiTheme="majorHAnsi" w:cstheme="minorBidi"/>
          <w:b/>
          <w:sz w:val="20"/>
          <w:szCs w:val="22"/>
          <w:lang w:eastAsia="en-US"/>
        </w:rPr>
      </w:pPr>
    </w:p>
    <w:p w:rsidR="00224701" w:rsidRDefault="00224701" w:rsidP="00224701">
      <w:pPr>
        <w:ind w:firstLine="709"/>
        <w:jc w:val="both"/>
        <w:rPr>
          <w:rFonts w:asciiTheme="majorHAnsi" w:eastAsiaTheme="minorHAnsi" w:hAnsiTheme="majorHAnsi" w:cstheme="minorBidi"/>
          <w:b/>
          <w:sz w:val="20"/>
          <w:szCs w:val="22"/>
          <w:lang w:eastAsia="en-US"/>
        </w:rPr>
      </w:pPr>
    </w:p>
    <w:p w:rsidR="00224701" w:rsidRDefault="00224701" w:rsidP="00224701">
      <w:pPr>
        <w:ind w:firstLine="709"/>
        <w:jc w:val="both"/>
        <w:rPr>
          <w:rFonts w:asciiTheme="majorHAnsi" w:eastAsiaTheme="minorHAnsi" w:hAnsiTheme="majorHAnsi" w:cstheme="minorBidi"/>
          <w:b/>
          <w:sz w:val="20"/>
          <w:szCs w:val="22"/>
          <w:lang w:eastAsia="en-US"/>
        </w:rPr>
      </w:pPr>
    </w:p>
    <w:tbl>
      <w:tblPr>
        <w:tblW w:w="0" w:type="auto"/>
        <w:jc w:val="center"/>
        <w:tblLook w:val="04A0" w:firstRow="1" w:lastRow="0" w:firstColumn="1" w:lastColumn="0" w:noHBand="0" w:noVBand="1"/>
      </w:tblPr>
      <w:tblGrid>
        <w:gridCol w:w="2877"/>
        <w:gridCol w:w="5553"/>
      </w:tblGrid>
      <w:tr w:rsidR="00224701" w:rsidTr="00770A9D">
        <w:trPr>
          <w:trHeight w:val="50"/>
          <w:jc w:val="center"/>
        </w:trPr>
        <w:tc>
          <w:tcPr>
            <w:tcW w:w="8430" w:type="dxa"/>
            <w:gridSpan w:val="2"/>
            <w:tcBorders>
              <w:top w:val="double" w:sz="4" w:space="0" w:color="auto"/>
              <w:left w:val="double" w:sz="4" w:space="0" w:color="auto"/>
              <w:bottom w:val="single" w:sz="4" w:space="0" w:color="auto"/>
              <w:right w:val="double" w:sz="4" w:space="0" w:color="auto"/>
            </w:tcBorders>
            <w:shd w:val="clear" w:color="auto" w:fill="F2F2F2"/>
            <w:vAlign w:val="center"/>
            <w:hideMark/>
          </w:tcPr>
          <w:p w:rsidR="00224701" w:rsidRDefault="00224701" w:rsidP="00770A9D">
            <w:pPr>
              <w:jc w:val="center"/>
              <w:rPr>
                <w:rFonts w:asciiTheme="majorHAnsi" w:hAnsiTheme="majorHAnsi"/>
                <w:b/>
                <w:bCs/>
                <w:color w:val="000000"/>
                <w:sz w:val="18"/>
                <w:szCs w:val="18"/>
                <w:lang w:eastAsia="en-US"/>
              </w:rPr>
            </w:pPr>
            <w:r>
              <w:rPr>
                <w:rFonts w:asciiTheme="majorHAnsi" w:hAnsiTheme="majorHAnsi"/>
                <w:b/>
                <w:bCs/>
                <w:color w:val="000000"/>
                <w:sz w:val="18"/>
                <w:szCs w:val="18"/>
                <w:lang w:eastAsia="en-US"/>
              </w:rPr>
              <w:lastRenderedPageBreak/>
              <w:t>Сведения о земельном участке на котором расположен Административно-бытовой комплекс</w:t>
            </w:r>
          </w:p>
        </w:tc>
      </w:tr>
      <w:tr w:rsidR="00224701" w:rsidTr="00770A9D">
        <w:trPr>
          <w:trHeight w:val="50"/>
          <w:jc w:val="center"/>
        </w:trPr>
        <w:tc>
          <w:tcPr>
            <w:tcW w:w="2877" w:type="dxa"/>
            <w:tcBorders>
              <w:top w:val="nil"/>
              <w:left w:val="double" w:sz="4" w:space="0" w:color="auto"/>
              <w:bottom w:val="single" w:sz="4" w:space="0" w:color="auto"/>
              <w:right w:val="single" w:sz="4" w:space="0" w:color="auto"/>
            </w:tcBorders>
            <w:shd w:val="clear" w:color="auto" w:fill="F2F2F2"/>
            <w:vAlign w:val="center"/>
            <w:hideMark/>
          </w:tcPr>
          <w:p w:rsidR="00224701" w:rsidRDefault="00224701" w:rsidP="00770A9D">
            <w:pPr>
              <w:jc w:val="center"/>
              <w:rPr>
                <w:rFonts w:asciiTheme="majorHAnsi" w:hAnsiTheme="majorHAnsi"/>
                <w:color w:val="000000"/>
                <w:sz w:val="18"/>
                <w:szCs w:val="18"/>
                <w:lang w:eastAsia="en-US"/>
              </w:rPr>
            </w:pPr>
            <w:r>
              <w:rPr>
                <w:rFonts w:asciiTheme="majorHAnsi" w:hAnsiTheme="majorHAnsi"/>
                <w:b/>
                <w:bCs/>
                <w:color w:val="000000"/>
                <w:sz w:val="18"/>
                <w:szCs w:val="18"/>
                <w:lang w:eastAsia="en-US"/>
              </w:rPr>
              <w:t>Адрес объекта оценки</w:t>
            </w:r>
          </w:p>
        </w:tc>
        <w:tc>
          <w:tcPr>
            <w:tcW w:w="5553" w:type="dxa"/>
            <w:tcBorders>
              <w:top w:val="single" w:sz="4" w:space="0" w:color="auto"/>
              <w:left w:val="nil"/>
              <w:bottom w:val="single" w:sz="4" w:space="0" w:color="auto"/>
              <w:right w:val="double" w:sz="4" w:space="0" w:color="auto"/>
            </w:tcBorders>
            <w:shd w:val="clear" w:color="auto" w:fill="FFFFFF"/>
            <w:vAlign w:val="center"/>
            <w:hideMark/>
          </w:tcPr>
          <w:p w:rsidR="00224701" w:rsidRDefault="00224701" w:rsidP="00077CDB">
            <w:pPr>
              <w:jc w:val="center"/>
              <w:rPr>
                <w:rFonts w:asciiTheme="majorHAnsi" w:hAnsiTheme="majorHAnsi"/>
                <w:color w:val="000000"/>
                <w:sz w:val="18"/>
                <w:szCs w:val="18"/>
                <w:lang w:eastAsia="en-US"/>
              </w:rPr>
            </w:pPr>
            <w:r>
              <w:rPr>
                <w:rFonts w:asciiTheme="majorHAnsi" w:hAnsiTheme="majorHAnsi"/>
                <w:color w:val="000000"/>
                <w:sz w:val="18"/>
                <w:szCs w:val="18"/>
                <w:lang w:eastAsia="en-US"/>
              </w:rPr>
              <w:t xml:space="preserve">Белгородская обл. г. Белгород, ул Сумская, </w:t>
            </w:r>
            <w:r w:rsidR="00077CDB">
              <w:rPr>
                <w:rFonts w:asciiTheme="majorHAnsi" w:hAnsiTheme="majorHAnsi"/>
                <w:color w:val="000000"/>
                <w:sz w:val="18"/>
                <w:szCs w:val="18"/>
                <w:lang w:eastAsia="en-US"/>
              </w:rPr>
              <w:t>168</w:t>
            </w:r>
          </w:p>
        </w:tc>
      </w:tr>
      <w:tr w:rsidR="00224701" w:rsidTr="00770A9D">
        <w:trPr>
          <w:trHeight w:val="50"/>
          <w:jc w:val="center"/>
        </w:trPr>
        <w:tc>
          <w:tcPr>
            <w:tcW w:w="2877" w:type="dxa"/>
            <w:tcBorders>
              <w:top w:val="nil"/>
              <w:left w:val="double" w:sz="4" w:space="0" w:color="auto"/>
              <w:bottom w:val="single" w:sz="4" w:space="0" w:color="auto"/>
              <w:right w:val="single" w:sz="4" w:space="0" w:color="auto"/>
            </w:tcBorders>
            <w:shd w:val="clear" w:color="auto" w:fill="F2F2F2"/>
            <w:vAlign w:val="center"/>
            <w:hideMark/>
          </w:tcPr>
          <w:p w:rsidR="00224701" w:rsidRDefault="00224701" w:rsidP="00770A9D">
            <w:pPr>
              <w:jc w:val="center"/>
              <w:rPr>
                <w:rFonts w:asciiTheme="majorHAnsi" w:hAnsiTheme="majorHAnsi"/>
                <w:b/>
                <w:bCs/>
                <w:color w:val="000000"/>
                <w:sz w:val="18"/>
                <w:szCs w:val="18"/>
                <w:lang w:eastAsia="en-US"/>
              </w:rPr>
            </w:pPr>
            <w:r>
              <w:rPr>
                <w:rFonts w:asciiTheme="majorHAnsi" w:hAnsiTheme="majorHAnsi"/>
                <w:b/>
                <w:bCs/>
                <w:color w:val="000000"/>
                <w:sz w:val="18"/>
                <w:szCs w:val="18"/>
                <w:lang w:eastAsia="en-US"/>
              </w:rPr>
              <w:t>Субъект права</w:t>
            </w:r>
          </w:p>
        </w:tc>
        <w:tc>
          <w:tcPr>
            <w:tcW w:w="5553" w:type="dxa"/>
            <w:tcBorders>
              <w:top w:val="single" w:sz="4" w:space="0" w:color="auto"/>
              <w:left w:val="nil"/>
              <w:bottom w:val="single" w:sz="4" w:space="0" w:color="auto"/>
              <w:right w:val="double" w:sz="4" w:space="0" w:color="auto"/>
            </w:tcBorders>
            <w:shd w:val="clear" w:color="auto" w:fill="FFFFFF"/>
            <w:vAlign w:val="center"/>
            <w:hideMark/>
          </w:tcPr>
          <w:p w:rsidR="00224701" w:rsidRDefault="004F632A" w:rsidP="00770A9D">
            <w:pPr>
              <w:jc w:val="center"/>
              <w:rPr>
                <w:rFonts w:ascii="Cambria" w:hAnsi="Cambria"/>
                <w:color w:val="000000"/>
                <w:sz w:val="18"/>
                <w:szCs w:val="18"/>
                <w:lang w:eastAsia="en-US"/>
              </w:rPr>
            </w:pPr>
            <w:r>
              <w:rPr>
                <w:rFonts w:ascii="Cambria" w:hAnsi="Cambria"/>
                <w:color w:val="000000"/>
                <w:sz w:val="18"/>
                <w:szCs w:val="18"/>
              </w:rPr>
              <w:t>Лаута Игорь Викторович</w:t>
            </w:r>
          </w:p>
        </w:tc>
      </w:tr>
      <w:tr w:rsidR="00224701" w:rsidTr="00770A9D">
        <w:trPr>
          <w:trHeight w:val="50"/>
          <w:jc w:val="center"/>
        </w:trPr>
        <w:tc>
          <w:tcPr>
            <w:tcW w:w="2877" w:type="dxa"/>
            <w:tcBorders>
              <w:top w:val="nil"/>
              <w:left w:val="double" w:sz="4" w:space="0" w:color="auto"/>
              <w:bottom w:val="double" w:sz="4" w:space="0" w:color="auto"/>
              <w:right w:val="single" w:sz="4" w:space="0" w:color="auto"/>
            </w:tcBorders>
            <w:shd w:val="clear" w:color="auto" w:fill="F2F2F2"/>
            <w:vAlign w:val="center"/>
            <w:hideMark/>
          </w:tcPr>
          <w:p w:rsidR="00224701" w:rsidRDefault="00224701" w:rsidP="00770A9D">
            <w:pPr>
              <w:jc w:val="center"/>
              <w:rPr>
                <w:rFonts w:asciiTheme="majorHAnsi" w:hAnsiTheme="majorHAnsi"/>
                <w:b/>
                <w:bCs/>
                <w:color w:val="000000"/>
                <w:sz w:val="18"/>
                <w:szCs w:val="18"/>
                <w:lang w:eastAsia="en-US"/>
              </w:rPr>
            </w:pPr>
            <w:r>
              <w:rPr>
                <w:rFonts w:asciiTheme="majorHAnsi" w:hAnsiTheme="majorHAnsi"/>
                <w:b/>
                <w:bCs/>
                <w:color w:val="000000"/>
                <w:sz w:val="18"/>
                <w:szCs w:val="18"/>
                <w:lang w:eastAsia="en-US"/>
              </w:rPr>
              <w:t>Вид права</w:t>
            </w:r>
          </w:p>
        </w:tc>
        <w:tc>
          <w:tcPr>
            <w:tcW w:w="5553" w:type="dxa"/>
            <w:tcBorders>
              <w:top w:val="single" w:sz="4" w:space="0" w:color="auto"/>
              <w:left w:val="nil"/>
              <w:bottom w:val="double" w:sz="4" w:space="0" w:color="auto"/>
              <w:right w:val="double" w:sz="4" w:space="0" w:color="auto"/>
            </w:tcBorders>
            <w:vAlign w:val="center"/>
            <w:hideMark/>
          </w:tcPr>
          <w:p w:rsidR="00224701" w:rsidRDefault="00224701" w:rsidP="00770A9D">
            <w:pPr>
              <w:jc w:val="center"/>
              <w:rPr>
                <w:rFonts w:ascii="Cambria" w:hAnsi="Cambria"/>
                <w:color w:val="000000"/>
                <w:sz w:val="18"/>
                <w:szCs w:val="18"/>
                <w:lang w:eastAsia="en-US"/>
              </w:rPr>
            </w:pPr>
            <w:r>
              <w:rPr>
                <w:rFonts w:ascii="Cambria" w:hAnsi="Cambria"/>
                <w:color w:val="000000"/>
                <w:sz w:val="18"/>
                <w:szCs w:val="18"/>
                <w:lang w:eastAsia="en-US"/>
              </w:rPr>
              <w:t>Постоянное право бессрочного пользования</w:t>
            </w:r>
          </w:p>
        </w:tc>
      </w:tr>
    </w:tbl>
    <w:p w:rsidR="00224701" w:rsidRDefault="00224701" w:rsidP="00224701">
      <w:pPr>
        <w:jc w:val="both"/>
        <w:rPr>
          <w:rFonts w:asciiTheme="majorHAnsi" w:eastAsiaTheme="minorHAnsi" w:hAnsiTheme="majorHAnsi" w:cstheme="minorBidi"/>
          <w:b/>
          <w:sz w:val="18"/>
          <w:szCs w:val="18"/>
          <w:lang w:eastAsia="en-US"/>
        </w:rPr>
      </w:pPr>
    </w:p>
    <w:tbl>
      <w:tblPr>
        <w:tblW w:w="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349"/>
        <w:gridCol w:w="747"/>
        <w:gridCol w:w="1321"/>
        <w:gridCol w:w="1134"/>
        <w:gridCol w:w="1455"/>
        <w:gridCol w:w="1522"/>
        <w:gridCol w:w="1401"/>
        <w:gridCol w:w="1425"/>
      </w:tblGrid>
      <w:tr w:rsidR="00224701" w:rsidTr="00770A9D">
        <w:trPr>
          <w:trHeight w:val="726"/>
          <w:jc w:val="center"/>
        </w:trPr>
        <w:tc>
          <w:tcPr>
            <w:tcW w:w="1349" w:type="dxa"/>
            <w:tcBorders>
              <w:top w:val="double" w:sz="4" w:space="0" w:color="auto"/>
              <w:left w:val="double" w:sz="4" w:space="0" w:color="auto"/>
              <w:bottom w:val="single" w:sz="4" w:space="0" w:color="auto"/>
              <w:right w:val="single" w:sz="4" w:space="0" w:color="auto"/>
            </w:tcBorders>
            <w:shd w:val="clear" w:color="auto" w:fill="F2F2F2"/>
            <w:vAlign w:val="center"/>
            <w:hideMark/>
          </w:tcPr>
          <w:p w:rsidR="00224701" w:rsidRDefault="00224701" w:rsidP="00770A9D">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Адрес земельного участка</w:t>
            </w:r>
          </w:p>
        </w:tc>
        <w:tc>
          <w:tcPr>
            <w:tcW w:w="747"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Размер (кв. м.)</w:t>
            </w:r>
          </w:p>
        </w:tc>
        <w:tc>
          <w:tcPr>
            <w:tcW w:w="1321"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Кадастровый  номер</w:t>
            </w:r>
          </w:p>
        </w:tc>
        <w:tc>
          <w:tcPr>
            <w:tcW w:w="1134"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Назначение</w:t>
            </w:r>
          </w:p>
        </w:tc>
        <w:tc>
          <w:tcPr>
            <w:tcW w:w="1455"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Разрешенное использование</w:t>
            </w:r>
          </w:p>
        </w:tc>
        <w:tc>
          <w:tcPr>
            <w:tcW w:w="1522"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Фактическое использование</w:t>
            </w:r>
          </w:p>
        </w:tc>
        <w:tc>
          <w:tcPr>
            <w:tcW w:w="1401" w:type="dxa"/>
            <w:tcBorders>
              <w:top w:val="double" w:sz="4" w:space="0" w:color="auto"/>
              <w:left w:val="single" w:sz="4" w:space="0" w:color="auto"/>
              <w:bottom w:val="single" w:sz="4" w:space="0" w:color="auto"/>
              <w:right w:val="single" w:sz="4" w:space="0" w:color="auto"/>
            </w:tcBorders>
            <w:shd w:val="clear" w:color="auto" w:fill="F2F2F2"/>
            <w:vAlign w:val="center"/>
            <w:hideMark/>
          </w:tcPr>
          <w:p w:rsidR="00224701" w:rsidRDefault="00224701" w:rsidP="00770A9D">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 и дата свидетельства о гос. регистр. прав</w:t>
            </w:r>
          </w:p>
        </w:tc>
        <w:tc>
          <w:tcPr>
            <w:tcW w:w="1425" w:type="dxa"/>
            <w:tcBorders>
              <w:top w:val="double" w:sz="4" w:space="0" w:color="auto"/>
              <w:left w:val="single" w:sz="4" w:space="0" w:color="auto"/>
              <w:bottom w:val="single" w:sz="4" w:space="0" w:color="auto"/>
              <w:right w:val="double" w:sz="4" w:space="0" w:color="auto"/>
            </w:tcBorders>
            <w:shd w:val="clear" w:color="auto" w:fill="F2F2F2"/>
            <w:vAlign w:val="center"/>
            <w:hideMark/>
          </w:tcPr>
          <w:p w:rsidR="00224701" w:rsidRDefault="00224701" w:rsidP="00770A9D">
            <w:pPr>
              <w:ind w:left="-93" w:right="-90"/>
              <w:jc w:val="center"/>
              <w:rPr>
                <w:rFonts w:ascii="Cambria" w:hAnsi="Cambria"/>
                <w:b/>
                <w:bCs/>
                <w:color w:val="000000"/>
                <w:sz w:val="18"/>
                <w:szCs w:val="18"/>
                <w:lang w:eastAsia="en-US"/>
              </w:rPr>
            </w:pPr>
            <w:r>
              <w:rPr>
                <w:rFonts w:ascii="Cambria" w:hAnsi="Cambria"/>
                <w:b/>
                <w:bCs/>
                <w:color w:val="000000"/>
                <w:sz w:val="18"/>
                <w:szCs w:val="18"/>
                <w:lang w:eastAsia="en-US"/>
              </w:rPr>
              <w:t>№№ и дата регистрации в Едином гос. реестре прав на недвиж. имущ.</w:t>
            </w:r>
          </w:p>
        </w:tc>
      </w:tr>
      <w:tr w:rsidR="00224701" w:rsidTr="00770A9D">
        <w:trPr>
          <w:trHeight w:val="1082"/>
          <w:jc w:val="center"/>
        </w:trPr>
        <w:tc>
          <w:tcPr>
            <w:tcW w:w="1349" w:type="dxa"/>
            <w:tcBorders>
              <w:top w:val="single" w:sz="4" w:space="0" w:color="auto"/>
              <w:left w:val="double" w:sz="4" w:space="0" w:color="auto"/>
              <w:bottom w:val="double" w:sz="4" w:space="0" w:color="auto"/>
              <w:right w:val="single" w:sz="4" w:space="0" w:color="auto"/>
            </w:tcBorders>
            <w:vAlign w:val="center"/>
            <w:hideMark/>
          </w:tcPr>
          <w:p w:rsidR="00224701" w:rsidRDefault="00224701" w:rsidP="00770A9D">
            <w:pPr>
              <w:ind w:left="-93" w:right="-90"/>
              <w:jc w:val="center"/>
              <w:rPr>
                <w:rFonts w:ascii="Cambria" w:hAnsi="Cambria"/>
                <w:color w:val="000000"/>
                <w:sz w:val="18"/>
                <w:szCs w:val="18"/>
                <w:lang w:eastAsia="en-US"/>
              </w:rPr>
            </w:pPr>
            <w:r>
              <w:rPr>
                <w:rFonts w:ascii="Cambria" w:hAnsi="Cambria"/>
                <w:color w:val="000000"/>
                <w:sz w:val="18"/>
                <w:szCs w:val="18"/>
                <w:lang w:eastAsia="en-US"/>
              </w:rPr>
              <w:t>Белгородская обл. г. Белгород, ул Сумская, №330</w:t>
            </w:r>
          </w:p>
        </w:tc>
        <w:tc>
          <w:tcPr>
            <w:tcW w:w="747"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93" w:right="-90"/>
              <w:jc w:val="center"/>
              <w:rPr>
                <w:rFonts w:ascii="Cambria" w:hAnsi="Cambria"/>
                <w:color w:val="000000"/>
                <w:sz w:val="18"/>
                <w:szCs w:val="18"/>
                <w:lang w:eastAsia="en-US"/>
              </w:rPr>
            </w:pPr>
            <w:r>
              <w:rPr>
                <w:rFonts w:ascii="Cambria" w:hAnsi="Cambria"/>
                <w:color w:val="000000"/>
                <w:sz w:val="18"/>
                <w:szCs w:val="18"/>
                <w:lang w:eastAsia="en-US"/>
              </w:rPr>
              <w:t>101370</w:t>
            </w:r>
          </w:p>
        </w:tc>
        <w:tc>
          <w:tcPr>
            <w:tcW w:w="1321"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93" w:right="-90"/>
              <w:jc w:val="center"/>
              <w:rPr>
                <w:rFonts w:ascii="Cambria" w:hAnsi="Cambria"/>
                <w:color w:val="000000"/>
                <w:sz w:val="18"/>
                <w:szCs w:val="18"/>
                <w:lang w:eastAsia="en-US"/>
              </w:rPr>
            </w:pPr>
            <w:r>
              <w:rPr>
                <w:rFonts w:ascii="Cambria" w:hAnsi="Cambria"/>
                <w:color w:val="000000"/>
                <w:sz w:val="18"/>
                <w:szCs w:val="18"/>
                <w:lang w:eastAsia="en-US"/>
              </w:rPr>
              <w:t>31:16:01 10 09:0001</w:t>
            </w:r>
          </w:p>
        </w:tc>
        <w:tc>
          <w:tcPr>
            <w:tcW w:w="1134"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93" w:right="-90"/>
              <w:jc w:val="center"/>
              <w:rPr>
                <w:rFonts w:ascii="Cambria" w:hAnsi="Cambria"/>
                <w:color w:val="000000"/>
                <w:sz w:val="18"/>
                <w:szCs w:val="18"/>
                <w:lang w:eastAsia="en-US"/>
              </w:rPr>
            </w:pPr>
            <w:r>
              <w:rPr>
                <w:rFonts w:ascii="Cambria" w:hAnsi="Cambria"/>
                <w:color w:val="000000"/>
                <w:sz w:val="18"/>
                <w:szCs w:val="18"/>
                <w:lang w:eastAsia="en-US"/>
              </w:rPr>
              <w:t>Земли населенных пунктов</w:t>
            </w:r>
          </w:p>
        </w:tc>
        <w:tc>
          <w:tcPr>
            <w:tcW w:w="1455"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93" w:right="-90"/>
              <w:jc w:val="center"/>
              <w:rPr>
                <w:rFonts w:ascii="Cambria" w:hAnsi="Cambria"/>
                <w:color w:val="000000"/>
                <w:sz w:val="18"/>
                <w:szCs w:val="18"/>
                <w:lang w:eastAsia="en-US"/>
              </w:rPr>
            </w:pPr>
            <w:r>
              <w:rPr>
                <w:rFonts w:ascii="Cambria" w:hAnsi="Cambria"/>
                <w:color w:val="000000"/>
                <w:sz w:val="18"/>
                <w:szCs w:val="18"/>
                <w:lang w:eastAsia="en-US"/>
              </w:rPr>
              <w:t>Сведения Заказчиком не предоставлены</w:t>
            </w:r>
          </w:p>
        </w:tc>
        <w:tc>
          <w:tcPr>
            <w:tcW w:w="1522"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93" w:right="-90"/>
              <w:jc w:val="center"/>
              <w:rPr>
                <w:rFonts w:ascii="Cambria" w:hAnsi="Cambria"/>
                <w:color w:val="000000"/>
                <w:sz w:val="18"/>
                <w:szCs w:val="18"/>
                <w:lang w:eastAsia="en-US"/>
              </w:rPr>
            </w:pPr>
            <w:r>
              <w:rPr>
                <w:rFonts w:ascii="Cambria" w:hAnsi="Cambria"/>
                <w:color w:val="000000"/>
                <w:sz w:val="18"/>
                <w:szCs w:val="18"/>
                <w:lang w:eastAsia="en-US"/>
              </w:rPr>
              <w:t>Эксплуатация нежилого здания административно-бытового корпуса</w:t>
            </w:r>
          </w:p>
        </w:tc>
        <w:tc>
          <w:tcPr>
            <w:tcW w:w="1401" w:type="dxa"/>
            <w:tcBorders>
              <w:top w:val="single" w:sz="4" w:space="0" w:color="auto"/>
              <w:left w:val="single" w:sz="4" w:space="0" w:color="auto"/>
              <w:bottom w:val="double" w:sz="4" w:space="0" w:color="auto"/>
              <w:right w:val="single" w:sz="4" w:space="0" w:color="auto"/>
            </w:tcBorders>
            <w:vAlign w:val="center"/>
            <w:hideMark/>
          </w:tcPr>
          <w:p w:rsidR="00224701" w:rsidRDefault="00224701" w:rsidP="00770A9D">
            <w:pPr>
              <w:ind w:left="-93" w:right="-90"/>
              <w:jc w:val="center"/>
              <w:rPr>
                <w:rFonts w:ascii="Cambria" w:hAnsi="Cambria"/>
                <w:color w:val="000000"/>
                <w:sz w:val="18"/>
                <w:szCs w:val="18"/>
                <w:lang w:eastAsia="en-US"/>
              </w:rPr>
            </w:pPr>
            <w:r>
              <w:rPr>
                <w:rFonts w:ascii="Cambria" w:hAnsi="Cambria"/>
                <w:color w:val="000000"/>
                <w:sz w:val="18"/>
                <w:szCs w:val="18"/>
                <w:lang w:eastAsia="en-US"/>
              </w:rPr>
              <w:t xml:space="preserve">АА №0041733 </w:t>
            </w:r>
          </w:p>
        </w:tc>
        <w:tc>
          <w:tcPr>
            <w:tcW w:w="1425" w:type="dxa"/>
            <w:tcBorders>
              <w:top w:val="single" w:sz="4" w:space="0" w:color="auto"/>
              <w:left w:val="single" w:sz="4" w:space="0" w:color="auto"/>
              <w:bottom w:val="double" w:sz="4" w:space="0" w:color="auto"/>
              <w:right w:val="double" w:sz="4" w:space="0" w:color="auto"/>
            </w:tcBorders>
            <w:vAlign w:val="center"/>
            <w:hideMark/>
          </w:tcPr>
          <w:p w:rsidR="00224701" w:rsidRDefault="00224701" w:rsidP="00770A9D">
            <w:pPr>
              <w:ind w:left="-93" w:right="-90"/>
              <w:jc w:val="center"/>
              <w:rPr>
                <w:rFonts w:ascii="Cambria" w:hAnsi="Cambria"/>
                <w:color w:val="000000"/>
                <w:sz w:val="18"/>
                <w:szCs w:val="18"/>
                <w:lang w:eastAsia="en-US"/>
              </w:rPr>
            </w:pPr>
            <w:r>
              <w:rPr>
                <w:rFonts w:ascii="Cambria" w:hAnsi="Cambria"/>
                <w:color w:val="000000"/>
                <w:sz w:val="18"/>
                <w:szCs w:val="18"/>
                <w:lang w:eastAsia="en-US"/>
              </w:rPr>
              <w:t>31-01/00-3/ 2000-2125.2 от 29.08.2000</w:t>
            </w:r>
          </w:p>
        </w:tc>
      </w:tr>
    </w:tbl>
    <w:p w:rsidR="008B55FA" w:rsidRDefault="008B55FA" w:rsidP="002E3412">
      <w:pPr>
        <w:keepNext/>
        <w:keepLines/>
        <w:spacing w:before="100" w:beforeAutospacing="1" w:after="100" w:afterAutospacing="1"/>
        <w:ind w:left="567" w:right="140" w:hanging="567"/>
        <w:contextualSpacing/>
        <w:jc w:val="both"/>
        <w:outlineLvl w:val="1"/>
        <w:rPr>
          <w:rFonts w:asciiTheme="majorHAnsi" w:eastAsiaTheme="majorEastAsia" w:hAnsiTheme="majorHAnsi" w:cstheme="majorBidi"/>
          <w:b/>
          <w:bCs/>
          <w:sz w:val="20"/>
          <w:szCs w:val="20"/>
          <w:lang w:bidi="en-US"/>
        </w:rPr>
      </w:pPr>
    </w:p>
    <w:p w:rsidR="00A453C0" w:rsidRPr="00A453C0" w:rsidRDefault="006C3A33" w:rsidP="0090764B">
      <w:pPr>
        <w:pStyle w:val="af3"/>
        <w:keepNext/>
        <w:keepLines/>
        <w:numPr>
          <w:ilvl w:val="1"/>
          <w:numId w:val="13"/>
        </w:numPr>
        <w:spacing w:before="100" w:beforeAutospacing="1" w:after="100" w:afterAutospacing="1"/>
        <w:ind w:right="140"/>
        <w:outlineLvl w:val="1"/>
        <w:rPr>
          <w:rFonts w:asciiTheme="majorHAnsi" w:eastAsiaTheme="majorEastAsia" w:hAnsiTheme="majorHAnsi" w:cstheme="majorBidi"/>
          <w:b/>
          <w:bCs/>
          <w:sz w:val="20"/>
          <w:szCs w:val="20"/>
          <w:lang w:val="ru-RU"/>
        </w:rPr>
      </w:pPr>
      <w:bookmarkStart w:id="36" w:name="_Toc491763290"/>
      <w:r w:rsidRPr="00A453C0">
        <w:rPr>
          <w:rFonts w:asciiTheme="majorHAnsi" w:eastAsiaTheme="majorEastAsia" w:hAnsiTheme="majorHAnsi" w:cstheme="majorBidi"/>
          <w:b/>
          <w:bCs/>
          <w:sz w:val="20"/>
          <w:szCs w:val="20"/>
          <w:lang w:val="ru-RU"/>
        </w:rPr>
        <w:t xml:space="preserve">Результаты оценки, полученные при применении различных подходов к </w:t>
      </w:r>
      <w:r w:rsidR="002E3412" w:rsidRPr="00A453C0">
        <w:rPr>
          <w:rFonts w:asciiTheme="majorHAnsi" w:eastAsiaTheme="majorEastAsia" w:hAnsiTheme="majorHAnsi" w:cstheme="majorBidi"/>
          <w:b/>
          <w:bCs/>
          <w:sz w:val="20"/>
          <w:szCs w:val="20"/>
          <w:lang w:val="ru-RU"/>
        </w:rPr>
        <w:t xml:space="preserve"> </w:t>
      </w:r>
      <w:r w:rsidRPr="00A453C0">
        <w:rPr>
          <w:rFonts w:asciiTheme="majorHAnsi" w:eastAsiaTheme="majorEastAsia" w:hAnsiTheme="majorHAnsi" w:cstheme="majorBidi"/>
          <w:b/>
          <w:bCs/>
          <w:sz w:val="20"/>
          <w:szCs w:val="20"/>
          <w:lang w:val="ru-RU"/>
        </w:rPr>
        <w:t>оценке.</w:t>
      </w:r>
      <w:bookmarkEnd w:id="34"/>
      <w:bookmarkEnd w:id="36"/>
    </w:p>
    <w:p w:rsidR="006C3A33" w:rsidRDefault="006C3A33" w:rsidP="006C3A33">
      <w:pPr>
        <w:ind w:firstLine="709"/>
        <w:jc w:val="both"/>
        <w:rPr>
          <w:rFonts w:asciiTheme="majorHAnsi" w:hAnsiTheme="majorHAnsi"/>
          <w:sz w:val="20"/>
          <w:szCs w:val="20"/>
        </w:rPr>
      </w:pPr>
      <w:r w:rsidRPr="00E03510">
        <w:rPr>
          <w:rFonts w:asciiTheme="majorHAnsi" w:hAnsiTheme="majorHAnsi"/>
          <w:sz w:val="20"/>
          <w:szCs w:val="20"/>
        </w:rPr>
        <w:t xml:space="preserve">Результаты оценки, полученные при применении </w:t>
      </w:r>
      <w:r w:rsidR="00A453C0">
        <w:rPr>
          <w:rFonts w:asciiTheme="majorHAnsi" w:hAnsiTheme="majorHAnsi"/>
          <w:sz w:val="20"/>
          <w:szCs w:val="20"/>
        </w:rPr>
        <w:t>различных</w:t>
      </w:r>
      <w:r w:rsidR="002C0AE7" w:rsidRPr="00E03510">
        <w:rPr>
          <w:rFonts w:asciiTheme="majorHAnsi" w:hAnsiTheme="majorHAnsi"/>
          <w:sz w:val="20"/>
          <w:szCs w:val="20"/>
        </w:rPr>
        <w:t xml:space="preserve"> подход</w:t>
      </w:r>
      <w:r w:rsidR="00A453C0">
        <w:rPr>
          <w:rFonts w:asciiTheme="majorHAnsi" w:hAnsiTheme="majorHAnsi"/>
          <w:sz w:val="20"/>
          <w:szCs w:val="20"/>
        </w:rPr>
        <w:t>ов</w:t>
      </w:r>
      <w:r w:rsidRPr="00E03510">
        <w:rPr>
          <w:rFonts w:asciiTheme="majorHAnsi" w:hAnsiTheme="majorHAnsi"/>
          <w:sz w:val="20"/>
          <w:szCs w:val="20"/>
        </w:rPr>
        <w:t xml:space="preserve"> к оценке, характеризуются следующими данными:</w:t>
      </w:r>
    </w:p>
    <w:p w:rsidR="004900FC" w:rsidRDefault="004900FC" w:rsidP="004900FC">
      <w:pPr>
        <w:tabs>
          <w:tab w:val="left" w:pos="2925"/>
        </w:tabs>
        <w:spacing w:before="120" w:after="120"/>
        <w:ind w:firstLine="709"/>
        <w:jc w:val="both"/>
        <w:rPr>
          <w:rFonts w:ascii="Cambria" w:hAnsi="Cambria"/>
          <w:b/>
          <w:bCs/>
          <w:sz w:val="20"/>
          <w:szCs w:val="20"/>
        </w:rPr>
      </w:pPr>
      <w:r>
        <w:rPr>
          <w:rFonts w:ascii="Cambria" w:hAnsi="Cambria"/>
          <w:b/>
          <w:bCs/>
          <w:sz w:val="20"/>
          <w:szCs w:val="20"/>
        </w:rPr>
        <w:t>– производственный комплекс</w:t>
      </w:r>
    </w:p>
    <w:tbl>
      <w:tblPr>
        <w:tblW w:w="0" w:type="auto"/>
        <w:tblInd w:w="-34"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568"/>
        <w:gridCol w:w="2126"/>
        <w:gridCol w:w="873"/>
        <w:gridCol w:w="1556"/>
        <w:gridCol w:w="1682"/>
        <w:gridCol w:w="1559"/>
        <w:gridCol w:w="1807"/>
      </w:tblGrid>
      <w:tr w:rsidR="00A453C0" w:rsidRPr="00A453C0" w:rsidTr="004900FC">
        <w:trPr>
          <w:trHeight w:val="20"/>
        </w:trPr>
        <w:tc>
          <w:tcPr>
            <w:tcW w:w="568" w:type="dxa"/>
            <w:shd w:val="clear" w:color="000000" w:fill="F2F2F2"/>
            <w:vAlign w:val="center"/>
            <w:hideMark/>
          </w:tcPr>
          <w:p w:rsidR="00A453C0" w:rsidRPr="00A453C0" w:rsidRDefault="00A453C0" w:rsidP="00A453C0">
            <w:pPr>
              <w:jc w:val="center"/>
              <w:rPr>
                <w:rFonts w:asciiTheme="majorHAnsi" w:hAnsiTheme="majorHAnsi"/>
                <w:b/>
                <w:bCs/>
                <w:sz w:val="18"/>
                <w:szCs w:val="18"/>
              </w:rPr>
            </w:pPr>
            <w:r w:rsidRPr="00A453C0">
              <w:rPr>
                <w:rFonts w:asciiTheme="majorHAnsi" w:hAnsiTheme="majorHAnsi"/>
                <w:b/>
                <w:bCs/>
                <w:sz w:val="18"/>
                <w:szCs w:val="18"/>
              </w:rPr>
              <w:t>№ п/п</w:t>
            </w:r>
          </w:p>
        </w:tc>
        <w:tc>
          <w:tcPr>
            <w:tcW w:w="2126" w:type="dxa"/>
            <w:shd w:val="clear" w:color="000000" w:fill="F2F2F2"/>
            <w:vAlign w:val="center"/>
            <w:hideMark/>
          </w:tcPr>
          <w:p w:rsidR="00A453C0" w:rsidRPr="00A453C0" w:rsidRDefault="00A453C0" w:rsidP="00A453C0">
            <w:pPr>
              <w:jc w:val="center"/>
              <w:rPr>
                <w:rFonts w:asciiTheme="majorHAnsi" w:hAnsiTheme="majorHAnsi"/>
                <w:b/>
                <w:bCs/>
                <w:sz w:val="18"/>
                <w:szCs w:val="18"/>
              </w:rPr>
            </w:pPr>
            <w:r w:rsidRPr="00A453C0">
              <w:rPr>
                <w:rFonts w:asciiTheme="majorHAnsi" w:hAnsiTheme="majorHAnsi"/>
                <w:b/>
                <w:bCs/>
                <w:sz w:val="18"/>
                <w:szCs w:val="18"/>
              </w:rPr>
              <w:t>Наименование объектов  оценки</w:t>
            </w:r>
          </w:p>
        </w:tc>
        <w:tc>
          <w:tcPr>
            <w:tcW w:w="873" w:type="dxa"/>
            <w:shd w:val="clear" w:color="000000" w:fill="F2F2F2"/>
            <w:vAlign w:val="center"/>
            <w:hideMark/>
          </w:tcPr>
          <w:p w:rsidR="00A453C0" w:rsidRPr="00A453C0" w:rsidRDefault="00A453C0" w:rsidP="004900FC">
            <w:pPr>
              <w:ind w:left="-108" w:right="-85"/>
              <w:jc w:val="center"/>
              <w:rPr>
                <w:rFonts w:asciiTheme="majorHAnsi" w:hAnsiTheme="majorHAnsi"/>
                <w:b/>
                <w:bCs/>
                <w:sz w:val="18"/>
                <w:szCs w:val="18"/>
              </w:rPr>
            </w:pPr>
            <w:r w:rsidRPr="00A453C0">
              <w:rPr>
                <w:rFonts w:asciiTheme="majorHAnsi" w:hAnsiTheme="majorHAnsi"/>
                <w:b/>
                <w:bCs/>
                <w:sz w:val="18"/>
                <w:szCs w:val="18"/>
              </w:rPr>
              <w:t>Площадь, кв.м</w:t>
            </w:r>
            <w:r w:rsidR="004900FC">
              <w:rPr>
                <w:rFonts w:asciiTheme="majorHAnsi" w:hAnsiTheme="majorHAnsi"/>
                <w:b/>
                <w:bCs/>
                <w:sz w:val="18"/>
                <w:szCs w:val="18"/>
              </w:rPr>
              <w:t>.</w:t>
            </w:r>
          </w:p>
        </w:tc>
        <w:tc>
          <w:tcPr>
            <w:tcW w:w="1556" w:type="dxa"/>
            <w:shd w:val="clear" w:color="000000" w:fill="F2F2F2"/>
            <w:vAlign w:val="center"/>
            <w:hideMark/>
          </w:tcPr>
          <w:p w:rsidR="00A453C0" w:rsidRPr="00A453C0" w:rsidRDefault="00A453C0" w:rsidP="00A453C0">
            <w:pPr>
              <w:jc w:val="center"/>
              <w:rPr>
                <w:rFonts w:asciiTheme="majorHAnsi" w:hAnsiTheme="majorHAnsi"/>
                <w:b/>
                <w:bCs/>
                <w:sz w:val="18"/>
                <w:szCs w:val="18"/>
              </w:rPr>
            </w:pPr>
            <w:r w:rsidRPr="00A453C0">
              <w:rPr>
                <w:rFonts w:asciiTheme="majorHAnsi" w:hAnsiTheme="majorHAnsi"/>
                <w:b/>
                <w:bCs/>
                <w:sz w:val="18"/>
                <w:szCs w:val="18"/>
              </w:rPr>
              <w:t>Стоимость, рассчитанная затратным подходом, руб.</w:t>
            </w:r>
          </w:p>
        </w:tc>
        <w:tc>
          <w:tcPr>
            <w:tcW w:w="1682" w:type="dxa"/>
            <w:shd w:val="clear" w:color="000000" w:fill="F2F2F2"/>
            <w:vAlign w:val="center"/>
            <w:hideMark/>
          </w:tcPr>
          <w:p w:rsidR="00A453C0" w:rsidRPr="00A453C0" w:rsidRDefault="00A453C0" w:rsidP="00A453C0">
            <w:pPr>
              <w:jc w:val="center"/>
              <w:rPr>
                <w:rFonts w:asciiTheme="majorHAnsi" w:hAnsiTheme="majorHAnsi"/>
                <w:b/>
                <w:bCs/>
                <w:sz w:val="18"/>
                <w:szCs w:val="18"/>
              </w:rPr>
            </w:pPr>
            <w:r w:rsidRPr="00A453C0">
              <w:rPr>
                <w:rFonts w:asciiTheme="majorHAnsi" w:hAnsiTheme="majorHAnsi"/>
                <w:b/>
                <w:bCs/>
                <w:sz w:val="18"/>
                <w:szCs w:val="18"/>
              </w:rPr>
              <w:t>Стоимость, рассчитанная сравнительным подходом, руб.</w:t>
            </w:r>
          </w:p>
        </w:tc>
        <w:tc>
          <w:tcPr>
            <w:tcW w:w="1559" w:type="dxa"/>
            <w:shd w:val="clear" w:color="000000" w:fill="F2F2F2"/>
            <w:vAlign w:val="center"/>
            <w:hideMark/>
          </w:tcPr>
          <w:p w:rsidR="00A453C0" w:rsidRPr="00A453C0" w:rsidRDefault="00A453C0" w:rsidP="00A453C0">
            <w:pPr>
              <w:jc w:val="center"/>
              <w:rPr>
                <w:rFonts w:asciiTheme="majorHAnsi" w:hAnsiTheme="majorHAnsi"/>
                <w:b/>
                <w:bCs/>
                <w:sz w:val="18"/>
                <w:szCs w:val="18"/>
              </w:rPr>
            </w:pPr>
            <w:r w:rsidRPr="00A453C0">
              <w:rPr>
                <w:rFonts w:asciiTheme="majorHAnsi" w:hAnsiTheme="majorHAnsi"/>
                <w:b/>
                <w:bCs/>
                <w:sz w:val="18"/>
                <w:szCs w:val="18"/>
              </w:rPr>
              <w:t>Стоимость, рассчитанная доходным подходом, руб.</w:t>
            </w:r>
          </w:p>
        </w:tc>
        <w:tc>
          <w:tcPr>
            <w:tcW w:w="1807" w:type="dxa"/>
            <w:shd w:val="clear" w:color="000000" w:fill="F2F2F2"/>
            <w:vAlign w:val="center"/>
            <w:hideMark/>
          </w:tcPr>
          <w:p w:rsidR="00A453C0" w:rsidRPr="00A453C0" w:rsidRDefault="00A453C0" w:rsidP="004900FC">
            <w:pPr>
              <w:jc w:val="center"/>
              <w:rPr>
                <w:rFonts w:asciiTheme="majorHAnsi" w:hAnsiTheme="majorHAnsi"/>
                <w:b/>
                <w:bCs/>
                <w:sz w:val="18"/>
                <w:szCs w:val="18"/>
              </w:rPr>
            </w:pPr>
            <w:r w:rsidRPr="00A453C0">
              <w:rPr>
                <w:rFonts w:asciiTheme="majorHAnsi" w:hAnsiTheme="majorHAnsi"/>
                <w:b/>
                <w:bCs/>
                <w:sz w:val="18"/>
                <w:szCs w:val="18"/>
              </w:rPr>
              <w:t>Итоговая стоимость</w:t>
            </w:r>
            <w:r w:rsidR="004900FC">
              <w:rPr>
                <w:rFonts w:asciiTheme="majorHAnsi" w:hAnsiTheme="majorHAnsi"/>
                <w:b/>
                <w:bCs/>
                <w:sz w:val="18"/>
                <w:szCs w:val="18"/>
              </w:rPr>
              <w:t xml:space="preserve"> </w:t>
            </w:r>
            <w:r w:rsidRPr="00A453C0">
              <w:rPr>
                <w:rFonts w:asciiTheme="majorHAnsi" w:hAnsiTheme="majorHAnsi"/>
                <w:b/>
                <w:bCs/>
                <w:sz w:val="18"/>
                <w:szCs w:val="18"/>
              </w:rPr>
              <w:t>с НДС</w:t>
            </w:r>
            <w:r w:rsidR="004900FC">
              <w:rPr>
                <w:rFonts w:asciiTheme="majorHAnsi" w:hAnsiTheme="majorHAnsi"/>
                <w:b/>
                <w:bCs/>
                <w:sz w:val="18"/>
                <w:szCs w:val="18"/>
              </w:rPr>
              <w:t xml:space="preserve"> (з.уч. НДС не облагается)</w:t>
            </w:r>
            <w:r w:rsidRPr="00A453C0">
              <w:rPr>
                <w:rFonts w:asciiTheme="majorHAnsi" w:hAnsiTheme="majorHAnsi"/>
                <w:b/>
                <w:bCs/>
                <w:sz w:val="18"/>
                <w:szCs w:val="18"/>
              </w:rPr>
              <w:t>, руб.</w:t>
            </w:r>
            <w:r w:rsidR="004900FC">
              <w:rPr>
                <w:rFonts w:asciiTheme="majorHAnsi" w:hAnsiTheme="majorHAnsi"/>
                <w:b/>
                <w:bCs/>
                <w:sz w:val="18"/>
                <w:szCs w:val="18"/>
              </w:rPr>
              <w:t xml:space="preserve">, </w:t>
            </w:r>
          </w:p>
        </w:tc>
      </w:tr>
      <w:tr w:rsidR="00E86FA0" w:rsidRPr="00A453C0" w:rsidTr="004900FC">
        <w:trPr>
          <w:trHeight w:val="20"/>
        </w:trPr>
        <w:tc>
          <w:tcPr>
            <w:tcW w:w="568" w:type="dxa"/>
            <w:shd w:val="clear" w:color="auto" w:fill="auto"/>
            <w:noWrap/>
            <w:vAlign w:val="center"/>
            <w:hideMark/>
          </w:tcPr>
          <w:p w:rsidR="00E86FA0" w:rsidRPr="00A453C0" w:rsidRDefault="00E86FA0" w:rsidP="00224701">
            <w:pPr>
              <w:jc w:val="center"/>
              <w:rPr>
                <w:rFonts w:asciiTheme="majorHAnsi" w:hAnsiTheme="majorHAnsi"/>
                <w:color w:val="000000"/>
                <w:sz w:val="18"/>
                <w:szCs w:val="18"/>
              </w:rPr>
            </w:pPr>
            <w:r w:rsidRPr="00A453C0">
              <w:rPr>
                <w:rFonts w:asciiTheme="majorHAnsi" w:hAnsiTheme="majorHAnsi"/>
                <w:color w:val="000000"/>
                <w:sz w:val="18"/>
                <w:szCs w:val="18"/>
              </w:rPr>
              <w:t>1</w:t>
            </w:r>
          </w:p>
        </w:tc>
        <w:tc>
          <w:tcPr>
            <w:tcW w:w="2126" w:type="dxa"/>
            <w:shd w:val="clear" w:color="auto" w:fill="auto"/>
            <w:vAlign w:val="center"/>
            <w:hideMark/>
          </w:tcPr>
          <w:p w:rsidR="00E86FA0" w:rsidRPr="00224701" w:rsidRDefault="00E86FA0" w:rsidP="00224701">
            <w:pPr>
              <w:jc w:val="center"/>
              <w:rPr>
                <w:rFonts w:asciiTheme="majorHAnsi" w:hAnsiTheme="majorHAnsi"/>
                <w:sz w:val="18"/>
                <w:szCs w:val="18"/>
              </w:rPr>
            </w:pPr>
            <w:r w:rsidRPr="00224701">
              <w:rPr>
                <w:rFonts w:asciiTheme="majorHAnsi" w:hAnsiTheme="majorHAnsi"/>
                <w:sz w:val="18"/>
                <w:szCs w:val="18"/>
              </w:rPr>
              <w:t>Нежилое строение (Производственный корпус)</w:t>
            </w:r>
          </w:p>
        </w:tc>
        <w:tc>
          <w:tcPr>
            <w:tcW w:w="873" w:type="dxa"/>
            <w:shd w:val="clear" w:color="auto" w:fill="auto"/>
            <w:vAlign w:val="center"/>
            <w:hideMark/>
          </w:tcPr>
          <w:p w:rsidR="00E86FA0" w:rsidRPr="00224701" w:rsidRDefault="00E86FA0" w:rsidP="00224701">
            <w:pPr>
              <w:jc w:val="center"/>
              <w:rPr>
                <w:rFonts w:asciiTheme="majorHAnsi" w:hAnsiTheme="majorHAnsi"/>
                <w:sz w:val="18"/>
                <w:szCs w:val="18"/>
                <w:lang w:eastAsia="en-US"/>
              </w:rPr>
            </w:pPr>
            <w:r w:rsidRPr="00224701">
              <w:rPr>
                <w:rFonts w:asciiTheme="majorHAnsi" w:hAnsiTheme="majorHAnsi"/>
                <w:sz w:val="18"/>
                <w:szCs w:val="18"/>
                <w:lang w:eastAsia="en-US"/>
              </w:rPr>
              <w:t>8 371,5</w:t>
            </w:r>
          </w:p>
        </w:tc>
        <w:tc>
          <w:tcPr>
            <w:tcW w:w="1556" w:type="dxa"/>
            <w:shd w:val="clear" w:color="000000" w:fill="FFFFFF"/>
            <w:vAlign w:val="center"/>
            <w:hideMark/>
          </w:tcPr>
          <w:p w:rsidR="00E86FA0" w:rsidRPr="00B2010D" w:rsidRDefault="00E86FA0" w:rsidP="00B2010D">
            <w:pPr>
              <w:jc w:val="center"/>
              <w:rPr>
                <w:rFonts w:asciiTheme="majorHAnsi" w:hAnsiTheme="majorHAnsi"/>
                <w:sz w:val="18"/>
                <w:szCs w:val="18"/>
              </w:rPr>
            </w:pPr>
            <w:r>
              <w:rPr>
                <w:rFonts w:asciiTheme="majorHAnsi" w:hAnsiTheme="majorHAnsi"/>
                <w:sz w:val="18"/>
                <w:szCs w:val="18"/>
              </w:rPr>
              <w:t>98 151 779</w:t>
            </w:r>
          </w:p>
        </w:tc>
        <w:tc>
          <w:tcPr>
            <w:tcW w:w="1682" w:type="dxa"/>
            <w:shd w:val="clear" w:color="auto" w:fill="auto"/>
            <w:vAlign w:val="center"/>
            <w:hideMark/>
          </w:tcPr>
          <w:p w:rsidR="00E86FA0" w:rsidRPr="00B2010D" w:rsidRDefault="00E86FA0" w:rsidP="00224701">
            <w:pPr>
              <w:jc w:val="center"/>
              <w:rPr>
                <w:rFonts w:asciiTheme="majorHAnsi" w:hAnsiTheme="majorHAnsi"/>
                <w:sz w:val="18"/>
                <w:szCs w:val="18"/>
                <w:lang w:eastAsia="en-US"/>
              </w:rPr>
            </w:pPr>
            <w:r w:rsidRPr="00B2010D">
              <w:rPr>
                <w:rFonts w:asciiTheme="majorHAnsi" w:hAnsiTheme="majorHAnsi"/>
                <w:sz w:val="18"/>
                <w:szCs w:val="18"/>
                <w:lang w:eastAsia="en-US"/>
              </w:rPr>
              <w:t xml:space="preserve">97 529 754   </w:t>
            </w:r>
          </w:p>
        </w:tc>
        <w:tc>
          <w:tcPr>
            <w:tcW w:w="1559" w:type="dxa"/>
            <w:shd w:val="clear" w:color="auto" w:fill="auto"/>
            <w:vAlign w:val="center"/>
            <w:hideMark/>
          </w:tcPr>
          <w:p w:rsidR="00E86FA0" w:rsidRPr="00B2010D" w:rsidRDefault="00E86FA0" w:rsidP="00E86FA0">
            <w:pPr>
              <w:jc w:val="center"/>
              <w:rPr>
                <w:rFonts w:asciiTheme="majorHAnsi" w:hAnsiTheme="majorHAnsi"/>
                <w:sz w:val="18"/>
                <w:szCs w:val="18"/>
                <w:lang w:eastAsia="en-US"/>
              </w:rPr>
            </w:pPr>
            <w:r>
              <w:rPr>
                <w:rFonts w:asciiTheme="majorHAnsi" w:hAnsiTheme="majorHAnsi"/>
                <w:sz w:val="18"/>
                <w:szCs w:val="18"/>
                <w:lang w:eastAsia="en-US"/>
              </w:rPr>
              <w:t>86 307 000</w:t>
            </w:r>
            <w:r w:rsidRPr="00E86FA0">
              <w:rPr>
                <w:rFonts w:asciiTheme="majorHAnsi" w:hAnsiTheme="majorHAnsi"/>
                <w:sz w:val="18"/>
                <w:szCs w:val="18"/>
                <w:lang w:eastAsia="en-US"/>
              </w:rPr>
              <w:t xml:space="preserve"> </w:t>
            </w:r>
          </w:p>
        </w:tc>
        <w:tc>
          <w:tcPr>
            <w:tcW w:w="1807" w:type="dxa"/>
            <w:shd w:val="clear" w:color="auto" w:fill="auto"/>
            <w:vAlign w:val="center"/>
            <w:hideMark/>
          </w:tcPr>
          <w:p w:rsidR="00E86FA0" w:rsidRPr="00E86FA0" w:rsidRDefault="00E86FA0">
            <w:pPr>
              <w:jc w:val="center"/>
              <w:rPr>
                <w:rFonts w:asciiTheme="majorHAnsi" w:hAnsiTheme="majorHAnsi"/>
                <w:b/>
                <w:bCs/>
                <w:color w:val="000000"/>
                <w:sz w:val="18"/>
                <w:szCs w:val="18"/>
              </w:rPr>
            </w:pPr>
            <w:r w:rsidRPr="00E86FA0">
              <w:rPr>
                <w:rFonts w:asciiTheme="majorHAnsi" w:hAnsiTheme="majorHAnsi"/>
                <w:b/>
                <w:bCs/>
                <w:color w:val="000000"/>
                <w:sz w:val="18"/>
                <w:szCs w:val="18"/>
              </w:rPr>
              <w:t xml:space="preserve">94 287 333  </w:t>
            </w:r>
          </w:p>
        </w:tc>
      </w:tr>
      <w:tr w:rsidR="00E86FA0" w:rsidRPr="00A453C0" w:rsidTr="004900FC">
        <w:trPr>
          <w:trHeight w:val="20"/>
        </w:trPr>
        <w:tc>
          <w:tcPr>
            <w:tcW w:w="568" w:type="dxa"/>
            <w:shd w:val="clear" w:color="auto" w:fill="auto"/>
            <w:noWrap/>
            <w:vAlign w:val="center"/>
            <w:hideMark/>
          </w:tcPr>
          <w:p w:rsidR="00E86FA0" w:rsidRPr="00A453C0" w:rsidRDefault="00E86FA0" w:rsidP="00224701">
            <w:pPr>
              <w:jc w:val="center"/>
              <w:rPr>
                <w:rFonts w:asciiTheme="majorHAnsi" w:hAnsiTheme="majorHAnsi"/>
                <w:color w:val="000000"/>
                <w:sz w:val="18"/>
                <w:szCs w:val="18"/>
              </w:rPr>
            </w:pPr>
            <w:r w:rsidRPr="00A453C0">
              <w:rPr>
                <w:rFonts w:asciiTheme="majorHAnsi" w:hAnsiTheme="majorHAnsi"/>
                <w:color w:val="000000"/>
                <w:sz w:val="18"/>
                <w:szCs w:val="18"/>
              </w:rPr>
              <w:t>2</w:t>
            </w:r>
          </w:p>
        </w:tc>
        <w:tc>
          <w:tcPr>
            <w:tcW w:w="2126" w:type="dxa"/>
            <w:shd w:val="clear" w:color="auto" w:fill="auto"/>
            <w:vAlign w:val="center"/>
            <w:hideMark/>
          </w:tcPr>
          <w:p w:rsidR="00E86FA0" w:rsidRPr="00224701" w:rsidRDefault="00E86FA0" w:rsidP="004900FC">
            <w:pPr>
              <w:jc w:val="center"/>
              <w:rPr>
                <w:rFonts w:asciiTheme="majorHAnsi" w:hAnsiTheme="majorHAnsi"/>
                <w:sz w:val="18"/>
                <w:szCs w:val="18"/>
              </w:rPr>
            </w:pPr>
            <w:r w:rsidRPr="00224701">
              <w:rPr>
                <w:rFonts w:asciiTheme="majorHAnsi" w:hAnsiTheme="majorHAnsi"/>
                <w:sz w:val="18"/>
                <w:szCs w:val="18"/>
              </w:rPr>
              <w:t>В том числе Земельный участок</w:t>
            </w:r>
            <w:r>
              <w:rPr>
                <w:rFonts w:asciiTheme="majorHAnsi" w:hAnsiTheme="majorHAnsi"/>
                <w:sz w:val="18"/>
                <w:szCs w:val="18"/>
              </w:rPr>
              <w:t xml:space="preserve">, (з.уч. находится в бессрочном пользовании, в связи с этим в настоящем Отчете расчитывается в целях определения стоимости ОКС) </w:t>
            </w:r>
          </w:p>
        </w:tc>
        <w:tc>
          <w:tcPr>
            <w:tcW w:w="873" w:type="dxa"/>
            <w:shd w:val="clear" w:color="auto" w:fill="auto"/>
            <w:vAlign w:val="center"/>
            <w:hideMark/>
          </w:tcPr>
          <w:p w:rsidR="00E86FA0" w:rsidRPr="0001418E" w:rsidRDefault="00E86FA0" w:rsidP="00224701">
            <w:pPr>
              <w:jc w:val="center"/>
              <w:rPr>
                <w:rFonts w:asciiTheme="majorHAnsi" w:hAnsiTheme="majorHAnsi"/>
                <w:sz w:val="18"/>
                <w:szCs w:val="18"/>
              </w:rPr>
            </w:pPr>
            <w:r w:rsidRPr="00224701">
              <w:rPr>
                <w:rFonts w:asciiTheme="majorHAnsi" w:hAnsiTheme="majorHAnsi"/>
                <w:sz w:val="18"/>
                <w:szCs w:val="18"/>
              </w:rPr>
              <w:t>83 276</w:t>
            </w:r>
          </w:p>
        </w:tc>
        <w:tc>
          <w:tcPr>
            <w:tcW w:w="1556" w:type="dxa"/>
            <w:shd w:val="clear" w:color="000000" w:fill="FFFFFF"/>
            <w:vAlign w:val="center"/>
            <w:hideMark/>
          </w:tcPr>
          <w:p w:rsidR="00E86FA0" w:rsidRPr="00A453C0" w:rsidRDefault="00E86FA0" w:rsidP="00224701">
            <w:pPr>
              <w:jc w:val="center"/>
              <w:rPr>
                <w:rFonts w:asciiTheme="majorHAnsi" w:hAnsiTheme="majorHAnsi"/>
                <w:sz w:val="18"/>
                <w:szCs w:val="18"/>
              </w:rPr>
            </w:pPr>
            <w:r w:rsidRPr="00A453C0">
              <w:rPr>
                <w:rFonts w:asciiTheme="majorHAnsi" w:hAnsiTheme="majorHAnsi"/>
                <w:sz w:val="18"/>
                <w:szCs w:val="18"/>
              </w:rPr>
              <w:t>Не применен</w:t>
            </w:r>
          </w:p>
        </w:tc>
        <w:tc>
          <w:tcPr>
            <w:tcW w:w="1682" w:type="dxa"/>
            <w:shd w:val="clear" w:color="auto" w:fill="auto"/>
            <w:vAlign w:val="center"/>
            <w:hideMark/>
          </w:tcPr>
          <w:p w:rsidR="00E86FA0" w:rsidRPr="00A453C0" w:rsidRDefault="00E86FA0" w:rsidP="004900FC">
            <w:pPr>
              <w:jc w:val="center"/>
              <w:rPr>
                <w:rFonts w:asciiTheme="majorHAnsi" w:hAnsiTheme="majorHAnsi"/>
                <w:sz w:val="18"/>
                <w:szCs w:val="18"/>
              </w:rPr>
            </w:pPr>
            <w:r w:rsidRPr="004900FC">
              <w:rPr>
                <w:rFonts w:asciiTheme="majorHAnsi" w:hAnsiTheme="majorHAnsi"/>
                <w:sz w:val="18"/>
                <w:szCs w:val="18"/>
              </w:rPr>
              <w:t xml:space="preserve">15 495 165 </w:t>
            </w:r>
          </w:p>
        </w:tc>
        <w:tc>
          <w:tcPr>
            <w:tcW w:w="1559" w:type="dxa"/>
            <w:shd w:val="clear" w:color="auto" w:fill="auto"/>
            <w:vAlign w:val="center"/>
            <w:hideMark/>
          </w:tcPr>
          <w:p w:rsidR="00E86FA0" w:rsidRPr="00A453C0" w:rsidRDefault="00E86FA0" w:rsidP="00224701">
            <w:pPr>
              <w:jc w:val="center"/>
              <w:rPr>
                <w:rFonts w:asciiTheme="majorHAnsi" w:hAnsiTheme="majorHAnsi"/>
                <w:sz w:val="18"/>
                <w:szCs w:val="18"/>
              </w:rPr>
            </w:pPr>
            <w:r w:rsidRPr="00A453C0">
              <w:rPr>
                <w:rFonts w:asciiTheme="majorHAnsi" w:hAnsiTheme="majorHAnsi"/>
                <w:sz w:val="18"/>
                <w:szCs w:val="18"/>
              </w:rPr>
              <w:t>Не применен</w:t>
            </w:r>
          </w:p>
        </w:tc>
        <w:tc>
          <w:tcPr>
            <w:tcW w:w="1807" w:type="dxa"/>
            <w:shd w:val="clear" w:color="auto" w:fill="auto"/>
            <w:vAlign w:val="center"/>
            <w:hideMark/>
          </w:tcPr>
          <w:p w:rsidR="00E86FA0" w:rsidRPr="00E86FA0" w:rsidRDefault="00E86FA0">
            <w:pPr>
              <w:jc w:val="center"/>
              <w:rPr>
                <w:rFonts w:asciiTheme="majorHAnsi" w:hAnsiTheme="majorHAnsi"/>
                <w:b/>
                <w:bCs/>
                <w:color w:val="000000"/>
                <w:sz w:val="18"/>
                <w:szCs w:val="18"/>
              </w:rPr>
            </w:pPr>
            <w:r w:rsidRPr="00E86FA0">
              <w:rPr>
                <w:rFonts w:asciiTheme="majorHAnsi" w:hAnsiTheme="majorHAnsi"/>
                <w:b/>
                <w:bCs/>
                <w:color w:val="000000"/>
                <w:sz w:val="18"/>
                <w:szCs w:val="18"/>
              </w:rPr>
              <w:t xml:space="preserve">15 495 165  </w:t>
            </w:r>
          </w:p>
        </w:tc>
      </w:tr>
      <w:tr w:rsidR="00E86FA0" w:rsidRPr="00A453C0" w:rsidTr="004900FC">
        <w:trPr>
          <w:trHeight w:val="20"/>
        </w:trPr>
        <w:tc>
          <w:tcPr>
            <w:tcW w:w="568" w:type="dxa"/>
            <w:shd w:val="clear" w:color="auto" w:fill="auto"/>
            <w:noWrap/>
            <w:vAlign w:val="center"/>
          </w:tcPr>
          <w:p w:rsidR="00E86FA0" w:rsidRPr="00A453C0" w:rsidRDefault="00E86FA0" w:rsidP="00224701">
            <w:pPr>
              <w:jc w:val="center"/>
              <w:rPr>
                <w:rFonts w:asciiTheme="majorHAnsi" w:hAnsiTheme="majorHAnsi"/>
                <w:color w:val="000000"/>
                <w:sz w:val="18"/>
                <w:szCs w:val="18"/>
              </w:rPr>
            </w:pPr>
          </w:p>
        </w:tc>
        <w:tc>
          <w:tcPr>
            <w:tcW w:w="2126" w:type="dxa"/>
            <w:shd w:val="clear" w:color="auto" w:fill="auto"/>
            <w:vAlign w:val="center"/>
          </w:tcPr>
          <w:p w:rsidR="00E86FA0" w:rsidRPr="004900FC" w:rsidRDefault="00E86FA0" w:rsidP="00224701">
            <w:pPr>
              <w:jc w:val="center"/>
              <w:rPr>
                <w:rFonts w:asciiTheme="majorHAnsi" w:hAnsiTheme="majorHAnsi"/>
                <w:b/>
                <w:color w:val="000000"/>
                <w:sz w:val="18"/>
                <w:szCs w:val="18"/>
              </w:rPr>
            </w:pPr>
            <w:r w:rsidRPr="004900FC">
              <w:rPr>
                <w:rFonts w:asciiTheme="majorHAnsi" w:hAnsiTheme="majorHAnsi"/>
                <w:b/>
                <w:color w:val="000000"/>
                <w:sz w:val="18"/>
                <w:szCs w:val="18"/>
              </w:rPr>
              <w:t>ОКС</w:t>
            </w:r>
          </w:p>
        </w:tc>
        <w:tc>
          <w:tcPr>
            <w:tcW w:w="873" w:type="dxa"/>
            <w:shd w:val="clear" w:color="auto" w:fill="auto"/>
            <w:vAlign w:val="center"/>
          </w:tcPr>
          <w:p w:rsidR="00E86FA0" w:rsidRPr="00A453C0" w:rsidRDefault="00E86FA0" w:rsidP="00224701">
            <w:pPr>
              <w:jc w:val="center"/>
              <w:rPr>
                <w:rFonts w:asciiTheme="majorHAnsi" w:hAnsiTheme="majorHAnsi"/>
                <w:sz w:val="18"/>
                <w:szCs w:val="18"/>
              </w:rPr>
            </w:pPr>
          </w:p>
        </w:tc>
        <w:tc>
          <w:tcPr>
            <w:tcW w:w="1556" w:type="dxa"/>
            <w:shd w:val="clear" w:color="000000" w:fill="FFFFFF"/>
            <w:vAlign w:val="center"/>
          </w:tcPr>
          <w:p w:rsidR="00E86FA0" w:rsidRPr="00A453C0" w:rsidRDefault="00E86FA0" w:rsidP="00224701">
            <w:pPr>
              <w:jc w:val="center"/>
              <w:rPr>
                <w:rFonts w:asciiTheme="majorHAnsi" w:hAnsiTheme="majorHAnsi"/>
                <w:sz w:val="18"/>
                <w:szCs w:val="18"/>
              </w:rPr>
            </w:pPr>
          </w:p>
        </w:tc>
        <w:tc>
          <w:tcPr>
            <w:tcW w:w="1682" w:type="dxa"/>
            <w:shd w:val="clear" w:color="auto" w:fill="auto"/>
            <w:vAlign w:val="center"/>
          </w:tcPr>
          <w:p w:rsidR="00E86FA0" w:rsidRPr="001E3745" w:rsidRDefault="00E86FA0" w:rsidP="00224701">
            <w:pPr>
              <w:jc w:val="center"/>
              <w:rPr>
                <w:rFonts w:asciiTheme="majorHAnsi" w:hAnsiTheme="majorHAnsi"/>
                <w:sz w:val="18"/>
                <w:szCs w:val="18"/>
              </w:rPr>
            </w:pPr>
          </w:p>
        </w:tc>
        <w:tc>
          <w:tcPr>
            <w:tcW w:w="1559" w:type="dxa"/>
            <w:shd w:val="clear" w:color="auto" w:fill="auto"/>
            <w:vAlign w:val="center"/>
          </w:tcPr>
          <w:p w:rsidR="00E86FA0" w:rsidRPr="00A453C0" w:rsidRDefault="00E86FA0" w:rsidP="00224701">
            <w:pPr>
              <w:jc w:val="center"/>
              <w:rPr>
                <w:rFonts w:asciiTheme="majorHAnsi" w:hAnsiTheme="majorHAnsi"/>
                <w:sz w:val="18"/>
                <w:szCs w:val="18"/>
              </w:rPr>
            </w:pPr>
          </w:p>
        </w:tc>
        <w:tc>
          <w:tcPr>
            <w:tcW w:w="1807" w:type="dxa"/>
            <w:shd w:val="clear" w:color="auto" w:fill="auto"/>
            <w:vAlign w:val="center"/>
          </w:tcPr>
          <w:p w:rsidR="00E86FA0" w:rsidRPr="00E86FA0" w:rsidRDefault="00E86FA0">
            <w:pPr>
              <w:jc w:val="center"/>
              <w:rPr>
                <w:rFonts w:asciiTheme="majorHAnsi" w:hAnsiTheme="majorHAnsi"/>
                <w:b/>
                <w:bCs/>
                <w:color w:val="000000"/>
                <w:sz w:val="18"/>
                <w:szCs w:val="18"/>
              </w:rPr>
            </w:pPr>
            <w:r w:rsidRPr="00E86FA0">
              <w:rPr>
                <w:rFonts w:asciiTheme="majorHAnsi" w:hAnsiTheme="majorHAnsi"/>
                <w:b/>
                <w:bCs/>
                <w:color w:val="000000"/>
                <w:sz w:val="18"/>
                <w:szCs w:val="18"/>
              </w:rPr>
              <w:t xml:space="preserve">78 792 168  </w:t>
            </w:r>
          </w:p>
        </w:tc>
      </w:tr>
    </w:tbl>
    <w:p w:rsidR="004900FC" w:rsidRDefault="004900FC" w:rsidP="004900FC">
      <w:pPr>
        <w:tabs>
          <w:tab w:val="left" w:pos="2925"/>
        </w:tabs>
        <w:spacing w:before="120" w:after="120"/>
        <w:ind w:firstLine="709"/>
        <w:jc w:val="both"/>
        <w:rPr>
          <w:rFonts w:ascii="Cambria" w:hAnsi="Cambria"/>
          <w:b/>
          <w:bCs/>
          <w:sz w:val="20"/>
          <w:szCs w:val="20"/>
        </w:rPr>
      </w:pPr>
      <w:r>
        <w:rPr>
          <w:rFonts w:ascii="Cambria" w:hAnsi="Cambria"/>
          <w:b/>
          <w:bCs/>
          <w:sz w:val="20"/>
          <w:szCs w:val="20"/>
        </w:rPr>
        <w:t>– административно-бытовой комплекс</w:t>
      </w:r>
    </w:p>
    <w:tbl>
      <w:tblPr>
        <w:tblW w:w="0" w:type="auto"/>
        <w:tblInd w:w="-34"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568"/>
        <w:gridCol w:w="2126"/>
        <w:gridCol w:w="873"/>
        <w:gridCol w:w="1556"/>
        <w:gridCol w:w="1682"/>
        <w:gridCol w:w="1559"/>
        <w:gridCol w:w="1807"/>
      </w:tblGrid>
      <w:tr w:rsidR="004900FC" w:rsidRPr="00A453C0" w:rsidTr="004900FC">
        <w:trPr>
          <w:trHeight w:val="20"/>
        </w:trPr>
        <w:tc>
          <w:tcPr>
            <w:tcW w:w="568" w:type="dxa"/>
            <w:shd w:val="clear" w:color="000000" w:fill="F2F2F2"/>
            <w:vAlign w:val="center"/>
            <w:hideMark/>
          </w:tcPr>
          <w:p w:rsidR="004900FC" w:rsidRPr="00A453C0" w:rsidRDefault="004900FC" w:rsidP="00770A9D">
            <w:pPr>
              <w:jc w:val="center"/>
              <w:rPr>
                <w:rFonts w:asciiTheme="majorHAnsi" w:hAnsiTheme="majorHAnsi"/>
                <w:b/>
                <w:bCs/>
                <w:sz w:val="18"/>
                <w:szCs w:val="18"/>
              </w:rPr>
            </w:pPr>
            <w:r w:rsidRPr="00A453C0">
              <w:rPr>
                <w:rFonts w:asciiTheme="majorHAnsi" w:hAnsiTheme="majorHAnsi"/>
                <w:b/>
                <w:bCs/>
                <w:sz w:val="18"/>
                <w:szCs w:val="18"/>
              </w:rPr>
              <w:t>№ п/п</w:t>
            </w:r>
          </w:p>
        </w:tc>
        <w:tc>
          <w:tcPr>
            <w:tcW w:w="2126" w:type="dxa"/>
            <w:shd w:val="clear" w:color="000000" w:fill="F2F2F2"/>
            <w:vAlign w:val="center"/>
            <w:hideMark/>
          </w:tcPr>
          <w:p w:rsidR="004900FC" w:rsidRPr="00A453C0" w:rsidRDefault="004900FC" w:rsidP="00770A9D">
            <w:pPr>
              <w:jc w:val="center"/>
              <w:rPr>
                <w:rFonts w:asciiTheme="majorHAnsi" w:hAnsiTheme="majorHAnsi"/>
                <w:b/>
                <w:bCs/>
                <w:sz w:val="18"/>
                <w:szCs w:val="18"/>
              </w:rPr>
            </w:pPr>
            <w:r w:rsidRPr="00A453C0">
              <w:rPr>
                <w:rFonts w:asciiTheme="majorHAnsi" w:hAnsiTheme="majorHAnsi"/>
                <w:b/>
                <w:bCs/>
                <w:sz w:val="18"/>
                <w:szCs w:val="18"/>
              </w:rPr>
              <w:t>Наименование объектов  оценки</w:t>
            </w:r>
          </w:p>
        </w:tc>
        <w:tc>
          <w:tcPr>
            <w:tcW w:w="873" w:type="dxa"/>
            <w:shd w:val="clear" w:color="000000" w:fill="F2F2F2"/>
            <w:vAlign w:val="center"/>
            <w:hideMark/>
          </w:tcPr>
          <w:p w:rsidR="004900FC" w:rsidRPr="00A453C0" w:rsidRDefault="004900FC" w:rsidP="00770A9D">
            <w:pPr>
              <w:ind w:left="-108" w:right="-85"/>
              <w:jc w:val="center"/>
              <w:rPr>
                <w:rFonts w:asciiTheme="majorHAnsi" w:hAnsiTheme="majorHAnsi"/>
                <w:b/>
                <w:bCs/>
                <w:sz w:val="18"/>
                <w:szCs w:val="18"/>
              </w:rPr>
            </w:pPr>
            <w:r w:rsidRPr="00A453C0">
              <w:rPr>
                <w:rFonts w:asciiTheme="majorHAnsi" w:hAnsiTheme="majorHAnsi"/>
                <w:b/>
                <w:bCs/>
                <w:sz w:val="18"/>
                <w:szCs w:val="18"/>
              </w:rPr>
              <w:t>Площадь, кв.м</w:t>
            </w:r>
            <w:r>
              <w:rPr>
                <w:rFonts w:asciiTheme="majorHAnsi" w:hAnsiTheme="majorHAnsi"/>
                <w:b/>
                <w:bCs/>
                <w:sz w:val="18"/>
                <w:szCs w:val="18"/>
              </w:rPr>
              <w:t>.</w:t>
            </w:r>
          </w:p>
        </w:tc>
        <w:tc>
          <w:tcPr>
            <w:tcW w:w="1556" w:type="dxa"/>
            <w:shd w:val="clear" w:color="000000" w:fill="F2F2F2"/>
            <w:vAlign w:val="center"/>
            <w:hideMark/>
          </w:tcPr>
          <w:p w:rsidR="004900FC" w:rsidRPr="00A453C0" w:rsidRDefault="004900FC" w:rsidP="00770A9D">
            <w:pPr>
              <w:jc w:val="center"/>
              <w:rPr>
                <w:rFonts w:asciiTheme="majorHAnsi" w:hAnsiTheme="majorHAnsi"/>
                <w:b/>
                <w:bCs/>
                <w:sz w:val="18"/>
                <w:szCs w:val="18"/>
              </w:rPr>
            </w:pPr>
            <w:r w:rsidRPr="00A453C0">
              <w:rPr>
                <w:rFonts w:asciiTheme="majorHAnsi" w:hAnsiTheme="majorHAnsi"/>
                <w:b/>
                <w:bCs/>
                <w:sz w:val="18"/>
                <w:szCs w:val="18"/>
              </w:rPr>
              <w:t>Стоимость, рассчитанная затратным подходом, руб.</w:t>
            </w:r>
          </w:p>
        </w:tc>
        <w:tc>
          <w:tcPr>
            <w:tcW w:w="1682" w:type="dxa"/>
            <w:shd w:val="clear" w:color="000000" w:fill="F2F2F2"/>
            <w:vAlign w:val="center"/>
            <w:hideMark/>
          </w:tcPr>
          <w:p w:rsidR="004900FC" w:rsidRPr="00A453C0" w:rsidRDefault="004900FC" w:rsidP="00770A9D">
            <w:pPr>
              <w:jc w:val="center"/>
              <w:rPr>
                <w:rFonts w:asciiTheme="majorHAnsi" w:hAnsiTheme="majorHAnsi"/>
                <w:b/>
                <w:bCs/>
                <w:sz w:val="18"/>
                <w:szCs w:val="18"/>
              </w:rPr>
            </w:pPr>
            <w:r w:rsidRPr="00A453C0">
              <w:rPr>
                <w:rFonts w:asciiTheme="majorHAnsi" w:hAnsiTheme="majorHAnsi"/>
                <w:b/>
                <w:bCs/>
                <w:sz w:val="18"/>
                <w:szCs w:val="18"/>
              </w:rPr>
              <w:t>Стоимость, рассчитанная сравнительным подходом, руб.</w:t>
            </w:r>
          </w:p>
        </w:tc>
        <w:tc>
          <w:tcPr>
            <w:tcW w:w="1559" w:type="dxa"/>
            <w:shd w:val="clear" w:color="000000" w:fill="F2F2F2"/>
            <w:vAlign w:val="center"/>
            <w:hideMark/>
          </w:tcPr>
          <w:p w:rsidR="004900FC" w:rsidRPr="00A453C0" w:rsidRDefault="004900FC" w:rsidP="00770A9D">
            <w:pPr>
              <w:jc w:val="center"/>
              <w:rPr>
                <w:rFonts w:asciiTheme="majorHAnsi" w:hAnsiTheme="majorHAnsi"/>
                <w:b/>
                <w:bCs/>
                <w:sz w:val="18"/>
                <w:szCs w:val="18"/>
              </w:rPr>
            </w:pPr>
            <w:r w:rsidRPr="00A453C0">
              <w:rPr>
                <w:rFonts w:asciiTheme="majorHAnsi" w:hAnsiTheme="majorHAnsi"/>
                <w:b/>
                <w:bCs/>
                <w:sz w:val="18"/>
                <w:szCs w:val="18"/>
              </w:rPr>
              <w:t>Стоимость, рассчитанная доходным подходом, руб.</w:t>
            </w:r>
          </w:p>
        </w:tc>
        <w:tc>
          <w:tcPr>
            <w:tcW w:w="1807" w:type="dxa"/>
            <w:shd w:val="clear" w:color="000000" w:fill="F2F2F2"/>
            <w:vAlign w:val="center"/>
            <w:hideMark/>
          </w:tcPr>
          <w:p w:rsidR="004900FC" w:rsidRPr="00A453C0" w:rsidRDefault="004900FC" w:rsidP="00770A9D">
            <w:pPr>
              <w:jc w:val="center"/>
              <w:rPr>
                <w:rFonts w:asciiTheme="majorHAnsi" w:hAnsiTheme="majorHAnsi"/>
                <w:b/>
                <w:bCs/>
                <w:sz w:val="18"/>
                <w:szCs w:val="18"/>
              </w:rPr>
            </w:pPr>
            <w:r w:rsidRPr="00A453C0">
              <w:rPr>
                <w:rFonts w:asciiTheme="majorHAnsi" w:hAnsiTheme="majorHAnsi"/>
                <w:b/>
                <w:bCs/>
                <w:sz w:val="18"/>
                <w:szCs w:val="18"/>
              </w:rPr>
              <w:t>Итоговая стоимость</w:t>
            </w:r>
            <w:r>
              <w:rPr>
                <w:rFonts w:asciiTheme="majorHAnsi" w:hAnsiTheme="majorHAnsi"/>
                <w:b/>
                <w:bCs/>
                <w:sz w:val="18"/>
                <w:szCs w:val="18"/>
              </w:rPr>
              <w:t xml:space="preserve"> </w:t>
            </w:r>
            <w:r w:rsidRPr="00A453C0">
              <w:rPr>
                <w:rFonts w:asciiTheme="majorHAnsi" w:hAnsiTheme="majorHAnsi"/>
                <w:b/>
                <w:bCs/>
                <w:sz w:val="18"/>
                <w:szCs w:val="18"/>
              </w:rPr>
              <w:t>с НДС</w:t>
            </w:r>
            <w:r>
              <w:rPr>
                <w:rFonts w:asciiTheme="majorHAnsi" w:hAnsiTheme="majorHAnsi"/>
                <w:b/>
                <w:bCs/>
                <w:sz w:val="18"/>
                <w:szCs w:val="18"/>
              </w:rPr>
              <w:t xml:space="preserve"> (з.уч. НДС не облагается)</w:t>
            </w:r>
            <w:r w:rsidRPr="00A453C0">
              <w:rPr>
                <w:rFonts w:asciiTheme="majorHAnsi" w:hAnsiTheme="majorHAnsi"/>
                <w:b/>
                <w:bCs/>
                <w:sz w:val="18"/>
                <w:szCs w:val="18"/>
              </w:rPr>
              <w:t>, руб.</w:t>
            </w:r>
            <w:r>
              <w:rPr>
                <w:rFonts w:asciiTheme="majorHAnsi" w:hAnsiTheme="majorHAnsi"/>
                <w:b/>
                <w:bCs/>
                <w:sz w:val="18"/>
                <w:szCs w:val="18"/>
              </w:rPr>
              <w:t xml:space="preserve">, </w:t>
            </w:r>
          </w:p>
        </w:tc>
      </w:tr>
      <w:tr w:rsidR="00A9505F" w:rsidRPr="00A453C0" w:rsidTr="003E3281">
        <w:trPr>
          <w:trHeight w:val="20"/>
        </w:trPr>
        <w:tc>
          <w:tcPr>
            <w:tcW w:w="568" w:type="dxa"/>
            <w:shd w:val="clear" w:color="auto" w:fill="auto"/>
            <w:noWrap/>
            <w:vAlign w:val="center"/>
            <w:hideMark/>
          </w:tcPr>
          <w:p w:rsidR="00A9505F" w:rsidRPr="00A453C0" w:rsidRDefault="00A9505F" w:rsidP="003E3281">
            <w:pPr>
              <w:jc w:val="center"/>
              <w:rPr>
                <w:rFonts w:asciiTheme="majorHAnsi" w:hAnsiTheme="majorHAnsi"/>
                <w:color w:val="000000"/>
                <w:sz w:val="18"/>
                <w:szCs w:val="18"/>
              </w:rPr>
            </w:pPr>
            <w:r w:rsidRPr="00A453C0">
              <w:rPr>
                <w:rFonts w:asciiTheme="majorHAnsi" w:hAnsiTheme="majorHAnsi"/>
                <w:color w:val="000000"/>
                <w:sz w:val="18"/>
                <w:szCs w:val="18"/>
              </w:rPr>
              <w:t>1</w:t>
            </w:r>
          </w:p>
        </w:tc>
        <w:tc>
          <w:tcPr>
            <w:tcW w:w="2126" w:type="dxa"/>
            <w:shd w:val="clear" w:color="auto" w:fill="auto"/>
            <w:vAlign w:val="center"/>
            <w:hideMark/>
          </w:tcPr>
          <w:p w:rsidR="00A9505F" w:rsidRPr="00224701" w:rsidRDefault="00A9505F" w:rsidP="003E3281">
            <w:pPr>
              <w:jc w:val="center"/>
              <w:rPr>
                <w:rFonts w:asciiTheme="majorHAnsi" w:hAnsiTheme="majorHAnsi"/>
                <w:sz w:val="18"/>
                <w:szCs w:val="18"/>
              </w:rPr>
            </w:pPr>
            <w:r w:rsidRPr="004900FC">
              <w:rPr>
                <w:rFonts w:asciiTheme="majorHAnsi" w:hAnsiTheme="majorHAnsi"/>
                <w:sz w:val="18"/>
                <w:szCs w:val="18"/>
              </w:rPr>
              <w:t>Административно-бытовой корпус</w:t>
            </w:r>
          </w:p>
        </w:tc>
        <w:tc>
          <w:tcPr>
            <w:tcW w:w="873" w:type="dxa"/>
            <w:shd w:val="clear" w:color="auto" w:fill="auto"/>
            <w:vAlign w:val="center"/>
            <w:hideMark/>
          </w:tcPr>
          <w:p w:rsidR="00A9505F" w:rsidRPr="00224701" w:rsidRDefault="00A9505F" w:rsidP="003E3281">
            <w:pPr>
              <w:jc w:val="center"/>
              <w:rPr>
                <w:rFonts w:asciiTheme="majorHAnsi" w:hAnsiTheme="majorHAnsi"/>
                <w:sz w:val="18"/>
                <w:szCs w:val="18"/>
                <w:lang w:eastAsia="en-US"/>
              </w:rPr>
            </w:pPr>
            <w:r>
              <w:rPr>
                <w:rFonts w:asciiTheme="majorHAnsi" w:hAnsiTheme="majorHAnsi"/>
                <w:sz w:val="18"/>
                <w:szCs w:val="18"/>
                <w:lang w:eastAsia="en-US"/>
              </w:rPr>
              <w:t>3 149,6</w:t>
            </w:r>
          </w:p>
        </w:tc>
        <w:tc>
          <w:tcPr>
            <w:tcW w:w="1556" w:type="dxa"/>
            <w:shd w:val="clear" w:color="000000" w:fill="FFFFFF"/>
            <w:vAlign w:val="center"/>
            <w:hideMark/>
          </w:tcPr>
          <w:p w:rsidR="00A9505F" w:rsidRPr="00B2010D" w:rsidRDefault="00A9505F" w:rsidP="00B2010D">
            <w:pPr>
              <w:jc w:val="center"/>
              <w:rPr>
                <w:rFonts w:asciiTheme="majorHAnsi" w:hAnsiTheme="majorHAnsi"/>
                <w:sz w:val="18"/>
                <w:szCs w:val="18"/>
              </w:rPr>
            </w:pPr>
            <w:r>
              <w:rPr>
                <w:sz w:val="20"/>
                <w:szCs w:val="20"/>
              </w:rPr>
              <w:t xml:space="preserve">                          </w:t>
            </w:r>
            <w:r w:rsidRPr="00B2010D">
              <w:rPr>
                <w:rFonts w:asciiTheme="majorHAnsi" w:hAnsiTheme="majorHAnsi"/>
                <w:sz w:val="18"/>
                <w:szCs w:val="18"/>
              </w:rPr>
              <w:t xml:space="preserve">67 556 297,00   </w:t>
            </w:r>
          </w:p>
          <w:p w:rsidR="00A9505F" w:rsidRPr="001E3745" w:rsidRDefault="00A9505F" w:rsidP="003E3281">
            <w:pPr>
              <w:jc w:val="center"/>
              <w:rPr>
                <w:rFonts w:asciiTheme="majorHAnsi" w:hAnsiTheme="majorHAnsi"/>
                <w:sz w:val="18"/>
                <w:szCs w:val="18"/>
                <w:lang w:eastAsia="en-US"/>
              </w:rPr>
            </w:pPr>
          </w:p>
        </w:tc>
        <w:tc>
          <w:tcPr>
            <w:tcW w:w="1682" w:type="dxa"/>
            <w:shd w:val="clear" w:color="auto" w:fill="auto"/>
            <w:vAlign w:val="center"/>
            <w:hideMark/>
          </w:tcPr>
          <w:p w:rsidR="00A9505F" w:rsidRPr="00A453C0" w:rsidRDefault="00A9505F" w:rsidP="003E3281">
            <w:pPr>
              <w:jc w:val="center"/>
              <w:rPr>
                <w:rFonts w:asciiTheme="majorHAnsi" w:hAnsiTheme="majorHAnsi"/>
                <w:sz w:val="18"/>
                <w:szCs w:val="18"/>
                <w:lang w:eastAsia="en-US"/>
              </w:rPr>
            </w:pPr>
            <w:r w:rsidRPr="003E3281">
              <w:rPr>
                <w:rFonts w:asciiTheme="majorHAnsi" w:hAnsiTheme="majorHAnsi"/>
                <w:sz w:val="18"/>
                <w:szCs w:val="18"/>
                <w:lang w:eastAsia="en-US"/>
              </w:rPr>
              <w:t>63 750 004</w:t>
            </w:r>
          </w:p>
        </w:tc>
        <w:tc>
          <w:tcPr>
            <w:tcW w:w="1559" w:type="dxa"/>
            <w:shd w:val="clear" w:color="auto" w:fill="auto"/>
            <w:vAlign w:val="center"/>
            <w:hideMark/>
          </w:tcPr>
          <w:p w:rsidR="00A9505F" w:rsidRPr="00A9505F" w:rsidRDefault="00A9505F" w:rsidP="00A9505F">
            <w:pPr>
              <w:jc w:val="center"/>
              <w:rPr>
                <w:rFonts w:asciiTheme="majorHAnsi" w:hAnsiTheme="majorHAnsi"/>
                <w:sz w:val="18"/>
                <w:szCs w:val="18"/>
              </w:rPr>
            </w:pPr>
            <w:r w:rsidRPr="00A9505F">
              <w:rPr>
                <w:rFonts w:asciiTheme="majorHAnsi" w:hAnsiTheme="majorHAnsi"/>
                <w:sz w:val="18"/>
                <w:szCs w:val="18"/>
              </w:rPr>
              <w:t>55 734 922,00</w:t>
            </w:r>
          </w:p>
        </w:tc>
        <w:tc>
          <w:tcPr>
            <w:tcW w:w="1807" w:type="dxa"/>
            <w:shd w:val="clear" w:color="auto" w:fill="auto"/>
            <w:vAlign w:val="center"/>
            <w:hideMark/>
          </w:tcPr>
          <w:p w:rsidR="00A9505F" w:rsidRPr="00A9505F" w:rsidRDefault="00A9505F">
            <w:pPr>
              <w:jc w:val="center"/>
              <w:rPr>
                <w:rFonts w:asciiTheme="majorHAnsi" w:hAnsiTheme="majorHAnsi"/>
                <w:b/>
                <w:bCs/>
                <w:color w:val="000000"/>
                <w:sz w:val="18"/>
                <w:szCs w:val="18"/>
              </w:rPr>
            </w:pPr>
            <w:r w:rsidRPr="00A9505F">
              <w:rPr>
                <w:rFonts w:asciiTheme="majorHAnsi" w:hAnsiTheme="majorHAnsi"/>
                <w:b/>
                <w:bCs/>
                <w:color w:val="000000"/>
                <w:sz w:val="18"/>
                <w:szCs w:val="18"/>
              </w:rPr>
              <w:t xml:space="preserve">62 533 509  </w:t>
            </w:r>
          </w:p>
        </w:tc>
      </w:tr>
      <w:tr w:rsidR="00A9505F" w:rsidRPr="00A453C0" w:rsidTr="003E3281">
        <w:trPr>
          <w:trHeight w:val="20"/>
        </w:trPr>
        <w:tc>
          <w:tcPr>
            <w:tcW w:w="568" w:type="dxa"/>
            <w:shd w:val="clear" w:color="auto" w:fill="auto"/>
            <w:noWrap/>
            <w:vAlign w:val="center"/>
            <w:hideMark/>
          </w:tcPr>
          <w:p w:rsidR="00A9505F" w:rsidRPr="00A453C0" w:rsidRDefault="00A9505F" w:rsidP="003E3281">
            <w:pPr>
              <w:jc w:val="center"/>
              <w:rPr>
                <w:rFonts w:asciiTheme="majorHAnsi" w:hAnsiTheme="majorHAnsi"/>
                <w:color w:val="000000"/>
                <w:sz w:val="18"/>
                <w:szCs w:val="18"/>
              </w:rPr>
            </w:pPr>
            <w:r w:rsidRPr="00A453C0">
              <w:rPr>
                <w:rFonts w:asciiTheme="majorHAnsi" w:hAnsiTheme="majorHAnsi"/>
                <w:color w:val="000000"/>
                <w:sz w:val="18"/>
                <w:szCs w:val="18"/>
              </w:rPr>
              <w:t>2</w:t>
            </w:r>
          </w:p>
        </w:tc>
        <w:tc>
          <w:tcPr>
            <w:tcW w:w="2126" w:type="dxa"/>
            <w:shd w:val="clear" w:color="auto" w:fill="auto"/>
            <w:vAlign w:val="center"/>
            <w:hideMark/>
          </w:tcPr>
          <w:p w:rsidR="00A9505F" w:rsidRPr="00224701" w:rsidRDefault="00A9505F" w:rsidP="003E3281">
            <w:pPr>
              <w:jc w:val="center"/>
              <w:rPr>
                <w:rFonts w:asciiTheme="majorHAnsi" w:hAnsiTheme="majorHAnsi"/>
                <w:sz w:val="18"/>
                <w:szCs w:val="18"/>
              </w:rPr>
            </w:pPr>
            <w:r w:rsidRPr="00224701">
              <w:rPr>
                <w:rFonts w:asciiTheme="majorHAnsi" w:hAnsiTheme="majorHAnsi"/>
                <w:sz w:val="18"/>
                <w:szCs w:val="18"/>
              </w:rPr>
              <w:t>В том числе Земельный участок</w:t>
            </w:r>
            <w:r>
              <w:rPr>
                <w:rFonts w:asciiTheme="majorHAnsi" w:hAnsiTheme="majorHAnsi"/>
                <w:sz w:val="18"/>
                <w:szCs w:val="18"/>
              </w:rPr>
              <w:t xml:space="preserve">, (з.уч. находится в бессрочном пользовании, в связи с этим в настоящем Отчете расчитывается в целях определения стоимости ОКС) </w:t>
            </w:r>
          </w:p>
        </w:tc>
        <w:tc>
          <w:tcPr>
            <w:tcW w:w="873" w:type="dxa"/>
            <w:shd w:val="clear" w:color="auto" w:fill="auto"/>
            <w:vAlign w:val="center"/>
            <w:hideMark/>
          </w:tcPr>
          <w:p w:rsidR="00A9505F" w:rsidRPr="0001418E" w:rsidRDefault="00A9505F" w:rsidP="003E3281">
            <w:pPr>
              <w:jc w:val="center"/>
              <w:rPr>
                <w:rFonts w:asciiTheme="majorHAnsi" w:hAnsiTheme="majorHAnsi"/>
                <w:sz w:val="18"/>
                <w:szCs w:val="18"/>
              </w:rPr>
            </w:pPr>
            <w:r>
              <w:rPr>
                <w:rFonts w:asciiTheme="majorHAnsi" w:hAnsiTheme="majorHAnsi"/>
                <w:sz w:val="18"/>
                <w:szCs w:val="18"/>
              </w:rPr>
              <w:t>101 370</w:t>
            </w:r>
          </w:p>
        </w:tc>
        <w:tc>
          <w:tcPr>
            <w:tcW w:w="1556" w:type="dxa"/>
            <w:shd w:val="clear" w:color="000000" w:fill="FFFFFF"/>
            <w:vAlign w:val="center"/>
            <w:hideMark/>
          </w:tcPr>
          <w:p w:rsidR="00A9505F" w:rsidRPr="00A453C0" w:rsidRDefault="00A9505F" w:rsidP="003E3281">
            <w:pPr>
              <w:jc w:val="center"/>
              <w:rPr>
                <w:rFonts w:asciiTheme="majorHAnsi" w:hAnsiTheme="majorHAnsi"/>
                <w:sz w:val="18"/>
                <w:szCs w:val="18"/>
              </w:rPr>
            </w:pPr>
            <w:r w:rsidRPr="00A453C0">
              <w:rPr>
                <w:rFonts w:asciiTheme="majorHAnsi" w:hAnsiTheme="majorHAnsi"/>
                <w:sz w:val="18"/>
                <w:szCs w:val="18"/>
              </w:rPr>
              <w:t>Не применен</w:t>
            </w:r>
          </w:p>
        </w:tc>
        <w:tc>
          <w:tcPr>
            <w:tcW w:w="1682" w:type="dxa"/>
            <w:shd w:val="clear" w:color="auto" w:fill="auto"/>
            <w:vAlign w:val="center"/>
            <w:hideMark/>
          </w:tcPr>
          <w:p w:rsidR="00A9505F" w:rsidRPr="00A453C0" w:rsidRDefault="00A9505F" w:rsidP="003E3281">
            <w:pPr>
              <w:jc w:val="center"/>
              <w:rPr>
                <w:rFonts w:asciiTheme="majorHAnsi" w:hAnsiTheme="majorHAnsi"/>
                <w:sz w:val="18"/>
                <w:szCs w:val="18"/>
              </w:rPr>
            </w:pPr>
            <w:r>
              <w:rPr>
                <w:rFonts w:asciiTheme="majorHAnsi" w:hAnsiTheme="majorHAnsi"/>
                <w:sz w:val="18"/>
                <w:szCs w:val="18"/>
              </w:rPr>
              <w:t>19 869 534</w:t>
            </w:r>
            <w:r w:rsidRPr="003E3281">
              <w:rPr>
                <w:rFonts w:asciiTheme="majorHAnsi" w:hAnsiTheme="majorHAnsi"/>
                <w:sz w:val="18"/>
                <w:szCs w:val="18"/>
              </w:rPr>
              <w:t xml:space="preserve">  </w:t>
            </w:r>
          </w:p>
        </w:tc>
        <w:tc>
          <w:tcPr>
            <w:tcW w:w="1559" w:type="dxa"/>
            <w:shd w:val="clear" w:color="auto" w:fill="auto"/>
            <w:vAlign w:val="center"/>
            <w:hideMark/>
          </w:tcPr>
          <w:p w:rsidR="00A9505F" w:rsidRPr="00A453C0" w:rsidRDefault="00A9505F" w:rsidP="003E3281">
            <w:pPr>
              <w:jc w:val="center"/>
              <w:rPr>
                <w:rFonts w:asciiTheme="majorHAnsi" w:hAnsiTheme="majorHAnsi"/>
                <w:sz w:val="18"/>
                <w:szCs w:val="18"/>
              </w:rPr>
            </w:pPr>
            <w:r w:rsidRPr="00A453C0">
              <w:rPr>
                <w:rFonts w:asciiTheme="majorHAnsi" w:hAnsiTheme="majorHAnsi"/>
                <w:sz w:val="18"/>
                <w:szCs w:val="18"/>
              </w:rPr>
              <w:t>Не применен</w:t>
            </w:r>
          </w:p>
        </w:tc>
        <w:tc>
          <w:tcPr>
            <w:tcW w:w="1807" w:type="dxa"/>
            <w:shd w:val="clear" w:color="auto" w:fill="auto"/>
            <w:vAlign w:val="center"/>
            <w:hideMark/>
          </w:tcPr>
          <w:p w:rsidR="00A9505F" w:rsidRPr="00A9505F" w:rsidRDefault="00A9505F">
            <w:pPr>
              <w:jc w:val="center"/>
              <w:rPr>
                <w:rFonts w:asciiTheme="majorHAnsi" w:hAnsiTheme="majorHAnsi"/>
                <w:b/>
                <w:bCs/>
                <w:color w:val="000000"/>
                <w:sz w:val="18"/>
                <w:szCs w:val="18"/>
              </w:rPr>
            </w:pPr>
            <w:r w:rsidRPr="00A9505F">
              <w:rPr>
                <w:rFonts w:asciiTheme="majorHAnsi" w:hAnsiTheme="majorHAnsi"/>
                <w:b/>
                <w:bCs/>
                <w:color w:val="000000"/>
                <w:sz w:val="18"/>
                <w:szCs w:val="18"/>
              </w:rPr>
              <w:t xml:space="preserve">19 869 534  </w:t>
            </w:r>
          </w:p>
        </w:tc>
      </w:tr>
      <w:tr w:rsidR="00A9505F" w:rsidRPr="00A453C0" w:rsidTr="003E3281">
        <w:trPr>
          <w:trHeight w:val="20"/>
        </w:trPr>
        <w:tc>
          <w:tcPr>
            <w:tcW w:w="568" w:type="dxa"/>
            <w:shd w:val="clear" w:color="auto" w:fill="auto"/>
            <w:noWrap/>
            <w:vAlign w:val="center"/>
          </w:tcPr>
          <w:p w:rsidR="00A9505F" w:rsidRPr="00A453C0" w:rsidRDefault="00A9505F" w:rsidP="003E3281">
            <w:pPr>
              <w:jc w:val="center"/>
              <w:rPr>
                <w:rFonts w:asciiTheme="majorHAnsi" w:hAnsiTheme="majorHAnsi"/>
                <w:color w:val="000000"/>
                <w:sz w:val="18"/>
                <w:szCs w:val="18"/>
              </w:rPr>
            </w:pPr>
          </w:p>
        </w:tc>
        <w:tc>
          <w:tcPr>
            <w:tcW w:w="2126" w:type="dxa"/>
            <w:shd w:val="clear" w:color="auto" w:fill="auto"/>
            <w:vAlign w:val="center"/>
          </w:tcPr>
          <w:p w:rsidR="00A9505F" w:rsidRPr="004900FC" w:rsidRDefault="00A9505F" w:rsidP="003E3281">
            <w:pPr>
              <w:jc w:val="center"/>
              <w:rPr>
                <w:rFonts w:asciiTheme="majorHAnsi" w:hAnsiTheme="majorHAnsi"/>
                <w:b/>
                <w:color w:val="000000"/>
                <w:sz w:val="18"/>
                <w:szCs w:val="18"/>
              </w:rPr>
            </w:pPr>
            <w:r w:rsidRPr="004900FC">
              <w:rPr>
                <w:rFonts w:asciiTheme="majorHAnsi" w:hAnsiTheme="majorHAnsi"/>
                <w:b/>
                <w:color w:val="000000"/>
                <w:sz w:val="18"/>
                <w:szCs w:val="18"/>
              </w:rPr>
              <w:t>ОКС</w:t>
            </w:r>
          </w:p>
        </w:tc>
        <w:tc>
          <w:tcPr>
            <w:tcW w:w="873" w:type="dxa"/>
            <w:shd w:val="clear" w:color="auto" w:fill="auto"/>
            <w:vAlign w:val="center"/>
          </w:tcPr>
          <w:p w:rsidR="00A9505F" w:rsidRPr="00A453C0" w:rsidRDefault="00A9505F" w:rsidP="003E3281">
            <w:pPr>
              <w:jc w:val="center"/>
              <w:rPr>
                <w:rFonts w:asciiTheme="majorHAnsi" w:hAnsiTheme="majorHAnsi"/>
                <w:sz w:val="18"/>
                <w:szCs w:val="18"/>
              </w:rPr>
            </w:pPr>
          </w:p>
        </w:tc>
        <w:tc>
          <w:tcPr>
            <w:tcW w:w="1556" w:type="dxa"/>
            <w:shd w:val="clear" w:color="000000" w:fill="FFFFFF"/>
            <w:vAlign w:val="center"/>
          </w:tcPr>
          <w:p w:rsidR="00A9505F" w:rsidRPr="00A453C0" w:rsidRDefault="00A9505F" w:rsidP="003E3281">
            <w:pPr>
              <w:jc w:val="center"/>
              <w:rPr>
                <w:rFonts w:asciiTheme="majorHAnsi" w:hAnsiTheme="majorHAnsi"/>
                <w:sz w:val="18"/>
                <w:szCs w:val="18"/>
              </w:rPr>
            </w:pPr>
          </w:p>
        </w:tc>
        <w:tc>
          <w:tcPr>
            <w:tcW w:w="1682" w:type="dxa"/>
            <w:shd w:val="clear" w:color="auto" w:fill="auto"/>
            <w:vAlign w:val="center"/>
          </w:tcPr>
          <w:p w:rsidR="00A9505F" w:rsidRPr="001E3745" w:rsidRDefault="00A9505F" w:rsidP="003E3281">
            <w:pPr>
              <w:jc w:val="center"/>
              <w:rPr>
                <w:rFonts w:asciiTheme="majorHAnsi" w:hAnsiTheme="majorHAnsi"/>
                <w:sz w:val="18"/>
                <w:szCs w:val="18"/>
              </w:rPr>
            </w:pPr>
          </w:p>
        </w:tc>
        <w:tc>
          <w:tcPr>
            <w:tcW w:w="1559" w:type="dxa"/>
            <w:shd w:val="clear" w:color="auto" w:fill="auto"/>
            <w:vAlign w:val="center"/>
          </w:tcPr>
          <w:p w:rsidR="00A9505F" w:rsidRPr="00A453C0" w:rsidRDefault="00A9505F" w:rsidP="003E3281">
            <w:pPr>
              <w:jc w:val="center"/>
              <w:rPr>
                <w:rFonts w:asciiTheme="majorHAnsi" w:hAnsiTheme="majorHAnsi"/>
                <w:sz w:val="18"/>
                <w:szCs w:val="18"/>
              </w:rPr>
            </w:pPr>
          </w:p>
        </w:tc>
        <w:tc>
          <w:tcPr>
            <w:tcW w:w="1807" w:type="dxa"/>
            <w:shd w:val="clear" w:color="auto" w:fill="auto"/>
            <w:vAlign w:val="center"/>
          </w:tcPr>
          <w:p w:rsidR="00A9505F" w:rsidRPr="00A9505F" w:rsidRDefault="00A9505F">
            <w:pPr>
              <w:jc w:val="center"/>
              <w:rPr>
                <w:rFonts w:asciiTheme="majorHAnsi" w:hAnsiTheme="majorHAnsi"/>
                <w:b/>
                <w:bCs/>
                <w:color w:val="000000"/>
                <w:sz w:val="18"/>
                <w:szCs w:val="18"/>
              </w:rPr>
            </w:pPr>
            <w:r w:rsidRPr="00A9505F">
              <w:rPr>
                <w:rFonts w:asciiTheme="majorHAnsi" w:hAnsiTheme="majorHAnsi"/>
                <w:b/>
                <w:bCs/>
                <w:color w:val="000000"/>
                <w:sz w:val="18"/>
                <w:szCs w:val="18"/>
              </w:rPr>
              <w:t xml:space="preserve">42 663 975  </w:t>
            </w:r>
          </w:p>
        </w:tc>
      </w:tr>
    </w:tbl>
    <w:p w:rsidR="004900FC" w:rsidRDefault="004900FC" w:rsidP="004900FC">
      <w:pPr>
        <w:tabs>
          <w:tab w:val="left" w:pos="2925"/>
        </w:tabs>
        <w:spacing w:before="120" w:after="120"/>
        <w:ind w:firstLine="709"/>
        <w:jc w:val="both"/>
        <w:rPr>
          <w:rFonts w:ascii="Cambria" w:hAnsi="Cambria"/>
          <w:b/>
          <w:bCs/>
          <w:sz w:val="20"/>
          <w:szCs w:val="20"/>
        </w:rPr>
      </w:pPr>
    </w:p>
    <w:p w:rsidR="004900FC" w:rsidRDefault="004900FC" w:rsidP="00A453C0">
      <w:pPr>
        <w:jc w:val="center"/>
        <w:rPr>
          <w:rFonts w:asciiTheme="majorHAnsi" w:eastAsiaTheme="minorHAnsi" w:hAnsiTheme="majorHAnsi" w:cstheme="minorBidi"/>
          <w:b/>
          <w:snapToGrid w:val="0"/>
          <w:sz w:val="20"/>
          <w:szCs w:val="22"/>
          <w:lang w:eastAsia="en-US"/>
        </w:rPr>
      </w:pPr>
    </w:p>
    <w:p w:rsidR="006C3A33" w:rsidRPr="00E03510" w:rsidRDefault="006C3A33" w:rsidP="002E3412">
      <w:pPr>
        <w:keepNext/>
        <w:keepLines/>
        <w:spacing w:before="100" w:beforeAutospacing="1" w:after="100" w:afterAutospacing="1"/>
        <w:ind w:right="-2"/>
        <w:outlineLvl w:val="1"/>
        <w:rPr>
          <w:rFonts w:asciiTheme="majorHAnsi" w:eastAsiaTheme="majorEastAsia" w:hAnsiTheme="majorHAnsi" w:cstheme="majorBidi"/>
          <w:b/>
          <w:bCs/>
          <w:sz w:val="20"/>
          <w:szCs w:val="20"/>
        </w:rPr>
      </w:pPr>
      <w:bookmarkStart w:id="37" w:name="_Toc491763291"/>
      <w:r w:rsidRPr="00E03510">
        <w:rPr>
          <w:rFonts w:asciiTheme="majorHAnsi" w:eastAsiaTheme="majorEastAsia" w:hAnsiTheme="majorHAnsi" w:cstheme="majorBidi"/>
          <w:b/>
          <w:bCs/>
          <w:sz w:val="20"/>
          <w:szCs w:val="20"/>
        </w:rPr>
        <w:lastRenderedPageBreak/>
        <w:t xml:space="preserve">6.3. </w:t>
      </w:r>
      <w:r w:rsidRPr="00E03510">
        <w:rPr>
          <w:rFonts w:asciiTheme="majorHAnsi" w:eastAsiaTheme="majorEastAsia" w:hAnsiTheme="majorHAnsi" w:cstheme="majorBidi"/>
          <w:b/>
          <w:bCs/>
          <w:sz w:val="20"/>
          <w:szCs w:val="20"/>
          <w:lang w:bidi="en-US"/>
        </w:rPr>
        <w:t>Итоговая величина стоимости объекта оценки.</w:t>
      </w:r>
      <w:bookmarkEnd w:id="37"/>
    </w:p>
    <w:p w:rsidR="006C3A33" w:rsidRPr="00E03510" w:rsidRDefault="006C3A33" w:rsidP="006C3A33">
      <w:pPr>
        <w:jc w:val="center"/>
        <w:rPr>
          <w:rFonts w:asciiTheme="majorHAnsi" w:hAnsiTheme="majorHAnsi"/>
          <w:spacing w:val="-8"/>
          <w:sz w:val="20"/>
          <w:szCs w:val="20"/>
        </w:rPr>
      </w:pPr>
      <w:r w:rsidRPr="00E03510">
        <w:rPr>
          <w:rFonts w:asciiTheme="majorHAnsi" w:hAnsiTheme="majorHAnsi"/>
          <w:spacing w:val="-8"/>
          <w:sz w:val="20"/>
          <w:szCs w:val="20"/>
        </w:rPr>
        <w:t>Итоговая величина стоимости объектов оценки характеризуе</w:t>
      </w:r>
      <w:r w:rsidR="00A453C0">
        <w:rPr>
          <w:rFonts w:asciiTheme="majorHAnsi" w:hAnsiTheme="majorHAnsi"/>
          <w:spacing w:val="-8"/>
          <w:sz w:val="20"/>
          <w:szCs w:val="20"/>
        </w:rPr>
        <w:t xml:space="preserve">тся следующими данными (с </w:t>
      </w:r>
      <w:r w:rsidRPr="00E03510">
        <w:rPr>
          <w:rFonts w:asciiTheme="majorHAnsi" w:hAnsiTheme="majorHAnsi"/>
          <w:spacing w:val="-8"/>
          <w:sz w:val="20"/>
          <w:szCs w:val="20"/>
        </w:rPr>
        <w:t xml:space="preserve"> НДС):</w:t>
      </w:r>
    </w:p>
    <w:p w:rsidR="006C3A33" w:rsidRPr="00E03510" w:rsidRDefault="006C3A33" w:rsidP="006C3A33">
      <w:pPr>
        <w:jc w:val="center"/>
        <w:rPr>
          <w:rFonts w:asciiTheme="majorHAnsi" w:hAnsiTheme="majorHAnsi"/>
          <w:spacing w:val="-8"/>
          <w:sz w:val="20"/>
          <w:szCs w:val="20"/>
        </w:rPr>
      </w:pPr>
    </w:p>
    <w:p w:rsidR="00A9505F" w:rsidRDefault="00A9505F" w:rsidP="00A9505F">
      <w:pPr>
        <w:jc w:val="center"/>
        <w:rPr>
          <w:rFonts w:asciiTheme="majorHAnsi" w:hAnsiTheme="majorHAnsi"/>
          <w:color w:val="000000"/>
          <w:sz w:val="20"/>
          <w:szCs w:val="20"/>
        </w:rPr>
      </w:pPr>
      <w:r>
        <w:rPr>
          <w:rFonts w:asciiTheme="majorHAnsi" w:hAnsiTheme="majorHAnsi"/>
          <w:b/>
          <w:i/>
          <w:color w:val="000000"/>
          <w:sz w:val="20"/>
          <w:szCs w:val="20"/>
        </w:rPr>
        <w:t>121 456 143  руб.</w:t>
      </w:r>
    </w:p>
    <w:p w:rsidR="00A9505F" w:rsidRDefault="00A9505F" w:rsidP="00A9505F">
      <w:pPr>
        <w:jc w:val="center"/>
        <w:rPr>
          <w:rFonts w:asciiTheme="majorHAnsi" w:eastAsia="Calibri" w:hAnsiTheme="majorHAnsi"/>
          <w:b/>
          <w:snapToGrid w:val="0"/>
          <w:sz w:val="20"/>
          <w:szCs w:val="22"/>
        </w:rPr>
      </w:pPr>
      <w:r>
        <w:rPr>
          <w:rFonts w:asciiTheme="majorHAnsi" w:hAnsiTheme="majorHAnsi"/>
          <w:b/>
          <w:i/>
          <w:color w:val="000000"/>
          <w:sz w:val="20"/>
          <w:szCs w:val="20"/>
        </w:rPr>
        <w:t>(Сто двадцать один миллион четыреста пятьдесят шесть тысяч сто сорок три рубля), в т.ч.:</w:t>
      </w:r>
      <w:r>
        <w:rPr>
          <w:rFonts w:asciiTheme="majorHAnsi" w:eastAsia="Calibri" w:hAnsiTheme="majorHAnsi"/>
          <w:b/>
          <w:snapToGrid w:val="0"/>
          <w:sz w:val="20"/>
          <w:szCs w:val="22"/>
        </w:rPr>
        <w:t xml:space="preserve"> </w:t>
      </w:r>
    </w:p>
    <w:p w:rsidR="00A9505F" w:rsidRDefault="00A9505F" w:rsidP="00A9505F">
      <w:pPr>
        <w:jc w:val="both"/>
        <w:rPr>
          <w:rFonts w:asciiTheme="majorHAnsi" w:eastAsia="Calibri" w:hAnsiTheme="majorHAnsi"/>
          <w:b/>
          <w:snapToGrid w:val="0"/>
          <w:sz w:val="20"/>
          <w:szCs w:val="22"/>
        </w:rPr>
      </w:pPr>
    </w:p>
    <w:tbl>
      <w:tblPr>
        <w:tblW w:w="9960"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566"/>
        <w:gridCol w:w="3138"/>
        <w:gridCol w:w="1561"/>
        <w:gridCol w:w="1365"/>
        <w:gridCol w:w="1666"/>
        <w:gridCol w:w="1664"/>
      </w:tblGrid>
      <w:tr w:rsidR="00A9505F" w:rsidTr="00601157">
        <w:trPr>
          <w:trHeight w:val="23"/>
          <w:jc w:val="center"/>
        </w:trPr>
        <w:tc>
          <w:tcPr>
            <w:tcW w:w="566" w:type="dxa"/>
            <w:tcBorders>
              <w:top w:val="double" w:sz="4" w:space="0" w:color="auto"/>
              <w:left w:val="double" w:sz="4" w:space="0" w:color="auto"/>
              <w:bottom w:val="single" w:sz="6" w:space="0" w:color="auto"/>
              <w:right w:val="single" w:sz="6" w:space="0" w:color="auto"/>
            </w:tcBorders>
            <w:shd w:val="clear" w:color="auto" w:fill="F2F2F2"/>
            <w:vAlign w:val="center"/>
            <w:hideMark/>
          </w:tcPr>
          <w:p w:rsidR="00A9505F" w:rsidRDefault="00A9505F" w:rsidP="00A9505F">
            <w:pPr>
              <w:ind w:left="-108" w:right="-59"/>
              <w:jc w:val="center"/>
              <w:rPr>
                <w:rFonts w:ascii="Cambria" w:hAnsi="Cambria"/>
                <w:b/>
                <w:bCs/>
                <w:sz w:val="20"/>
                <w:szCs w:val="20"/>
                <w:lang w:eastAsia="en-US"/>
              </w:rPr>
            </w:pPr>
            <w:r>
              <w:rPr>
                <w:rFonts w:ascii="Cambria" w:hAnsi="Cambria"/>
                <w:bCs/>
                <w:sz w:val="20"/>
                <w:szCs w:val="20"/>
                <w:lang w:eastAsia="en-US"/>
              </w:rPr>
              <w:tab/>
            </w:r>
            <w:r>
              <w:rPr>
                <w:rFonts w:ascii="Cambria" w:hAnsi="Cambria"/>
                <w:b/>
                <w:bCs/>
                <w:sz w:val="20"/>
                <w:szCs w:val="20"/>
                <w:lang w:eastAsia="en-US"/>
              </w:rPr>
              <w:t>№ п/п</w:t>
            </w:r>
          </w:p>
        </w:tc>
        <w:tc>
          <w:tcPr>
            <w:tcW w:w="3138" w:type="dxa"/>
            <w:tcBorders>
              <w:top w:val="double" w:sz="4" w:space="0" w:color="auto"/>
              <w:left w:val="single" w:sz="6" w:space="0" w:color="auto"/>
              <w:bottom w:val="single" w:sz="6" w:space="0" w:color="auto"/>
              <w:right w:val="single" w:sz="6" w:space="0" w:color="auto"/>
            </w:tcBorders>
            <w:shd w:val="clear" w:color="auto" w:fill="F2F2F2"/>
            <w:vAlign w:val="center"/>
            <w:hideMark/>
          </w:tcPr>
          <w:p w:rsidR="00A9505F" w:rsidRDefault="00A9505F" w:rsidP="00A9505F">
            <w:pPr>
              <w:ind w:left="-108" w:right="-59"/>
              <w:jc w:val="center"/>
              <w:rPr>
                <w:rFonts w:ascii="Cambria" w:hAnsi="Cambria"/>
                <w:b/>
                <w:bCs/>
                <w:sz w:val="20"/>
                <w:szCs w:val="20"/>
                <w:lang w:eastAsia="en-US"/>
              </w:rPr>
            </w:pPr>
            <w:r>
              <w:rPr>
                <w:rFonts w:ascii="Cambria" w:hAnsi="Cambria"/>
                <w:b/>
                <w:bCs/>
                <w:sz w:val="20"/>
                <w:szCs w:val="20"/>
                <w:lang w:eastAsia="en-US"/>
              </w:rPr>
              <w:t>Наименование ОКС</w:t>
            </w:r>
          </w:p>
        </w:tc>
        <w:tc>
          <w:tcPr>
            <w:tcW w:w="1561" w:type="dxa"/>
            <w:tcBorders>
              <w:top w:val="double" w:sz="4" w:space="0" w:color="auto"/>
              <w:left w:val="single" w:sz="6" w:space="0" w:color="auto"/>
              <w:bottom w:val="single" w:sz="6" w:space="0" w:color="auto"/>
              <w:right w:val="single" w:sz="6" w:space="0" w:color="auto"/>
            </w:tcBorders>
            <w:shd w:val="clear" w:color="auto" w:fill="F2F2F2"/>
            <w:vAlign w:val="center"/>
            <w:hideMark/>
          </w:tcPr>
          <w:p w:rsidR="00A9505F" w:rsidRDefault="00A9505F" w:rsidP="00A9505F">
            <w:pPr>
              <w:ind w:left="-108" w:right="-59"/>
              <w:jc w:val="center"/>
              <w:rPr>
                <w:rFonts w:ascii="Cambria" w:hAnsi="Cambria"/>
                <w:b/>
                <w:bCs/>
                <w:sz w:val="20"/>
                <w:szCs w:val="20"/>
                <w:lang w:eastAsia="en-US"/>
              </w:rPr>
            </w:pPr>
            <w:r>
              <w:rPr>
                <w:rFonts w:ascii="Cambria" w:hAnsi="Cambria"/>
                <w:b/>
                <w:bCs/>
                <w:sz w:val="20"/>
                <w:szCs w:val="20"/>
                <w:lang w:eastAsia="en-US"/>
              </w:rPr>
              <w:t xml:space="preserve">Год ввода в эксплуатацию </w:t>
            </w:r>
          </w:p>
        </w:tc>
        <w:tc>
          <w:tcPr>
            <w:tcW w:w="1365" w:type="dxa"/>
            <w:tcBorders>
              <w:top w:val="double" w:sz="4" w:space="0" w:color="auto"/>
              <w:left w:val="single" w:sz="6" w:space="0" w:color="auto"/>
              <w:bottom w:val="single" w:sz="6" w:space="0" w:color="auto"/>
              <w:right w:val="single" w:sz="6" w:space="0" w:color="auto"/>
            </w:tcBorders>
            <w:shd w:val="clear" w:color="auto" w:fill="F2F2F2"/>
            <w:vAlign w:val="center"/>
            <w:hideMark/>
          </w:tcPr>
          <w:p w:rsidR="00A9505F" w:rsidRDefault="00A9505F" w:rsidP="00A9505F">
            <w:pPr>
              <w:ind w:left="-108" w:right="-59"/>
              <w:jc w:val="center"/>
              <w:rPr>
                <w:rFonts w:ascii="Cambria" w:hAnsi="Cambria"/>
                <w:b/>
                <w:bCs/>
                <w:sz w:val="20"/>
                <w:szCs w:val="20"/>
                <w:lang w:eastAsia="en-US"/>
              </w:rPr>
            </w:pPr>
            <w:r>
              <w:rPr>
                <w:rFonts w:ascii="Cambria" w:hAnsi="Cambria"/>
                <w:b/>
                <w:bCs/>
                <w:sz w:val="20"/>
                <w:szCs w:val="20"/>
                <w:lang w:eastAsia="en-US"/>
              </w:rPr>
              <w:t xml:space="preserve">Общая площадь, </w:t>
            </w:r>
          </w:p>
          <w:p w:rsidR="00A9505F" w:rsidRDefault="00A9505F" w:rsidP="00A9505F">
            <w:pPr>
              <w:ind w:left="-108" w:right="-59"/>
              <w:jc w:val="center"/>
              <w:rPr>
                <w:rFonts w:ascii="Cambria" w:hAnsi="Cambria"/>
                <w:b/>
                <w:bCs/>
                <w:sz w:val="20"/>
                <w:szCs w:val="20"/>
                <w:lang w:eastAsia="en-US"/>
              </w:rPr>
            </w:pPr>
            <w:r>
              <w:rPr>
                <w:rFonts w:ascii="Cambria" w:hAnsi="Cambria"/>
                <w:b/>
                <w:bCs/>
                <w:sz w:val="20"/>
                <w:szCs w:val="20"/>
                <w:lang w:eastAsia="en-US"/>
              </w:rPr>
              <w:t>кв. м.</w:t>
            </w:r>
          </w:p>
        </w:tc>
        <w:tc>
          <w:tcPr>
            <w:tcW w:w="1666" w:type="dxa"/>
            <w:tcBorders>
              <w:top w:val="double" w:sz="4" w:space="0" w:color="auto"/>
              <w:left w:val="single" w:sz="6" w:space="0" w:color="auto"/>
              <w:bottom w:val="single" w:sz="6" w:space="0" w:color="auto"/>
              <w:right w:val="single" w:sz="6" w:space="0" w:color="auto"/>
            </w:tcBorders>
            <w:shd w:val="clear" w:color="auto" w:fill="F2F2F2"/>
            <w:vAlign w:val="center"/>
            <w:hideMark/>
          </w:tcPr>
          <w:p w:rsidR="00A9505F" w:rsidRDefault="00A9505F" w:rsidP="00A9505F">
            <w:pPr>
              <w:ind w:left="-108" w:right="-59"/>
              <w:jc w:val="center"/>
              <w:rPr>
                <w:rFonts w:ascii="Cambria" w:hAnsi="Cambria"/>
                <w:b/>
                <w:bCs/>
                <w:sz w:val="20"/>
                <w:szCs w:val="20"/>
                <w:lang w:eastAsia="en-US"/>
              </w:rPr>
            </w:pPr>
            <w:r>
              <w:rPr>
                <w:rFonts w:ascii="Cambria" w:hAnsi="Cambria"/>
                <w:b/>
                <w:bCs/>
                <w:sz w:val="20"/>
                <w:szCs w:val="20"/>
                <w:lang w:eastAsia="en-US"/>
              </w:rPr>
              <w:t>Рыночная стоимость с учетом НДС, руб.</w:t>
            </w:r>
          </w:p>
        </w:tc>
        <w:tc>
          <w:tcPr>
            <w:tcW w:w="1664" w:type="dxa"/>
            <w:tcBorders>
              <w:top w:val="double" w:sz="4" w:space="0" w:color="auto"/>
              <w:left w:val="single" w:sz="6" w:space="0" w:color="auto"/>
              <w:bottom w:val="single" w:sz="6" w:space="0" w:color="auto"/>
              <w:right w:val="double" w:sz="4" w:space="0" w:color="auto"/>
            </w:tcBorders>
            <w:shd w:val="clear" w:color="auto" w:fill="F2F2F2"/>
            <w:vAlign w:val="center"/>
            <w:hideMark/>
          </w:tcPr>
          <w:p w:rsidR="00A9505F" w:rsidRDefault="00A9505F" w:rsidP="00A9505F">
            <w:pPr>
              <w:ind w:left="-108" w:right="-59"/>
              <w:jc w:val="center"/>
              <w:rPr>
                <w:rFonts w:ascii="Cambria" w:hAnsi="Cambria"/>
                <w:b/>
                <w:bCs/>
                <w:sz w:val="20"/>
                <w:szCs w:val="20"/>
                <w:lang w:eastAsia="en-US"/>
              </w:rPr>
            </w:pPr>
            <w:r>
              <w:rPr>
                <w:rFonts w:ascii="Cambria" w:hAnsi="Cambria"/>
                <w:b/>
                <w:bCs/>
                <w:sz w:val="20"/>
                <w:szCs w:val="20"/>
                <w:lang w:eastAsia="en-US"/>
              </w:rPr>
              <w:t>Рыночная стоимость без НДС, руб.</w:t>
            </w:r>
          </w:p>
        </w:tc>
      </w:tr>
      <w:tr w:rsidR="00A9505F" w:rsidTr="00601157">
        <w:trPr>
          <w:trHeight w:val="23"/>
          <w:jc w:val="center"/>
        </w:trPr>
        <w:tc>
          <w:tcPr>
            <w:tcW w:w="566" w:type="dxa"/>
            <w:tcBorders>
              <w:top w:val="single" w:sz="6" w:space="0" w:color="auto"/>
              <w:left w:val="double" w:sz="4" w:space="0" w:color="auto"/>
              <w:bottom w:val="single" w:sz="6" w:space="0" w:color="auto"/>
              <w:right w:val="single" w:sz="6" w:space="0" w:color="auto"/>
            </w:tcBorders>
            <w:vAlign w:val="center"/>
            <w:hideMark/>
          </w:tcPr>
          <w:p w:rsidR="00A9505F" w:rsidRDefault="00A9505F" w:rsidP="00A9505F">
            <w:pPr>
              <w:ind w:left="-108" w:right="-59"/>
              <w:jc w:val="center"/>
              <w:rPr>
                <w:rFonts w:ascii="Cambria" w:hAnsi="Cambria" w:cs="Arial CYR"/>
                <w:sz w:val="20"/>
                <w:szCs w:val="20"/>
                <w:lang w:eastAsia="en-US"/>
              </w:rPr>
            </w:pPr>
            <w:r>
              <w:rPr>
                <w:rFonts w:ascii="Cambria" w:hAnsi="Cambria" w:cs="Arial CYR"/>
                <w:sz w:val="20"/>
                <w:szCs w:val="20"/>
                <w:lang w:eastAsia="en-US"/>
              </w:rPr>
              <w:t>1</w:t>
            </w:r>
          </w:p>
        </w:tc>
        <w:tc>
          <w:tcPr>
            <w:tcW w:w="3138" w:type="dxa"/>
            <w:tcBorders>
              <w:top w:val="single" w:sz="6" w:space="0" w:color="auto"/>
              <w:left w:val="single" w:sz="6" w:space="0" w:color="auto"/>
              <w:bottom w:val="single" w:sz="6" w:space="0" w:color="auto"/>
              <w:right w:val="single" w:sz="6" w:space="0" w:color="auto"/>
            </w:tcBorders>
            <w:vAlign w:val="center"/>
            <w:hideMark/>
          </w:tcPr>
          <w:p w:rsidR="00A9505F" w:rsidRDefault="00A9505F" w:rsidP="00A9505F">
            <w:pPr>
              <w:ind w:left="-108" w:right="-59"/>
              <w:jc w:val="center"/>
              <w:rPr>
                <w:rFonts w:ascii="Cambria" w:hAnsi="Cambria" w:cs="Arial CYR"/>
                <w:sz w:val="20"/>
                <w:szCs w:val="20"/>
                <w:lang w:eastAsia="en-US"/>
              </w:rPr>
            </w:pPr>
            <w:r>
              <w:rPr>
                <w:rFonts w:ascii="Cambria" w:hAnsi="Cambria" w:cs="Arial CYR"/>
                <w:sz w:val="20"/>
                <w:szCs w:val="20"/>
                <w:lang w:eastAsia="en-US"/>
              </w:rPr>
              <w:t>Нежилые строения (Производственный корпус),</w:t>
            </w:r>
          </w:p>
          <w:p w:rsidR="00A9505F" w:rsidRDefault="00A9505F" w:rsidP="00A9505F">
            <w:pPr>
              <w:ind w:left="-108" w:right="-59"/>
              <w:jc w:val="center"/>
              <w:rPr>
                <w:rFonts w:ascii="Cambria" w:hAnsi="Cambria" w:cs="Arial CYR"/>
                <w:sz w:val="20"/>
                <w:szCs w:val="20"/>
                <w:lang w:eastAsia="en-US"/>
              </w:rPr>
            </w:pPr>
            <w:r>
              <w:rPr>
                <w:rFonts w:ascii="Cambria" w:hAnsi="Cambria" w:cs="Arial CYR"/>
                <w:sz w:val="20"/>
                <w:szCs w:val="20"/>
                <w:lang w:eastAsia="en-US"/>
              </w:rPr>
              <w:t xml:space="preserve"> без учета стоимости з.уч.                       </w:t>
            </w:r>
          </w:p>
        </w:tc>
        <w:tc>
          <w:tcPr>
            <w:tcW w:w="1561" w:type="dxa"/>
            <w:tcBorders>
              <w:top w:val="single" w:sz="6" w:space="0" w:color="auto"/>
              <w:left w:val="single" w:sz="6" w:space="0" w:color="auto"/>
              <w:bottom w:val="single" w:sz="6" w:space="0" w:color="auto"/>
              <w:right w:val="single" w:sz="6" w:space="0" w:color="auto"/>
            </w:tcBorders>
            <w:vAlign w:val="center"/>
            <w:hideMark/>
          </w:tcPr>
          <w:p w:rsidR="00A9505F" w:rsidRDefault="00A9505F" w:rsidP="00A9505F">
            <w:pPr>
              <w:ind w:left="-108" w:right="-59"/>
              <w:jc w:val="center"/>
              <w:rPr>
                <w:rFonts w:ascii="Cambria" w:hAnsi="Cambria" w:cs="Arial CYR"/>
                <w:sz w:val="20"/>
                <w:szCs w:val="20"/>
                <w:lang w:eastAsia="en-US"/>
              </w:rPr>
            </w:pPr>
            <w:r>
              <w:rPr>
                <w:rFonts w:ascii="Cambria" w:hAnsi="Cambria" w:cs="Arial CYR"/>
                <w:sz w:val="20"/>
                <w:szCs w:val="20"/>
                <w:lang w:eastAsia="en-US"/>
              </w:rPr>
              <w:t>1989</w:t>
            </w:r>
          </w:p>
        </w:tc>
        <w:tc>
          <w:tcPr>
            <w:tcW w:w="1365" w:type="dxa"/>
            <w:tcBorders>
              <w:top w:val="single" w:sz="6" w:space="0" w:color="auto"/>
              <w:left w:val="single" w:sz="6" w:space="0" w:color="auto"/>
              <w:bottom w:val="single" w:sz="6" w:space="0" w:color="auto"/>
              <w:right w:val="single" w:sz="6" w:space="0" w:color="auto"/>
            </w:tcBorders>
            <w:vAlign w:val="center"/>
            <w:hideMark/>
          </w:tcPr>
          <w:p w:rsidR="00A9505F" w:rsidRDefault="00A9505F" w:rsidP="00A9505F">
            <w:pPr>
              <w:ind w:left="-108" w:right="-59"/>
              <w:jc w:val="center"/>
              <w:rPr>
                <w:rFonts w:ascii="Cambria" w:hAnsi="Cambria" w:cs="Arial CYR"/>
                <w:sz w:val="20"/>
                <w:szCs w:val="20"/>
                <w:lang w:eastAsia="en-US"/>
              </w:rPr>
            </w:pPr>
            <w:r>
              <w:rPr>
                <w:rFonts w:ascii="Cambria" w:hAnsi="Cambria" w:cs="Arial CYR"/>
                <w:sz w:val="20"/>
                <w:szCs w:val="20"/>
                <w:lang w:eastAsia="en-US"/>
              </w:rPr>
              <w:t>8 371,5</w:t>
            </w:r>
          </w:p>
        </w:tc>
        <w:tc>
          <w:tcPr>
            <w:tcW w:w="1666" w:type="dxa"/>
            <w:tcBorders>
              <w:top w:val="single" w:sz="6" w:space="0" w:color="auto"/>
              <w:left w:val="single" w:sz="6" w:space="0" w:color="auto"/>
              <w:bottom w:val="single" w:sz="6" w:space="0" w:color="auto"/>
              <w:right w:val="single" w:sz="6" w:space="0" w:color="auto"/>
            </w:tcBorders>
            <w:noWrap/>
            <w:vAlign w:val="center"/>
            <w:hideMark/>
          </w:tcPr>
          <w:p w:rsidR="00A9505F" w:rsidRDefault="00A9505F" w:rsidP="00A9505F">
            <w:pPr>
              <w:jc w:val="center"/>
              <w:rPr>
                <w:rFonts w:asciiTheme="majorHAnsi" w:hAnsiTheme="majorHAnsi"/>
                <w:b/>
                <w:sz w:val="20"/>
                <w:szCs w:val="20"/>
                <w:lang w:eastAsia="en-US"/>
              </w:rPr>
            </w:pPr>
            <w:r>
              <w:rPr>
                <w:rFonts w:asciiTheme="majorHAnsi" w:hAnsiTheme="majorHAnsi"/>
                <w:b/>
                <w:sz w:val="20"/>
                <w:szCs w:val="20"/>
                <w:lang w:eastAsia="en-US"/>
              </w:rPr>
              <w:t>78 792 168</w:t>
            </w:r>
          </w:p>
        </w:tc>
        <w:tc>
          <w:tcPr>
            <w:tcW w:w="1664" w:type="dxa"/>
            <w:tcBorders>
              <w:top w:val="single" w:sz="6" w:space="0" w:color="auto"/>
              <w:left w:val="single" w:sz="6" w:space="0" w:color="auto"/>
              <w:bottom w:val="single" w:sz="6" w:space="0" w:color="auto"/>
              <w:right w:val="double" w:sz="4" w:space="0" w:color="auto"/>
            </w:tcBorders>
            <w:noWrap/>
            <w:vAlign w:val="center"/>
            <w:hideMark/>
          </w:tcPr>
          <w:p w:rsidR="00A9505F" w:rsidRDefault="00A9505F" w:rsidP="00A9505F">
            <w:pPr>
              <w:jc w:val="center"/>
              <w:rPr>
                <w:rFonts w:asciiTheme="majorHAnsi" w:hAnsiTheme="majorHAnsi"/>
                <w:sz w:val="20"/>
                <w:szCs w:val="20"/>
                <w:lang w:eastAsia="en-US"/>
              </w:rPr>
            </w:pPr>
            <w:r>
              <w:rPr>
                <w:rFonts w:asciiTheme="majorHAnsi" w:hAnsiTheme="majorHAnsi"/>
                <w:sz w:val="20"/>
                <w:szCs w:val="20"/>
                <w:lang w:eastAsia="en-US"/>
              </w:rPr>
              <w:t>66 773 024</w:t>
            </w:r>
          </w:p>
        </w:tc>
      </w:tr>
      <w:tr w:rsidR="00A9505F" w:rsidTr="00601157">
        <w:trPr>
          <w:trHeight w:val="23"/>
          <w:jc w:val="center"/>
        </w:trPr>
        <w:tc>
          <w:tcPr>
            <w:tcW w:w="566" w:type="dxa"/>
            <w:tcBorders>
              <w:top w:val="single" w:sz="6" w:space="0" w:color="auto"/>
              <w:left w:val="double" w:sz="4" w:space="0" w:color="auto"/>
              <w:bottom w:val="single" w:sz="6" w:space="0" w:color="auto"/>
              <w:right w:val="single" w:sz="6" w:space="0" w:color="auto"/>
            </w:tcBorders>
            <w:vAlign w:val="center"/>
            <w:hideMark/>
          </w:tcPr>
          <w:p w:rsidR="00A9505F" w:rsidRDefault="00A9505F" w:rsidP="00A9505F">
            <w:pPr>
              <w:ind w:left="-108" w:right="-59"/>
              <w:jc w:val="center"/>
              <w:rPr>
                <w:rFonts w:ascii="Cambria" w:hAnsi="Cambria" w:cs="Arial CYR"/>
                <w:sz w:val="20"/>
                <w:szCs w:val="20"/>
                <w:lang w:eastAsia="en-US"/>
              </w:rPr>
            </w:pPr>
            <w:r>
              <w:rPr>
                <w:rFonts w:ascii="Cambria" w:hAnsi="Cambria" w:cs="Arial CYR"/>
                <w:sz w:val="20"/>
                <w:szCs w:val="20"/>
                <w:lang w:eastAsia="en-US"/>
              </w:rPr>
              <w:t>2</w:t>
            </w:r>
          </w:p>
        </w:tc>
        <w:tc>
          <w:tcPr>
            <w:tcW w:w="3138" w:type="dxa"/>
            <w:tcBorders>
              <w:top w:val="single" w:sz="6" w:space="0" w:color="auto"/>
              <w:left w:val="single" w:sz="6" w:space="0" w:color="auto"/>
              <w:bottom w:val="single" w:sz="6" w:space="0" w:color="auto"/>
              <w:right w:val="single" w:sz="6" w:space="0" w:color="auto"/>
            </w:tcBorders>
            <w:vAlign w:val="center"/>
            <w:hideMark/>
          </w:tcPr>
          <w:p w:rsidR="00A9505F" w:rsidRDefault="00A9505F" w:rsidP="00A9505F">
            <w:pPr>
              <w:jc w:val="center"/>
              <w:rPr>
                <w:rFonts w:ascii="Cambria" w:hAnsi="Cambria"/>
                <w:sz w:val="20"/>
                <w:szCs w:val="20"/>
                <w:lang w:eastAsia="en-US"/>
              </w:rPr>
            </w:pPr>
            <w:r>
              <w:rPr>
                <w:rFonts w:ascii="Cambria" w:hAnsi="Cambria"/>
                <w:sz w:val="20"/>
                <w:szCs w:val="20"/>
                <w:lang w:eastAsia="en-US"/>
              </w:rPr>
              <w:t xml:space="preserve">Административно-бытовое здание, </w:t>
            </w:r>
          </w:p>
          <w:p w:rsidR="00A9505F" w:rsidRDefault="00A9505F" w:rsidP="00A9505F">
            <w:pPr>
              <w:jc w:val="center"/>
              <w:rPr>
                <w:rFonts w:ascii="Cambria" w:hAnsi="Cambria"/>
                <w:sz w:val="20"/>
                <w:szCs w:val="20"/>
                <w:lang w:eastAsia="en-US"/>
              </w:rPr>
            </w:pPr>
            <w:r>
              <w:rPr>
                <w:rFonts w:ascii="Cambria" w:hAnsi="Cambria"/>
                <w:sz w:val="20"/>
                <w:szCs w:val="20"/>
                <w:lang w:eastAsia="en-US"/>
              </w:rPr>
              <w:t xml:space="preserve">без учета стоимости з.уч.                       </w:t>
            </w:r>
          </w:p>
        </w:tc>
        <w:tc>
          <w:tcPr>
            <w:tcW w:w="1561" w:type="dxa"/>
            <w:tcBorders>
              <w:top w:val="single" w:sz="6" w:space="0" w:color="auto"/>
              <w:left w:val="single" w:sz="6" w:space="0" w:color="auto"/>
              <w:bottom w:val="single" w:sz="6" w:space="0" w:color="auto"/>
              <w:right w:val="single" w:sz="6" w:space="0" w:color="auto"/>
            </w:tcBorders>
            <w:vAlign w:val="center"/>
            <w:hideMark/>
          </w:tcPr>
          <w:p w:rsidR="00A9505F" w:rsidRDefault="00A9505F" w:rsidP="00A9505F">
            <w:pPr>
              <w:ind w:left="-108" w:right="-59"/>
              <w:jc w:val="center"/>
              <w:rPr>
                <w:rFonts w:ascii="Cambria" w:hAnsi="Cambria" w:cs="Arial CYR"/>
                <w:sz w:val="20"/>
                <w:szCs w:val="20"/>
                <w:lang w:eastAsia="en-US"/>
              </w:rPr>
            </w:pPr>
            <w:r>
              <w:rPr>
                <w:rFonts w:ascii="Cambria" w:hAnsi="Cambria" w:cs="Arial CYR"/>
                <w:sz w:val="20"/>
                <w:szCs w:val="20"/>
                <w:lang w:eastAsia="en-US"/>
              </w:rPr>
              <w:t>1993</w:t>
            </w:r>
          </w:p>
        </w:tc>
        <w:tc>
          <w:tcPr>
            <w:tcW w:w="1365" w:type="dxa"/>
            <w:tcBorders>
              <w:top w:val="single" w:sz="6" w:space="0" w:color="auto"/>
              <w:left w:val="single" w:sz="6" w:space="0" w:color="auto"/>
              <w:bottom w:val="single" w:sz="6" w:space="0" w:color="auto"/>
              <w:right w:val="single" w:sz="6" w:space="0" w:color="auto"/>
            </w:tcBorders>
            <w:vAlign w:val="center"/>
            <w:hideMark/>
          </w:tcPr>
          <w:p w:rsidR="00A9505F" w:rsidRDefault="00A9505F" w:rsidP="00A9505F">
            <w:pPr>
              <w:ind w:left="-108" w:right="-59"/>
              <w:jc w:val="center"/>
              <w:rPr>
                <w:rFonts w:ascii="Cambria" w:hAnsi="Cambria" w:cs="Arial CYR"/>
                <w:sz w:val="20"/>
                <w:szCs w:val="20"/>
                <w:lang w:eastAsia="en-US"/>
              </w:rPr>
            </w:pPr>
            <w:r>
              <w:rPr>
                <w:rFonts w:ascii="Cambria" w:hAnsi="Cambria" w:cs="Arial CYR"/>
                <w:sz w:val="20"/>
                <w:szCs w:val="20"/>
                <w:lang w:eastAsia="en-US"/>
              </w:rPr>
              <w:t>3 149,6</w:t>
            </w:r>
          </w:p>
        </w:tc>
        <w:tc>
          <w:tcPr>
            <w:tcW w:w="1666" w:type="dxa"/>
            <w:tcBorders>
              <w:top w:val="single" w:sz="6" w:space="0" w:color="auto"/>
              <w:left w:val="single" w:sz="6" w:space="0" w:color="auto"/>
              <w:bottom w:val="single" w:sz="6" w:space="0" w:color="auto"/>
              <w:right w:val="single" w:sz="6" w:space="0" w:color="auto"/>
            </w:tcBorders>
            <w:noWrap/>
            <w:vAlign w:val="center"/>
            <w:hideMark/>
          </w:tcPr>
          <w:p w:rsidR="00A9505F" w:rsidRDefault="00A9505F" w:rsidP="00A9505F">
            <w:pPr>
              <w:jc w:val="center"/>
              <w:rPr>
                <w:rFonts w:asciiTheme="majorHAnsi" w:hAnsiTheme="majorHAnsi"/>
                <w:b/>
                <w:bCs/>
                <w:color w:val="000000"/>
                <w:sz w:val="20"/>
                <w:szCs w:val="20"/>
                <w:lang w:eastAsia="en-US"/>
              </w:rPr>
            </w:pPr>
            <w:r>
              <w:rPr>
                <w:rFonts w:asciiTheme="majorHAnsi" w:hAnsiTheme="majorHAnsi"/>
                <w:b/>
                <w:bCs/>
                <w:color w:val="000000"/>
                <w:sz w:val="20"/>
                <w:szCs w:val="20"/>
                <w:lang w:eastAsia="en-US"/>
              </w:rPr>
              <w:t xml:space="preserve">42 663 975  </w:t>
            </w:r>
          </w:p>
        </w:tc>
        <w:tc>
          <w:tcPr>
            <w:tcW w:w="1664" w:type="dxa"/>
            <w:tcBorders>
              <w:top w:val="single" w:sz="6" w:space="0" w:color="auto"/>
              <w:left w:val="single" w:sz="6" w:space="0" w:color="auto"/>
              <w:bottom w:val="single" w:sz="6" w:space="0" w:color="auto"/>
              <w:right w:val="double" w:sz="4" w:space="0" w:color="auto"/>
            </w:tcBorders>
            <w:noWrap/>
            <w:vAlign w:val="center"/>
            <w:hideMark/>
          </w:tcPr>
          <w:p w:rsidR="00A9505F" w:rsidRDefault="00A9505F" w:rsidP="00A9505F">
            <w:pPr>
              <w:jc w:val="center"/>
              <w:rPr>
                <w:rFonts w:asciiTheme="majorHAnsi" w:hAnsiTheme="majorHAnsi"/>
                <w:bCs/>
                <w:color w:val="000000"/>
                <w:sz w:val="20"/>
                <w:szCs w:val="20"/>
                <w:lang w:eastAsia="en-US"/>
              </w:rPr>
            </w:pPr>
            <w:r>
              <w:rPr>
                <w:rFonts w:asciiTheme="majorHAnsi" w:hAnsiTheme="majorHAnsi"/>
                <w:bCs/>
                <w:color w:val="000000"/>
                <w:sz w:val="20"/>
                <w:szCs w:val="20"/>
                <w:lang w:eastAsia="en-US"/>
              </w:rPr>
              <w:t xml:space="preserve">36 155 911  </w:t>
            </w:r>
          </w:p>
        </w:tc>
      </w:tr>
      <w:tr w:rsidR="00A9505F" w:rsidTr="00601157">
        <w:trPr>
          <w:trHeight w:val="23"/>
          <w:jc w:val="center"/>
        </w:trPr>
        <w:tc>
          <w:tcPr>
            <w:tcW w:w="566" w:type="dxa"/>
            <w:tcBorders>
              <w:top w:val="single" w:sz="6" w:space="0" w:color="auto"/>
              <w:left w:val="double" w:sz="4" w:space="0" w:color="auto"/>
              <w:bottom w:val="double" w:sz="4" w:space="0" w:color="auto"/>
              <w:right w:val="single" w:sz="6" w:space="0" w:color="auto"/>
            </w:tcBorders>
            <w:vAlign w:val="center"/>
          </w:tcPr>
          <w:p w:rsidR="00A9505F" w:rsidRDefault="00A9505F" w:rsidP="00A9505F">
            <w:pPr>
              <w:ind w:left="-108" w:right="-59"/>
              <w:jc w:val="center"/>
              <w:rPr>
                <w:rFonts w:ascii="Cambria" w:hAnsi="Cambria" w:cs="Arial CYR"/>
                <w:sz w:val="20"/>
                <w:szCs w:val="20"/>
                <w:lang w:eastAsia="en-US"/>
              </w:rPr>
            </w:pPr>
          </w:p>
        </w:tc>
        <w:tc>
          <w:tcPr>
            <w:tcW w:w="3138" w:type="dxa"/>
            <w:tcBorders>
              <w:top w:val="single" w:sz="6" w:space="0" w:color="auto"/>
              <w:left w:val="single" w:sz="6" w:space="0" w:color="auto"/>
              <w:bottom w:val="double" w:sz="4" w:space="0" w:color="auto"/>
              <w:right w:val="single" w:sz="6" w:space="0" w:color="auto"/>
            </w:tcBorders>
            <w:vAlign w:val="center"/>
            <w:hideMark/>
          </w:tcPr>
          <w:p w:rsidR="00A9505F" w:rsidRDefault="00A9505F" w:rsidP="00A9505F">
            <w:pPr>
              <w:jc w:val="center"/>
              <w:rPr>
                <w:rFonts w:ascii="Cambria" w:hAnsi="Cambria"/>
                <w:color w:val="000000"/>
                <w:sz w:val="20"/>
                <w:szCs w:val="20"/>
                <w:lang w:eastAsia="en-US"/>
              </w:rPr>
            </w:pPr>
            <w:r>
              <w:rPr>
                <w:rFonts w:ascii="Cambria" w:hAnsi="Cambria"/>
                <w:color w:val="000000"/>
                <w:sz w:val="20"/>
                <w:szCs w:val="20"/>
                <w:lang w:eastAsia="en-US"/>
              </w:rPr>
              <w:t>ИТОГО:</w:t>
            </w:r>
          </w:p>
        </w:tc>
        <w:tc>
          <w:tcPr>
            <w:tcW w:w="1561" w:type="dxa"/>
            <w:tcBorders>
              <w:top w:val="single" w:sz="6" w:space="0" w:color="auto"/>
              <w:left w:val="single" w:sz="6" w:space="0" w:color="auto"/>
              <w:bottom w:val="double" w:sz="4" w:space="0" w:color="auto"/>
              <w:right w:val="single" w:sz="6" w:space="0" w:color="auto"/>
            </w:tcBorders>
            <w:vAlign w:val="center"/>
          </w:tcPr>
          <w:p w:rsidR="00A9505F" w:rsidRDefault="00A9505F" w:rsidP="00A9505F">
            <w:pPr>
              <w:ind w:left="-108" w:right="-59"/>
              <w:jc w:val="center"/>
              <w:rPr>
                <w:rFonts w:ascii="Cambria" w:hAnsi="Cambria" w:cs="Arial CYR"/>
                <w:sz w:val="20"/>
                <w:szCs w:val="20"/>
                <w:lang w:eastAsia="en-US"/>
              </w:rPr>
            </w:pPr>
          </w:p>
        </w:tc>
        <w:tc>
          <w:tcPr>
            <w:tcW w:w="1365" w:type="dxa"/>
            <w:tcBorders>
              <w:top w:val="single" w:sz="6" w:space="0" w:color="auto"/>
              <w:left w:val="single" w:sz="6" w:space="0" w:color="auto"/>
              <w:bottom w:val="double" w:sz="4" w:space="0" w:color="auto"/>
              <w:right w:val="single" w:sz="6" w:space="0" w:color="auto"/>
            </w:tcBorders>
            <w:vAlign w:val="center"/>
          </w:tcPr>
          <w:p w:rsidR="00A9505F" w:rsidRDefault="00A9505F" w:rsidP="00A9505F">
            <w:pPr>
              <w:ind w:left="-108" w:right="-59"/>
              <w:jc w:val="center"/>
              <w:rPr>
                <w:rFonts w:ascii="Cambria" w:hAnsi="Cambria" w:cs="Arial CYR"/>
                <w:sz w:val="20"/>
                <w:szCs w:val="20"/>
                <w:lang w:eastAsia="en-US"/>
              </w:rPr>
            </w:pPr>
          </w:p>
        </w:tc>
        <w:tc>
          <w:tcPr>
            <w:tcW w:w="1666" w:type="dxa"/>
            <w:tcBorders>
              <w:top w:val="single" w:sz="6" w:space="0" w:color="auto"/>
              <w:left w:val="single" w:sz="6" w:space="0" w:color="auto"/>
              <w:bottom w:val="double" w:sz="4" w:space="0" w:color="auto"/>
              <w:right w:val="single" w:sz="6" w:space="0" w:color="auto"/>
            </w:tcBorders>
            <w:noWrap/>
            <w:vAlign w:val="bottom"/>
            <w:hideMark/>
          </w:tcPr>
          <w:p w:rsidR="00A9505F" w:rsidRDefault="00A9505F" w:rsidP="00A9505F">
            <w:pPr>
              <w:jc w:val="center"/>
              <w:rPr>
                <w:rFonts w:asciiTheme="majorHAnsi" w:hAnsiTheme="majorHAnsi"/>
                <w:b/>
                <w:color w:val="000000"/>
                <w:sz w:val="20"/>
                <w:szCs w:val="20"/>
                <w:lang w:eastAsia="en-US"/>
              </w:rPr>
            </w:pPr>
            <w:r>
              <w:rPr>
                <w:rFonts w:asciiTheme="majorHAnsi" w:hAnsiTheme="majorHAnsi"/>
                <w:b/>
                <w:color w:val="000000"/>
                <w:sz w:val="20"/>
                <w:szCs w:val="20"/>
                <w:lang w:eastAsia="en-US"/>
              </w:rPr>
              <w:t>121 456 143</w:t>
            </w:r>
          </w:p>
        </w:tc>
        <w:tc>
          <w:tcPr>
            <w:tcW w:w="1664" w:type="dxa"/>
            <w:tcBorders>
              <w:top w:val="single" w:sz="6" w:space="0" w:color="auto"/>
              <w:left w:val="single" w:sz="6" w:space="0" w:color="auto"/>
              <w:bottom w:val="double" w:sz="4" w:space="0" w:color="auto"/>
              <w:right w:val="double" w:sz="4" w:space="0" w:color="auto"/>
            </w:tcBorders>
            <w:noWrap/>
            <w:vAlign w:val="bottom"/>
            <w:hideMark/>
          </w:tcPr>
          <w:p w:rsidR="00A9505F" w:rsidRDefault="00A9505F" w:rsidP="00A9505F">
            <w:pPr>
              <w:jc w:val="center"/>
              <w:rPr>
                <w:rFonts w:asciiTheme="majorHAnsi" w:hAnsiTheme="majorHAnsi"/>
                <w:color w:val="000000"/>
                <w:sz w:val="20"/>
                <w:szCs w:val="20"/>
                <w:lang w:eastAsia="en-US"/>
              </w:rPr>
            </w:pPr>
            <w:r>
              <w:rPr>
                <w:rFonts w:asciiTheme="majorHAnsi" w:hAnsiTheme="majorHAnsi"/>
                <w:color w:val="000000"/>
                <w:sz w:val="20"/>
                <w:szCs w:val="20"/>
                <w:lang w:eastAsia="en-US"/>
              </w:rPr>
              <w:t>102 928 934</w:t>
            </w:r>
          </w:p>
        </w:tc>
      </w:tr>
    </w:tbl>
    <w:p w:rsidR="006C3A33" w:rsidRPr="00E03510" w:rsidRDefault="001E5220" w:rsidP="002E3412">
      <w:pPr>
        <w:keepNext/>
        <w:keepLines/>
        <w:spacing w:before="600" w:after="120"/>
        <w:ind w:left="360" w:right="-2"/>
        <w:jc w:val="both"/>
        <w:outlineLvl w:val="1"/>
        <w:rPr>
          <w:rFonts w:asciiTheme="majorHAnsi" w:eastAsiaTheme="majorEastAsia" w:hAnsiTheme="majorHAnsi" w:cstheme="majorBidi"/>
          <w:b/>
          <w:bCs/>
          <w:sz w:val="20"/>
          <w:szCs w:val="20"/>
        </w:rPr>
      </w:pPr>
      <w:r w:rsidRPr="00E03510">
        <w:rPr>
          <w:rFonts w:asciiTheme="majorHAnsi" w:eastAsiaTheme="majorEastAsia" w:hAnsiTheme="majorHAnsi" w:cstheme="majorBidi"/>
          <w:b/>
          <w:bCs/>
          <w:sz w:val="20"/>
          <w:szCs w:val="20"/>
        </w:rPr>
        <w:t xml:space="preserve"> </w:t>
      </w:r>
      <w:bookmarkStart w:id="38" w:name="_Toc491763292"/>
      <w:r w:rsidR="006C3A33" w:rsidRPr="00E03510">
        <w:rPr>
          <w:rFonts w:asciiTheme="majorHAnsi" w:eastAsiaTheme="majorEastAsia" w:hAnsiTheme="majorHAnsi" w:cstheme="majorBidi"/>
          <w:b/>
          <w:bCs/>
          <w:sz w:val="20"/>
          <w:szCs w:val="20"/>
        </w:rPr>
        <w:t xml:space="preserve">6.4. </w:t>
      </w:r>
      <w:r w:rsidR="006C3A33" w:rsidRPr="00E03510">
        <w:rPr>
          <w:rFonts w:asciiTheme="majorHAnsi" w:eastAsiaTheme="majorEastAsia" w:hAnsiTheme="majorHAnsi" w:cstheme="majorBidi"/>
          <w:b/>
          <w:bCs/>
          <w:sz w:val="20"/>
          <w:szCs w:val="20"/>
          <w:lang w:bidi="en-US"/>
        </w:rPr>
        <w:t>Ограничения и пределы применения полученного результата</w:t>
      </w:r>
      <w:bookmarkEnd w:id="38"/>
    </w:p>
    <w:p w:rsidR="006C3A33" w:rsidRPr="00E03510" w:rsidRDefault="006C3A33" w:rsidP="0090764B">
      <w:pPr>
        <w:numPr>
          <w:ilvl w:val="0"/>
          <w:numId w:val="3"/>
        </w:numPr>
        <w:spacing w:before="120"/>
        <w:ind w:left="709" w:hanging="567"/>
        <w:contextualSpacing/>
        <w:jc w:val="both"/>
        <w:rPr>
          <w:rFonts w:asciiTheme="majorHAnsi" w:eastAsiaTheme="minorEastAsia" w:hAnsiTheme="majorHAnsi"/>
          <w:sz w:val="20"/>
          <w:szCs w:val="20"/>
          <w:lang w:bidi="en-US"/>
        </w:rPr>
      </w:pPr>
      <w:r w:rsidRPr="00E03510">
        <w:rPr>
          <w:rFonts w:asciiTheme="majorHAnsi" w:eastAsiaTheme="minorEastAsia" w:hAnsiTheme="majorHAnsi"/>
          <w:sz w:val="20"/>
          <w:szCs w:val="20"/>
          <w:lang w:bidi="en-US"/>
        </w:rPr>
        <w:t>Разглашение содержания настоящего отчета, как в целом, так и по фрагментам возможно только после предварительного письменного согласования. Особенно это касается итоговой величины стоимости и авторства отчета.</w:t>
      </w:r>
    </w:p>
    <w:p w:rsidR="006C3A33" w:rsidRPr="00E03510" w:rsidRDefault="006C3A33" w:rsidP="0090764B">
      <w:pPr>
        <w:numPr>
          <w:ilvl w:val="0"/>
          <w:numId w:val="3"/>
        </w:numPr>
        <w:spacing w:before="120"/>
        <w:ind w:left="709" w:hanging="567"/>
        <w:contextualSpacing/>
        <w:jc w:val="both"/>
        <w:rPr>
          <w:rFonts w:asciiTheme="majorHAnsi" w:eastAsiaTheme="minorEastAsia" w:hAnsiTheme="majorHAnsi"/>
          <w:sz w:val="20"/>
          <w:szCs w:val="20"/>
          <w:lang w:bidi="en-US"/>
        </w:rPr>
      </w:pPr>
      <w:r w:rsidRPr="00E03510">
        <w:rPr>
          <w:rFonts w:asciiTheme="majorHAnsi" w:eastAsiaTheme="minorEastAsia" w:hAnsiTheme="majorHAnsi"/>
          <w:sz w:val="20"/>
          <w:szCs w:val="20"/>
          <w:lang w:bidi="en-US"/>
        </w:rPr>
        <w:t>Итоговая величина стоимости объекта оценки, указанная в отчете об оценке, может быть признана рекомендуемой для целей совершения сделки с объектами оценки, если с даты составления отчета об оценке до даты совершения сделки с объектом оценки или даты представления публичной оферты прошло не более 6 месяцев.</w:t>
      </w:r>
    </w:p>
    <w:p w:rsidR="006C3A33" w:rsidRPr="00E03510" w:rsidRDefault="006C3A33" w:rsidP="0090764B">
      <w:pPr>
        <w:numPr>
          <w:ilvl w:val="0"/>
          <w:numId w:val="3"/>
        </w:numPr>
        <w:spacing w:before="120"/>
        <w:ind w:left="709" w:hanging="567"/>
        <w:contextualSpacing/>
        <w:jc w:val="both"/>
        <w:rPr>
          <w:rFonts w:asciiTheme="majorHAnsi" w:eastAsiaTheme="minorEastAsia" w:hAnsiTheme="majorHAnsi"/>
          <w:sz w:val="20"/>
          <w:szCs w:val="20"/>
          <w:lang w:bidi="en-US"/>
        </w:rPr>
      </w:pPr>
      <w:r w:rsidRPr="00E03510">
        <w:rPr>
          <w:rFonts w:asciiTheme="majorHAnsi" w:eastAsiaTheme="minorEastAsia" w:hAnsiTheme="majorHAnsi"/>
          <w:sz w:val="20"/>
          <w:szCs w:val="20"/>
          <w:lang w:bidi="en-US"/>
        </w:rPr>
        <w:t>Ни Заказчик, ни Исполнитель не могут использовать отчет иначе, чем это предусмотрено договором на оценку. Итоговая величина стоимости объекта оценки, указанная в отчете об оценке, может быть признана рекомендуемой для целей совершения сделки с объектами оценки в соответствии с предполагаемым использованием результатов оценки.</w:t>
      </w:r>
    </w:p>
    <w:p w:rsidR="006C3A33" w:rsidRPr="00E03510" w:rsidRDefault="006C3A33" w:rsidP="006C3A33">
      <w:pPr>
        <w:spacing w:before="100" w:beforeAutospacing="1" w:after="100" w:afterAutospacing="1"/>
        <w:ind w:firstLine="708"/>
        <w:jc w:val="both"/>
        <w:rPr>
          <w:rFonts w:asciiTheme="majorHAnsi" w:eastAsiaTheme="majorEastAsia" w:hAnsiTheme="majorHAnsi"/>
          <w:b/>
          <w:bCs/>
          <w:sz w:val="20"/>
          <w:szCs w:val="20"/>
        </w:rPr>
      </w:pPr>
      <w:r w:rsidRPr="00E03510">
        <w:rPr>
          <w:rFonts w:asciiTheme="majorHAnsi" w:hAnsiTheme="majorHAnsi"/>
          <w:sz w:val="20"/>
          <w:szCs w:val="20"/>
        </w:rPr>
        <w:t>Отчет достоверен лишь в полном объеме. Результаты оценки действительны только в случае учета всех допущений и ограничений, перечисленных в настоящем Задании и Отчете</w:t>
      </w:r>
    </w:p>
    <w:p w:rsidR="006C3A33" w:rsidRDefault="006C3A33" w:rsidP="006C3A33"/>
    <w:p w:rsidR="006C3A33" w:rsidRDefault="006C3A33" w:rsidP="006C3A33"/>
    <w:p w:rsidR="006C3A33" w:rsidRDefault="006C3A33" w:rsidP="006C3A33"/>
    <w:p w:rsidR="006C3A33" w:rsidRDefault="006C3A33" w:rsidP="006C3A33"/>
    <w:p w:rsidR="006C3A33" w:rsidRDefault="006C3A33" w:rsidP="006C3A33"/>
    <w:p w:rsidR="006C3A33" w:rsidRDefault="006C3A33" w:rsidP="006C3A33"/>
    <w:p w:rsidR="006C3A33" w:rsidRDefault="006C3A33" w:rsidP="006C3A33">
      <w:pPr>
        <w:sectPr w:rsidR="006C3A33">
          <w:pgSz w:w="11906" w:h="16838"/>
          <w:pgMar w:top="1134" w:right="851" w:bottom="1134" w:left="1134" w:header="709" w:footer="709" w:gutter="0"/>
          <w:pgBorders w:offsetFrom="page">
            <w:top w:val="single" w:sz="4" w:space="24" w:color="4F81BD" w:themeColor="accent1"/>
            <w:left w:val="single" w:sz="4" w:space="24" w:color="4F81BD" w:themeColor="accent1"/>
            <w:bottom w:val="single" w:sz="4" w:space="24" w:color="4F81BD" w:themeColor="accent1"/>
            <w:right w:val="single" w:sz="4" w:space="24" w:color="4F81BD" w:themeColor="accent1"/>
          </w:pgBorders>
          <w:cols w:space="720"/>
        </w:sectPr>
      </w:pPr>
    </w:p>
    <w:p w:rsidR="003262B9" w:rsidRDefault="003262B9" w:rsidP="006C3A33">
      <w:pPr>
        <w:keepNext/>
        <w:keepLines/>
        <w:spacing w:before="100" w:beforeAutospacing="1" w:after="100" w:afterAutospacing="1"/>
        <w:ind w:right="-2"/>
        <w:outlineLvl w:val="0"/>
        <w:sectPr w:rsidR="003262B9">
          <w:type w:val="continuous"/>
          <w:pgSz w:w="11906" w:h="16838"/>
          <w:pgMar w:top="851" w:right="851" w:bottom="567" w:left="1134" w:header="709" w:footer="709" w:gutter="0"/>
          <w:pgBorders w:offsetFrom="page">
            <w:top w:val="single" w:sz="4" w:space="24" w:color="4F81BD" w:themeColor="accent1"/>
            <w:left w:val="single" w:sz="4" w:space="24" w:color="4F81BD" w:themeColor="accent1"/>
            <w:bottom w:val="single" w:sz="4" w:space="24" w:color="4F81BD" w:themeColor="accent1"/>
            <w:right w:val="single" w:sz="4" w:space="24" w:color="4F81BD" w:themeColor="accent1"/>
          </w:pgBorders>
          <w:cols w:space="720"/>
        </w:sectPr>
      </w:pPr>
    </w:p>
    <w:p w:rsidR="00855FAA" w:rsidRPr="00A94986" w:rsidRDefault="00B4381B" w:rsidP="0090764B">
      <w:pPr>
        <w:pStyle w:val="af3"/>
        <w:keepNext/>
        <w:keepLines/>
        <w:numPr>
          <w:ilvl w:val="0"/>
          <w:numId w:val="11"/>
        </w:numPr>
        <w:spacing w:before="100" w:beforeAutospacing="1" w:after="100" w:afterAutospacing="1"/>
        <w:ind w:left="0" w:right="-2" w:firstLine="360"/>
        <w:jc w:val="center"/>
        <w:outlineLvl w:val="1"/>
        <w:rPr>
          <w:rFonts w:eastAsiaTheme="majorEastAsia" w:cstheme="majorBidi"/>
          <w:b/>
          <w:bCs/>
          <w:sz w:val="26"/>
          <w:szCs w:val="26"/>
          <w:lang w:val="ru-RU"/>
        </w:rPr>
      </w:pPr>
      <w:bookmarkStart w:id="39" w:name="_Toc491763293"/>
      <w:r w:rsidRPr="00A94986">
        <w:rPr>
          <w:rFonts w:asciiTheme="majorHAnsi" w:eastAsiaTheme="majorEastAsia" w:hAnsiTheme="majorHAnsi" w:cstheme="majorBidi"/>
          <w:b/>
          <w:bCs/>
          <w:sz w:val="28"/>
          <w:szCs w:val="28"/>
          <w:lang w:val="ru-RU" w:bidi="ar-SA"/>
        </w:rPr>
        <w:lastRenderedPageBreak/>
        <w:t>Описание объекта оценки с указанием перечня документов, используемым оценщиками устанавливающих количественные и качественные характеристики объекта оценки, а в отношении объекта оценки, принадлежащего юридическому лицу, так же реквизиты юридического лица (в том числе полное и (в случае, если имеется) сокращенное наименование,</w:t>
      </w:r>
      <w:r w:rsidRPr="00A94986">
        <w:rPr>
          <w:rFonts w:eastAsiaTheme="majorEastAsia" w:cstheme="majorBidi"/>
          <w:b/>
          <w:bCs/>
          <w:sz w:val="26"/>
          <w:szCs w:val="26"/>
          <w:lang w:val="ru-RU"/>
        </w:rPr>
        <w:t xml:space="preserve"> </w:t>
      </w:r>
      <w:r w:rsidRPr="00A94986">
        <w:rPr>
          <w:rFonts w:asciiTheme="majorHAnsi" w:eastAsiaTheme="majorEastAsia" w:hAnsiTheme="majorHAnsi" w:cstheme="majorBidi"/>
          <w:b/>
          <w:bCs/>
          <w:sz w:val="28"/>
          <w:szCs w:val="28"/>
          <w:lang w:val="ru-RU" w:bidi="ar-SA"/>
        </w:rPr>
        <w:t>дата государственной регистрации, основной государственный регистрационный номер) и балансовая стоимость данного объекта оценки (при наличии)</w:t>
      </w:r>
      <w:bookmarkEnd w:id="39"/>
      <w:r w:rsidRPr="00A94986">
        <w:rPr>
          <w:rFonts w:eastAsiaTheme="majorEastAsia" w:cstheme="majorBidi"/>
          <w:b/>
          <w:bCs/>
          <w:sz w:val="26"/>
          <w:szCs w:val="26"/>
          <w:lang w:val="ru-RU"/>
        </w:rPr>
        <w:t xml:space="preserve">  </w:t>
      </w:r>
    </w:p>
    <w:p w:rsidR="00D0628B" w:rsidRPr="00E03510" w:rsidRDefault="00D0628B" w:rsidP="006348CA">
      <w:pPr>
        <w:pStyle w:val="af3"/>
        <w:keepNext/>
        <w:keepLines/>
        <w:spacing w:before="0" w:after="0"/>
        <w:ind w:left="0" w:right="-2" w:firstLine="0"/>
        <w:outlineLvl w:val="1"/>
        <w:rPr>
          <w:rFonts w:asciiTheme="majorHAnsi" w:eastAsiaTheme="majorEastAsia" w:hAnsiTheme="majorHAnsi" w:cstheme="majorBidi"/>
          <w:b/>
          <w:bCs/>
          <w:sz w:val="20"/>
          <w:szCs w:val="20"/>
          <w:lang w:val="ru-RU"/>
        </w:rPr>
      </w:pPr>
    </w:p>
    <w:p w:rsidR="00B4381B" w:rsidRPr="00E03510" w:rsidRDefault="00B4381B" w:rsidP="0090764B">
      <w:pPr>
        <w:pStyle w:val="20"/>
        <w:numPr>
          <w:ilvl w:val="1"/>
          <w:numId w:val="11"/>
        </w:numPr>
        <w:spacing w:before="0" w:beforeAutospacing="0" w:after="0" w:afterAutospacing="0"/>
        <w:jc w:val="both"/>
        <w:rPr>
          <w:sz w:val="20"/>
          <w:szCs w:val="20"/>
        </w:rPr>
      </w:pPr>
      <w:bookmarkStart w:id="40" w:name="_Toc450857756"/>
      <w:bookmarkStart w:id="41" w:name="_Toc451953122"/>
      <w:bookmarkStart w:id="42" w:name="_Toc491763294"/>
      <w:r w:rsidRPr="00E03510">
        <w:rPr>
          <w:sz w:val="20"/>
          <w:szCs w:val="20"/>
        </w:rPr>
        <w:t>Сведения о результатах осмотра объекта оценки</w:t>
      </w:r>
      <w:bookmarkEnd w:id="40"/>
      <w:bookmarkEnd w:id="41"/>
      <w:bookmarkEnd w:id="42"/>
    </w:p>
    <w:p w:rsidR="0062527F" w:rsidRDefault="0062527F" w:rsidP="002F4E0F">
      <w:pPr>
        <w:ind w:firstLine="708"/>
        <w:rPr>
          <w:rFonts w:asciiTheme="majorHAnsi" w:hAnsiTheme="majorHAnsi"/>
          <w:sz w:val="20"/>
          <w:szCs w:val="20"/>
        </w:rPr>
      </w:pPr>
    </w:p>
    <w:p w:rsidR="002F4E0F" w:rsidRDefault="00B4381B" w:rsidP="00BA2029">
      <w:pPr>
        <w:ind w:firstLine="708"/>
        <w:rPr>
          <w:rFonts w:asciiTheme="majorHAnsi" w:hAnsiTheme="majorHAnsi"/>
          <w:sz w:val="20"/>
          <w:szCs w:val="20"/>
        </w:rPr>
      </w:pPr>
      <w:r w:rsidRPr="00E03510">
        <w:rPr>
          <w:rFonts w:asciiTheme="majorHAnsi" w:hAnsiTheme="majorHAnsi"/>
          <w:sz w:val="20"/>
          <w:szCs w:val="20"/>
        </w:rPr>
        <w:t>Произведена фото фиксация объекта оценки.</w:t>
      </w:r>
      <w:bookmarkStart w:id="43" w:name="_Toc451953123"/>
    </w:p>
    <w:p w:rsidR="00F24431" w:rsidRDefault="00F24431" w:rsidP="00F24431">
      <w:pPr>
        <w:ind w:firstLine="708"/>
        <w:jc w:val="center"/>
        <w:rPr>
          <w:rFonts w:asciiTheme="majorHAnsi" w:hAnsiTheme="majorHAnsi"/>
          <w:sz w:val="20"/>
          <w:szCs w:val="20"/>
        </w:rPr>
      </w:pPr>
    </w:p>
    <w:p w:rsidR="00AE075A" w:rsidRDefault="00601157" w:rsidP="00F24431">
      <w:pPr>
        <w:jc w:val="center"/>
        <w:rPr>
          <w:rFonts w:asciiTheme="majorHAnsi" w:hAnsiTheme="majorHAnsi"/>
          <w:sz w:val="20"/>
          <w:szCs w:val="20"/>
        </w:rPr>
      </w:pPr>
      <w:r>
        <w:rPr>
          <w:rFonts w:asciiTheme="majorHAnsi" w:hAnsiTheme="majorHAnsi"/>
          <w:noProof/>
          <w:sz w:val="20"/>
          <w:szCs w:val="20"/>
        </w:rPr>
        <w:drawing>
          <wp:inline distT="0" distB="0" distL="0" distR="0" wp14:anchorId="4B41D7AB" wp14:editId="37FBA1C6">
            <wp:extent cx="2876550" cy="1619250"/>
            <wp:effectExtent l="0" t="0" r="0" b="0"/>
            <wp:docPr id="228" name="Рисунок 1" descr="DSC_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53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F24431">
        <w:rPr>
          <w:rFonts w:asciiTheme="majorHAnsi" w:hAnsiTheme="majorHAnsi"/>
          <w:sz w:val="20"/>
          <w:szCs w:val="20"/>
        </w:rPr>
        <w:t xml:space="preserve">     </w:t>
      </w:r>
      <w:r>
        <w:rPr>
          <w:rFonts w:asciiTheme="majorHAnsi" w:hAnsiTheme="majorHAnsi"/>
          <w:noProof/>
          <w:sz w:val="20"/>
          <w:szCs w:val="20"/>
        </w:rPr>
        <w:drawing>
          <wp:inline distT="0" distB="0" distL="0" distR="0" wp14:anchorId="4B79FCED" wp14:editId="21E8DB54">
            <wp:extent cx="2876550" cy="1619250"/>
            <wp:effectExtent l="0" t="0" r="0" b="0"/>
            <wp:docPr id="227" name="Рисунок 2" descr="DSC_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53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F24431" w:rsidRDefault="00F24431" w:rsidP="00F24431">
      <w:pPr>
        <w:jc w:val="center"/>
        <w:rPr>
          <w:rFonts w:asciiTheme="majorHAnsi" w:hAnsiTheme="majorHAnsi"/>
          <w:sz w:val="20"/>
          <w:szCs w:val="20"/>
        </w:rPr>
      </w:pPr>
    </w:p>
    <w:p w:rsidR="00F24431" w:rsidRDefault="00601157" w:rsidP="00F24431">
      <w:pPr>
        <w:jc w:val="center"/>
        <w:rPr>
          <w:rFonts w:asciiTheme="majorHAnsi" w:hAnsiTheme="majorHAnsi"/>
          <w:sz w:val="20"/>
          <w:szCs w:val="20"/>
        </w:rPr>
      </w:pPr>
      <w:r>
        <w:rPr>
          <w:rFonts w:asciiTheme="majorHAnsi" w:hAnsiTheme="majorHAnsi"/>
          <w:noProof/>
          <w:sz w:val="20"/>
          <w:szCs w:val="20"/>
        </w:rPr>
        <w:drawing>
          <wp:inline distT="0" distB="0" distL="0" distR="0" wp14:anchorId="7D32E713" wp14:editId="24D7C1A2">
            <wp:extent cx="2876550" cy="1619250"/>
            <wp:effectExtent l="0" t="0" r="0" b="0"/>
            <wp:docPr id="226" name="Рисунок 3" descr="DSC_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53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F24431">
        <w:rPr>
          <w:rFonts w:asciiTheme="majorHAnsi" w:hAnsiTheme="majorHAnsi"/>
          <w:sz w:val="20"/>
          <w:szCs w:val="20"/>
        </w:rPr>
        <w:t xml:space="preserve">     </w:t>
      </w:r>
      <w:r>
        <w:rPr>
          <w:rFonts w:asciiTheme="majorHAnsi" w:hAnsiTheme="majorHAnsi"/>
          <w:noProof/>
          <w:sz w:val="20"/>
          <w:szCs w:val="20"/>
        </w:rPr>
        <w:drawing>
          <wp:inline distT="0" distB="0" distL="0" distR="0" wp14:anchorId="042C35E7" wp14:editId="2F1C8E6D">
            <wp:extent cx="2876550" cy="1619250"/>
            <wp:effectExtent l="0" t="0" r="0" b="0"/>
            <wp:docPr id="225" name="Рисунок 4" descr="DSC_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54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E56B1C" w:rsidRDefault="00E56B1C" w:rsidP="00E56B1C">
      <w:pPr>
        <w:jc w:val="center"/>
        <w:rPr>
          <w:rFonts w:asciiTheme="majorHAnsi" w:hAnsiTheme="majorHAnsi"/>
          <w:sz w:val="20"/>
          <w:szCs w:val="20"/>
        </w:rPr>
      </w:pPr>
    </w:p>
    <w:p w:rsidR="00F24431"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7590A537" wp14:editId="491F22F8">
            <wp:extent cx="2876550" cy="1619250"/>
            <wp:effectExtent l="0" t="0" r="0" b="0"/>
            <wp:docPr id="224" name="Рисунок 5" descr="DSC_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54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F24431">
        <w:rPr>
          <w:rFonts w:asciiTheme="majorHAnsi" w:hAnsiTheme="majorHAnsi"/>
          <w:sz w:val="20"/>
          <w:szCs w:val="20"/>
        </w:rPr>
        <w:t xml:space="preserve">     </w:t>
      </w:r>
      <w:r>
        <w:rPr>
          <w:rFonts w:asciiTheme="majorHAnsi" w:hAnsiTheme="majorHAnsi"/>
          <w:noProof/>
          <w:sz w:val="20"/>
          <w:szCs w:val="20"/>
        </w:rPr>
        <w:drawing>
          <wp:inline distT="0" distB="0" distL="0" distR="0" wp14:anchorId="4A8D64D3" wp14:editId="2D61DF99">
            <wp:extent cx="2876550" cy="1619250"/>
            <wp:effectExtent l="0" t="0" r="0" b="0"/>
            <wp:docPr id="223" name="Рисунок 6" descr="DSC_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054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F24431">
        <w:rPr>
          <w:rFonts w:asciiTheme="majorHAnsi" w:hAnsiTheme="majorHAnsi"/>
          <w:sz w:val="20"/>
          <w:szCs w:val="20"/>
        </w:rPr>
        <w:t xml:space="preserve">  </w:t>
      </w:r>
    </w:p>
    <w:p w:rsidR="00E56B1C" w:rsidRDefault="00E56B1C" w:rsidP="00E56B1C">
      <w:pPr>
        <w:jc w:val="center"/>
        <w:rPr>
          <w:rFonts w:asciiTheme="majorHAnsi" w:hAnsiTheme="majorHAnsi"/>
          <w:sz w:val="20"/>
          <w:szCs w:val="20"/>
        </w:rPr>
      </w:pPr>
      <w:r>
        <w:rPr>
          <w:rFonts w:asciiTheme="majorHAnsi" w:hAnsiTheme="majorHAnsi"/>
          <w:sz w:val="20"/>
          <w:szCs w:val="20"/>
        </w:rPr>
        <w:t xml:space="preserve">     </w:t>
      </w:r>
    </w:p>
    <w:p w:rsidR="00F24431"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1ECBCE78" wp14:editId="0BBC9BED">
            <wp:extent cx="2876550" cy="1619250"/>
            <wp:effectExtent l="0" t="0" r="0" b="0"/>
            <wp:docPr id="222" name="Рисунок 7" descr="DSC_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054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F24431">
        <w:rPr>
          <w:rFonts w:asciiTheme="majorHAnsi" w:hAnsiTheme="majorHAnsi"/>
          <w:sz w:val="20"/>
          <w:szCs w:val="20"/>
        </w:rPr>
        <w:t xml:space="preserve">     </w:t>
      </w:r>
      <w:r>
        <w:rPr>
          <w:rFonts w:asciiTheme="majorHAnsi" w:hAnsiTheme="majorHAnsi"/>
          <w:noProof/>
          <w:sz w:val="20"/>
          <w:szCs w:val="20"/>
        </w:rPr>
        <w:drawing>
          <wp:inline distT="0" distB="0" distL="0" distR="0" wp14:anchorId="5DB68DC4" wp14:editId="3F697AA9">
            <wp:extent cx="2876550" cy="1619250"/>
            <wp:effectExtent l="0" t="0" r="0" b="0"/>
            <wp:docPr id="221" name="Рисунок 8" descr="DSC_0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054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5A5867" w:rsidRDefault="005A5867" w:rsidP="00E56B1C">
      <w:pPr>
        <w:jc w:val="center"/>
        <w:rPr>
          <w:rFonts w:asciiTheme="majorHAnsi" w:hAnsiTheme="majorHAnsi"/>
          <w:sz w:val="20"/>
          <w:szCs w:val="20"/>
        </w:rPr>
      </w:pPr>
    </w:p>
    <w:p w:rsidR="005A5867" w:rsidRDefault="005A5867" w:rsidP="00E56B1C">
      <w:pPr>
        <w:jc w:val="center"/>
        <w:rPr>
          <w:rFonts w:asciiTheme="majorHAnsi" w:hAnsiTheme="majorHAnsi"/>
          <w:sz w:val="20"/>
          <w:szCs w:val="20"/>
        </w:rPr>
      </w:pPr>
    </w:p>
    <w:p w:rsidR="00F24431"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4C9372CC" wp14:editId="4FA7C7F0">
            <wp:extent cx="2876550" cy="1619250"/>
            <wp:effectExtent l="0" t="0" r="0" b="0"/>
            <wp:docPr id="220" name="Рисунок 9" descr="DSC_0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054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C713EA">
        <w:rPr>
          <w:rFonts w:asciiTheme="majorHAnsi" w:hAnsiTheme="majorHAnsi"/>
          <w:sz w:val="20"/>
          <w:szCs w:val="20"/>
        </w:rPr>
        <w:t xml:space="preserve">     </w:t>
      </w:r>
      <w:r>
        <w:rPr>
          <w:rFonts w:asciiTheme="majorHAnsi" w:hAnsiTheme="majorHAnsi"/>
          <w:noProof/>
          <w:sz w:val="20"/>
          <w:szCs w:val="20"/>
        </w:rPr>
        <w:drawing>
          <wp:inline distT="0" distB="0" distL="0" distR="0" wp14:anchorId="72AE1521" wp14:editId="1B6D961E">
            <wp:extent cx="2876550" cy="1619250"/>
            <wp:effectExtent l="0" t="0" r="0" b="0"/>
            <wp:docPr id="219" name="Рисунок 10" descr="DSC_0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_054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C713EA" w:rsidRDefault="00C713EA" w:rsidP="00E56B1C">
      <w:pPr>
        <w:jc w:val="center"/>
        <w:rPr>
          <w:rFonts w:asciiTheme="majorHAnsi" w:hAnsiTheme="majorHAnsi"/>
          <w:sz w:val="20"/>
          <w:szCs w:val="20"/>
        </w:rPr>
      </w:pPr>
    </w:p>
    <w:p w:rsidR="00C713EA"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5624AB94" wp14:editId="57D72CD3">
            <wp:extent cx="2876550" cy="1619250"/>
            <wp:effectExtent l="0" t="0" r="0" b="0"/>
            <wp:docPr id="218" name="Рисунок 11" descr="DSC_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_055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C713EA">
        <w:rPr>
          <w:rFonts w:asciiTheme="majorHAnsi" w:hAnsiTheme="majorHAnsi"/>
          <w:sz w:val="20"/>
          <w:szCs w:val="20"/>
        </w:rPr>
        <w:t xml:space="preserve">     </w:t>
      </w:r>
      <w:r>
        <w:rPr>
          <w:rFonts w:asciiTheme="majorHAnsi" w:hAnsiTheme="majorHAnsi"/>
          <w:noProof/>
          <w:sz w:val="20"/>
          <w:szCs w:val="20"/>
        </w:rPr>
        <w:drawing>
          <wp:inline distT="0" distB="0" distL="0" distR="0" wp14:anchorId="74DF6F3E" wp14:editId="3ABBA080">
            <wp:extent cx="2876550" cy="1619250"/>
            <wp:effectExtent l="0" t="0" r="0" b="0"/>
            <wp:docPr id="217" name="Рисунок 12" descr="DSC_0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_055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C713EA" w:rsidRDefault="00C713EA" w:rsidP="00E56B1C">
      <w:pPr>
        <w:jc w:val="center"/>
        <w:rPr>
          <w:rFonts w:asciiTheme="majorHAnsi" w:hAnsiTheme="majorHAnsi"/>
          <w:sz w:val="20"/>
          <w:szCs w:val="20"/>
        </w:rPr>
      </w:pPr>
    </w:p>
    <w:p w:rsidR="00C713EA"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4B091575" wp14:editId="368903DE">
            <wp:extent cx="2876550" cy="1619250"/>
            <wp:effectExtent l="0" t="0" r="0" b="0"/>
            <wp:docPr id="216" name="Рисунок 13" descr="DSC_0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_055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C713EA">
        <w:rPr>
          <w:rFonts w:asciiTheme="majorHAnsi" w:hAnsiTheme="majorHAnsi"/>
          <w:sz w:val="20"/>
          <w:szCs w:val="20"/>
        </w:rPr>
        <w:t xml:space="preserve">     </w:t>
      </w:r>
      <w:r>
        <w:rPr>
          <w:rFonts w:asciiTheme="majorHAnsi" w:hAnsiTheme="majorHAnsi"/>
          <w:noProof/>
          <w:sz w:val="20"/>
          <w:szCs w:val="20"/>
        </w:rPr>
        <w:drawing>
          <wp:inline distT="0" distB="0" distL="0" distR="0" wp14:anchorId="416637BC" wp14:editId="09750A35">
            <wp:extent cx="2876550" cy="1619250"/>
            <wp:effectExtent l="0" t="0" r="0" b="0"/>
            <wp:docPr id="215" name="Рисунок 14" descr="DSC_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_055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C713EA" w:rsidRDefault="00C713EA" w:rsidP="00E56B1C">
      <w:pPr>
        <w:jc w:val="center"/>
        <w:rPr>
          <w:rFonts w:asciiTheme="majorHAnsi" w:hAnsiTheme="majorHAnsi"/>
          <w:sz w:val="20"/>
          <w:szCs w:val="20"/>
        </w:rPr>
      </w:pPr>
    </w:p>
    <w:p w:rsidR="00C713EA"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6A153DBC" wp14:editId="4BEE5520">
            <wp:extent cx="2876550" cy="1619250"/>
            <wp:effectExtent l="0" t="0" r="0" b="0"/>
            <wp:docPr id="214" name="Рисунок 15" descr="DSC_0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_055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C713EA">
        <w:rPr>
          <w:rFonts w:asciiTheme="majorHAnsi" w:hAnsiTheme="majorHAnsi"/>
          <w:sz w:val="20"/>
          <w:szCs w:val="20"/>
        </w:rPr>
        <w:t xml:space="preserve">     </w:t>
      </w:r>
      <w:r>
        <w:rPr>
          <w:rFonts w:asciiTheme="majorHAnsi" w:hAnsiTheme="majorHAnsi"/>
          <w:noProof/>
          <w:sz w:val="20"/>
          <w:szCs w:val="20"/>
        </w:rPr>
        <w:drawing>
          <wp:inline distT="0" distB="0" distL="0" distR="0" wp14:anchorId="114481D2" wp14:editId="0C351CED">
            <wp:extent cx="2876550" cy="1619250"/>
            <wp:effectExtent l="0" t="0" r="0" b="0"/>
            <wp:docPr id="213" name="Рисунок 16" descr="DSC_0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_055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5A5867" w:rsidRDefault="005A5867" w:rsidP="00E56B1C">
      <w:pPr>
        <w:jc w:val="center"/>
        <w:rPr>
          <w:rFonts w:asciiTheme="majorHAnsi" w:hAnsiTheme="majorHAnsi"/>
          <w:sz w:val="20"/>
          <w:szCs w:val="20"/>
        </w:rPr>
      </w:pPr>
    </w:p>
    <w:p w:rsidR="005A5867"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6CA35615" wp14:editId="512A675A">
            <wp:extent cx="2876550" cy="1619250"/>
            <wp:effectExtent l="0" t="0" r="0" b="0"/>
            <wp:docPr id="212" name="Рисунок 17" descr="DSC_0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056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5A5867">
        <w:rPr>
          <w:rFonts w:asciiTheme="majorHAnsi" w:hAnsiTheme="majorHAnsi"/>
          <w:sz w:val="20"/>
          <w:szCs w:val="20"/>
        </w:rPr>
        <w:t xml:space="preserve">     </w:t>
      </w:r>
      <w:r>
        <w:rPr>
          <w:rFonts w:asciiTheme="majorHAnsi" w:hAnsiTheme="majorHAnsi"/>
          <w:noProof/>
          <w:sz w:val="20"/>
          <w:szCs w:val="20"/>
        </w:rPr>
        <w:drawing>
          <wp:inline distT="0" distB="0" distL="0" distR="0" wp14:anchorId="62CBCE1F" wp14:editId="3FAF60B7">
            <wp:extent cx="2876550" cy="1619250"/>
            <wp:effectExtent l="0" t="0" r="0" b="0"/>
            <wp:docPr id="211" name="Рисунок 18" descr="DSC_0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_056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5A5867" w:rsidRDefault="005A5867" w:rsidP="00E56B1C">
      <w:pPr>
        <w:jc w:val="center"/>
        <w:rPr>
          <w:rFonts w:asciiTheme="majorHAnsi" w:hAnsiTheme="majorHAnsi"/>
          <w:sz w:val="20"/>
          <w:szCs w:val="20"/>
        </w:rPr>
      </w:pPr>
    </w:p>
    <w:p w:rsidR="005A5867" w:rsidRDefault="005A5867" w:rsidP="00E56B1C">
      <w:pPr>
        <w:jc w:val="center"/>
        <w:rPr>
          <w:rFonts w:asciiTheme="majorHAnsi" w:hAnsiTheme="majorHAnsi"/>
          <w:sz w:val="20"/>
          <w:szCs w:val="20"/>
        </w:rPr>
      </w:pPr>
    </w:p>
    <w:p w:rsidR="005A5867" w:rsidRDefault="005A5867" w:rsidP="00E56B1C">
      <w:pPr>
        <w:jc w:val="center"/>
        <w:rPr>
          <w:rFonts w:asciiTheme="majorHAnsi" w:hAnsiTheme="majorHAnsi"/>
          <w:sz w:val="20"/>
          <w:szCs w:val="20"/>
        </w:rPr>
      </w:pPr>
    </w:p>
    <w:p w:rsidR="005A5867" w:rsidRDefault="005A5867" w:rsidP="00E56B1C">
      <w:pPr>
        <w:jc w:val="center"/>
        <w:rPr>
          <w:rFonts w:asciiTheme="majorHAnsi" w:hAnsiTheme="majorHAnsi"/>
          <w:sz w:val="20"/>
          <w:szCs w:val="20"/>
        </w:rPr>
      </w:pPr>
    </w:p>
    <w:p w:rsidR="005A5867"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461E2412" wp14:editId="0D5AAD58">
            <wp:extent cx="2876550" cy="1619250"/>
            <wp:effectExtent l="0" t="0" r="0" b="0"/>
            <wp:docPr id="210" name="Рисунок 19" descr="DSC_0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_05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5A5867">
        <w:rPr>
          <w:rFonts w:asciiTheme="majorHAnsi" w:hAnsiTheme="majorHAnsi"/>
          <w:sz w:val="20"/>
          <w:szCs w:val="20"/>
        </w:rPr>
        <w:t xml:space="preserve">     </w:t>
      </w:r>
      <w:r>
        <w:rPr>
          <w:rFonts w:asciiTheme="majorHAnsi" w:hAnsiTheme="majorHAnsi"/>
          <w:noProof/>
          <w:sz w:val="20"/>
          <w:szCs w:val="20"/>
        </w:rPr>
        <w:drawing>
          <wp:inline distT="0" distB="0" distL="0" distR="0" wp14:anchorId="6AB8C489" wp14:editId="4D58A51E">
            <wp:extent cx="2876550" cy="1619250"/>
            <wp:effectExtent l="0" t="0" r="0" b="0"/>
            <wp:docPr id="209" name="Рисунок 20" descr="DSC_0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_05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5A5867" w:rsidRDefault="005A5867" w:rsidP="00E56B1C">
      <w:pPr>
        <w:jc w:val="center"/>
        <w:rPr>
          <w:rFonts w:asciiTheme="majorHAnsi" w:hAnsiTheme="majorHAnsi"/>
          <w:sz w:val="20"/>
          <w:szCs w:val="20"/>
        </w:rPr>
      </w:pPr>
    </w:p>
    <w:p w:rsidR="005A5867"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5CC35892" wp14:editId="4D29CFBA">
            <wp:extent cx="2876550" cy="1619250"/>
            <wp:effectExtent l="0" t="0" r="0" b="0"/>
            <wp:docPr id="208" name="Рисунок 21" descr="DSC_0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056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5A5867">
        <w:rPr>
          <w:rFonts w:asciiTheme="majorHAnsi" w:hAnsiTheme="majorHAnsi"/>
          <w:sz w:val="20"/>
          <w:szCs w:val="20"/>
        </w:rPr>
        <w:t xml:space="preserve">     </w:t>
      </w:r>
      <w:r>
        <w:rPr>
          <w:rFonts w:asciiTheme="majorHAnsi" w:hAnsiTheme="majorHAnsi"/>
          <w:noProof/>
          <w:sz w:val="20"/>
          <w:szCs w:val="20"/>
        </w:rPr>
        <w:drawing>
          <wp:inline distT="0" distB="0" distL="0" distR="0" wp14:anchorId="5812E19E" wp14:editId="67665C70">
            <wp:extent cx="2876550" cy="1619250"/>
            <wp:effectExtent l="0" t="0" r="0" b="0"/>
            <wp:docPr id="207" name="Рисунок 22" descr="DSC_0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056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5A5867" w:rsidRDefault="005A5867" w:rsidP="00E56B1C">
      <w:pPr>
        <w:jc w:val="center"/>
        <w:rPr>
          <w:rFonts w:asciiTheme="majorHAnsi" w:hAnsiTheme="majorHAnsi"/>
          <w:sz w:val="20"/>
          <w:szCs w:val="20"/>
        </w:rPr>
      </w:pPr>
    </w:p>
    <w:p w:rsidR="005A5867"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5CF5200F" wp14:editId="42DBC474">
            <wp:extent cx="2876550" cy="1619250"/>
            <wp:effectExtent l="0" t="0" r="0" b="0"/>
            <wp:docPr id="206" name="Рисунок 23" descr="DSC_0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_056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5A5867">
        <w:rPr>
          <w:rFonts w:asciiTheme="majorHAnsi" w:hAnsiTheme="majorHAnsi"/>
          <w:sz w:val="20"/>
          <w:szCs w:val="20"/>
        </w:rPr>
        <w:t xml:space="preserve">     </w:t>
      </w:r>
      <w:r>
        <w:rPr>
          <w:rFonts w:asciiTheme="majorHAnsi" w:hAnsiTheme="majorHAnsi"/>
          <w:noProof/>
          <w:sz w:val="20"/>
          <w:szCs w:val="20"/>
        </w:rPr>
        <w:drawing>
          <wp:inline distT="0" distB="0" distL="0" distR="0" wp14:anchorId="040C6A4A" wp14:editId="6B564BAF">
            <wp:extent cx="2876550" cy="1619250"/>
            <wp:effectExtent l="0" t="0" r="0" b="0"/>
            <wp:docPr id="205" name="Рисунок 24" descr="DSC_0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056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5A5867" w:rsidRDefault="005A5867" w:rsidP="00E56B1C">
      <w:pPr>
        <w:jc w:val="center"/>
        <w:rPr>
          <w:rFonts w:asciiTheme="majorHAnsi" w:hAnsiTheme="majorHAnsi"/>
          <w:sz w:val="20"/>
          <w:szCs w:val="20"/>
        </w:rPr>
      </w:pPr>
    </w:p>
    <w:p w:rsidR="005A5867"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68A25841" wp14:editId="3720B42B">
            <wp:extent cx="2876550" cy="1619250"/>
            <wp:effectExtent l="0" t="0" r="0" b="0"/>
            <wp:docPr id="204" name="Рисунок 25" descr="DSC_0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_057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5A5867">
        <w:rPr>
          <w:rFonts w:asciiTheme="majorHAnsi" w:hAnsiTheme="majorHAnsi"/>
          <w:sz w:val="20"/>
          <w:szCs w:val="20"/>
        </w:rPr>
        <w:t xml:space="preserve">     </w:t>
      </w:r>
      <w:r>
        <w:rPr>
          <w:rFonts w:asciiTheme="majorHAnsi" w:hAnsiTheme="majorHAnsi"/>
          <w:noProof/>
          <w:sz w:val="20"/>
          <w:szCs w:val="20"/>
        </w:rPr>
        <w:drawing>
          <wp:inline distT="0" distB="0" distL="0" distR="0" wp14:anchorId="7CACA770" wp14:editId="06A08161">
            <wp:extent cx="2876550" cy="1619250"/>
            <wp:effectExtent l="0" t="0" r="0" b="0"/>
            <wp:docPr id="203" name="Рисунок 26" descr="DSC_0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_057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5A5867" w:rsidRDefault="005A5867" w:rsidP="00E56B1C">
      <w:pPr>
        <w:jc w:val="center"/>
        <w:rPr>
          <w:rFonts w:asciiTheme="majorHAnsi" w:hAnsiTheme="majorHAnsi"/>
          <w:sz w:val="20"/>
          <w:szCs w:val="20"/>
        </w:rPr>
      </w:pPr>
    </w:p>
    <w:p w:rsidR="005A5867"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56902C4C" wp14:editId="74003314">
            <wp:extent cx="2876550" cy="1619250"/>
            <wp:effectExtent l="0" t="0" r="0" b="0"/>
            <wp:docPr id="202" name="Рисунок 27" descr="DSC_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_057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5A5867">
        <w:rPr>
          <w:rFonts w:asciiTheme="majorHAnsi" w:hAnsiTheme="majorHAnsi"/>
          <w:sz w:val="20"/>
          <w:szCs w:val="20"/>
        </w:rPr>
        <w:t xml:space="preserve">     </w:t>
      </w:r>
      <w:r>
        <w:rPr>
          <w:rFonts w:asciiTheme="majorHAnsi" w:hAnsiTheme="majorHAnsi"/>
          <w:noProof/>
          <w:sz w:val="20"/>
          <w:szCs w:val="20"/>
        </w:rPr>
        <w:drawing>
          <wp:inline distT="0" distB="0" distL="0" distR="0" wp14:anchorId="46B46D71" wp14:editId="12D7668A">
            <wp:extent cx="2876550" cy="1619250"/>
            <wp:effectExtent l="0" t="0" r="0" b="0"/>
            <wp:docPr id="201" name="Рисунок 28" descr="DSC_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_057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5A5867" w:rsidRDefault="005A5867" w:rsidP="00E56B1C">
      <w:pPr>
        <w:jc w:val="center"/>
        <w:rPr>
          <w:rFonts w:asciiTheme="majorHAnsi" w:hAnsiTheme="majorHAnsi"/>
          <w:sz w:val="20"/>
          <w:szCs w:val="20"/>
        </w:rPr>
      </w:pPr>
    </w:p>
    <w:p w:rsidR="005A5867" w:rsidRDefault="005A5867" w:rsidP="00E56B1C">
      <w:pPr>
        <w:jc w:val="center"/>
        <w:rPr>
          <w:rFonts w:asciiTheme="majorHAnsi" w:hAnsiTheme="majorHAnsi"/>
          <w:sz w:val="20"/>
          <w:szCs w:val="20"/>
        </w:rPr>
      </w:pPr>
    </w:p>
    <w:p w:rsidR="005A5867" w:rsidRDefault="005A5867" w:rsidP="00E56B1C">
      <w:pPr>
        <w:jc w:val="center"/>
        <w:rPr>
          <w:rFonts w:asciiTheme="majorHAnsi" w:hAnsiTheme="majorHAnsi"/>
          <w:sz w:val="20"/>
          <w:szCs w:val="20"/>
        </w:rPr>
      </w:pPr>
    </w:p>
    <w:p w:rsidR="005A5867" w:rsidRDefault="005A5867" w:rsidP="00E56B1C">
      <w:pPr>
        <w:jc w:val="center"/>
        <w:rPr>
          <w:rFonts w:asciiTheme="majorHAnsi" w:hAnsiTheme="majorHAnsi"/>
          <w:sz w:val="20"/>
          <w:szCs w:val="20"/>
        </w:rPr>
      </w:pPr>
    </w:p>
    <w:p w:rsidR="005A5867"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6C85717B" wp14:editId="565F621C">
            <wp:extent cx="2876550" cy="1619250"/>
            <wp:effectExtent l="0" t="0" r="0" b="0"/>
            <wp:docPr id="200" name="Рисунок 29" descr="DSC_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_057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5A5867">
        <w:rPr>
          <w:rFonts w:asciiTheme="majorHAnsi" w:hAnsiTheme="majorHAnsi"/>
          <w:sz w:val="20"/>
          <w:szCs w:val="20"/>
        </w:rPr>
        <w:t xml:space="preserve">     </w:t>
      </w:r>
      <w:r>
        <w:rPr>
          <w:rFonts w:asciiTheme="majorHAnsi" w:hAnsiTheme="majorHAnsi"/>
          <w:noProof/>
          <w:sz w:val="20"/>
          <w:szCs w:val="20"/>
        </w:rPr>
        <w:drawing>
          <wp:inline distT="0" distB="0" distL="0" distR="0" wp14:anchorId="2443B1B4" wp14:editId="5404FE96">
            <wp:extent cx="2876550" cy="1619250"/>
            <wp:effectExtent l="0" t="0" r="0" b="0"/>
            <wp:docPr id="199" name="Рисунок 30" descr="DSC_0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_058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5A5867" w:rsidRDefault="005A5867" w:rsidP="00E56B1C">
      <w:pPr>
        <w:jc w:val="center"/>
        <w:rPr>
          <w:rFonts w:asciiTheme="majorHAnsi" w:hAnsiTheme="majorHAnsi"/>
          <w:sz w:val="20"/>
          <w:szCs w:val="20"/>
        </w:rPr>
      </w:pPr>
    </w:p>
    <w:p w:rsidR="005A5867"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5EA7A32C" wp14:editId="602BB14A">
            <wp:extent cx="2876550" cy="1619250"/>
            <wp:effectExtent l="0" t="0" r="0" b="0"/>
            <wp:docPr id="198" name="Рисунок 31" descr="DSC_0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_058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5A5867">
        <w:rPr>
          <w:rFonts w:asciiTheme="majorHAnsi" w:hAnsiTheme="majorHAnsi"/>
          <w:sz w:val="20"/>
          <w:szCs w:val="20"/>
        </w:rPr>
        <w:t xml:space="preserve">     </w:t>
      </w:r>
      <w:r>
        <w:rPr>
          <w:rFonts w:asciiTheme="majorHAnsi" w:hAnsiTheme="majorHAnsi"/>
          <w:noProof/>
          <w:sz w:val="20"/>
          <w:szCs w:val="20"/>
        </w:rPr>
        <w:drawing>
          <wp:inline distT="0" distB="0" distL="0" distR="0" wp14:anchorId="073D49B7" wp14:editId="55419F30">
            <wp:extent cx="2876550" cy="1619250"/>
            <wp:effectExtent l="0" t="0" r="0" b="0"/>
            <wp:docPr id="197" name="Рисунок 32" descr="DSC_0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_058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5A5867" w:rsidRDefault="005A5867" w:rsidP="00E56B1C">
      <w:pPr>
        <w:jc w:val="center"/>
        <w:rPr>
          <w:rFonts w:asciiTheme="majorHAnsi" w:hAnsiTheme="majorHAnsi"/>
          <w:sz w:val="20"/>
          <w:szCs w:val="20"/>
        </w:rPr>
      </w:pPr>
    </w:p>
    <w:p w:rsidR="005A5867"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5184C6A2" wp14:editId="6DC518A7">
            <wp:extent cx="2876550" cy="1619250"/>
            <wp:effectExtent l="0" t="0" r="0" b="0"/>
            <wp:docPr id="196" name="Рисунок 33" descr="DSC_0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_058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5A5867">
        <w:rPr>
          <w:rFonts w:asciiTheme="majorHAnsi" w:hAnsiTheme="majorHAnsi"/>
          <w:sz w:val="20"/>
          <w:szCs w:val="20"/>
        </w:rPr>
        <w:t xml:space="preserve">     </w:t>
      </w:r>
      <w:r>
        <w:rPr>
          <w:rFonts w:asciiTheme="majorHAnsi" w:hAnsiTheme="majorHAnsi"/>
          <w:noProof/>
          <w:sz w:val="20"/>
          <w:szCs w:val="20"/>
        </w:rPr>
        <w:drawing>
          <wp:inline distT="0" distB="0" distL="0" distR="0" wp14:anchorId="3D4FBCC6" wp14:editId="3709C661">
            <wp:extent cx="2876550" cy="1619250"/>
            <wp:effectExtent l="0" t="0" r="0" b="0"/>
            <wp:docPr id="195" name="Рисунок 34" descr="DSC_0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_058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5A5867" w:rsidRDefault="005A5867" w:rsidP="00E56B1C">
      <w:pPr>
        <w:jc w:val="center"/>
        <w:rPr>
          <w:rFonts w:asciiTheme="majorHAnsi" w:hAnsiTheme="majorHAnsi"/>
          <w:sz w:val="20"/>
          <w:szCs w:val="20"/>
        </w:rPr>
      </w:pPr>
    </w:p>
    <w:p w:rsidR="005A5867"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0D0C57E6" wp14:editId="2D94D22C">
            <wp:extent cx="2876550" cy="1619250"/>
            <wp:effectExtent l="0" t="0" r="0" b="0"/>
            <wp:docPr id="194" name="Рисунок 35" descr="DSC_0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_058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5A5867">
        <w:rPr>
          <w:rFonts w:asciiTheme="majorHAnsi" w:hAnsiTheme="majorHAnsi"/>
          <w:sz w:val="20"/>
          <w:szCs w:val="20"/>
        </w:rPr>
        <w:t xml:space="preserve">     </w:t>
      </w:r>
      <w:r>
        <w:rPr>
          <w:rFonts w:asciiTheme="majorHAnsi" w:hAnsiTheme="majorHAnsi"/>
          <w:noProof/>
          <w:sz w:val="20"/>
          <w:szCs w:val="20"/>
        </w:rPr>
        <w:drawing>
          <wp:inline distT="0" distB="0" distL="0" distR="0" wp14:anchorId="414F9DA1" wp14:editId="265EF372">
            <wp:extent cx="2876550" cy="1619250"/>
            <wp:effectExtent l="0" t="0" r="0" b="0"/>
            <wp:docPr id="193" name="Рисунок 36" descr="DSC_0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_058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5A5867" w:rsidRDefault="005A5867" w:rsidP="00E56B1C">
      <w:pPr>
        <w:jc w:val="center"/>
        <w:rPr>
          <w:rFonts w:asciiTheme="majorHAnsi" w:hAnsiTheme="majorHAnsi"/>
          <w:sz w:val="20"/>
          <w:szCs w:val="20"/>
        </w:rPr>
      </w:pPr>
    </w:p>
    <w:p w:rsidR="005A5867"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23AE1A9B" wp14:editId="693F7D01">
            <wp:extent cx="2876550" cy="1619250"/>
            <wp:effectExtent l="0" t="0" r="0" b="0"/>
            <wp:docPr id="192" name="Рисунок 37" descr="DSC_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_059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r w:rsidR="005A5867">
        <w:rPr>
          <w:rFonts w:asciiTheme="majorHAnsi" w:hAnsiTheme="majorHAnsi"/>
          <w:sz w:val="20"/>
          <w:szCs w:val="20"/>
        </w:rPr>
        <w:t xml:space="preserve">    </w:t>
      </w:r>
      <w:r>
        <w:rPr>
          <w:rFonts w:asciiTheme="majorHAnsi" w:hAnsiTheme="majorHAnsi"/>
          <w:noProof/>
          <w:sz w:val="20"/>
          <w:szCs w:val="20"/>
        </w:rPr>
        <w:drawing>
          <wp:inline distT="0" distB="0" distL="0" distR="0" wp14:anchorId="43AB8141" wp14:editId="258A780D">
            <wp:extent cx="2876550" cy="1619250"/>
            <wp:effectExtent l="0" t="0" r="0" b="0"/>
            <wp:docPr id="191" name="Рисунок 38" descr="DSC_0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_059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5A5867" w:rsidRDefault="005A5867" w:rsidP="00E56B1C">
      <w:pPr>
        <w:jc w:val="center"/>
        <w:rPr>
          <w:rFonts w:asciiTheme="majorHAnsi" w:hAnsiTheme="majorHAnsi"/>
          <w:sz w:val="20"/>
          <w:szCs w:val="20"/>
        </w:rPr>
      </w:pPr>
    </w:p>
    <w:p w:rsidR="005A5867" w:rsidRDefault="005A5867" w:rsidP="00E56B1C">
      <w:pPr>
        <w:jc w:val="center"/>
        <w:rPr>
          <w:rFonts w:asciiTheme="majorHAnsi" w:hAnsiTheme="majorHAnsi"/>
          <w:sz w:val="20"/>
          <w:szCs w:val="20"/>
        </w:rPr>
      </w:pPr>
    </w:p>
    <w:p w:rsidR="005A5867" w:rsidRDefault="005A5867" w:rsidP="00E56B1C">
      <w:pPr>
        <w:jc w:val="center"/>
        <w:rPr>
          <w:rFonts w:asciiTheme="majorHAnsi" w:hAnsiTheme="majorHAnsi"/>
          <w:sz w:val="20"/>
          <w:szCs w:val="20"/>
        </w:rPr>
      </w:pPr>
    </w:p>
    <w:p w:rsidR="005A5867"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4C2C519B" wp14:editId="5B437AB4">
            <wp:extent cx="2828925" cy="2076450"/>
            <wp:effectExtent l="0" t="0" r="9525" b="0"/>
            <wp:docPr id="190" name="Рисунок 39" descr="DSC_0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_059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28925" cy="2076450"/>
                    </a:xfrm>
                    <a:prstGeom prst="rect">
                      <a:avLst/>
                    </a:prstGeom>
                    <a:noFill/>
                    <a:ln>
                      <a:noFill/>
                    </a:ln>
                  </pic:spPr>
                </pic:pic>
              </a:graphicData>
            </a:graphic>
          </wp:inline>
        </w:drawing>
      </w:r>
      <w:r w:rsidR="005A5867">
        <w:rPr>
          <w:rFonts w:asciiTheme="majorHAnsi" w:hAnsiTheme="majorHAnsi"/>
          <w:sz w:val="20"/>
          <w:szCs w:val="20"/>
        </w:rPr>
        <w:t xml:space="preserve">     </w:t>
      </w:r>
      <w:r>
        <w:rPr>
          <w:rFonts w:asciiTheme="majorHAnsi" w:hAnsiTheme="majorHAnsi"/>
          <w:noProof/>
          <w:sz w:val="20"/>
          <w:szCs w:val="20"/>
        </w:rPr>
        <w:drawing>
          <wp:inline distT="0" distB="0" distL="0" distR="0" wp14:anchorId="46C72B99" wp14:editId="61E06F1C">
            <wp:extent cx="2828925" cy="2076450"/>
            <wp:effectExtent l="0" t="0" r="9525" b="0"/>
            <wp:docPr id="189" name="Рисунок 40" descr="DSC_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_059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28925" cy="2076450"/>
                    </a:xfrm>
                    <a:prstGeom prst="rect">
                      <a:avLst/>
                    </a:prstGeom>
                    <a:noFill/>
                    <a:ln>
                      <a:noFill/>
                    </a:ln>
                  </pic:spPr>
                </pic:pic>
              </a:graphicData>
            </a:graphic>
          </wp:inline>
        </w:drawing>
      </w:r>
    </w:p>
    <w:p w:rsidR="00892150" w:rsidRDefault="00892150" w:rsidP="00E56B1C">
      <w:pPr>
        <w:jc w:val="center"/>
        <w:rPr>
          <w:rFonts w:asciiTheme="majorHAnsi" w:hAnsiTheme="majorHAnsi"/>
          <w:sz w:val="20"/>
          <w:szCs w:val="20"/>
        </w:rPr>
      </w:pPr>
    </w:p>
    <w:p w:rsidR="00892150"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7A137FE7" wp14:editId="591EAEFD">
            <wp:extent cx="2828925" cy="2162175"/>
            <wp:effectExtent l="0" t="0" r="9525" b="9525"/>
            <wp:docPr id="188" name="Рисунок 41" descr="DSC_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_059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28925" cy="2162175"/>
                    </a:xfrm>
                    <a:prstGeom prst="rect">
                      <a:avLst/>
                    </a:prstGeom>
                    <a:noFill/>
                    <a:ln>
                      <a:noFill/>
                    </a:ln>
                  </pic:spPr>
                </pic:pic>
              </a:graphicData>
            </a:graphic>
          </wp:inline>
        </w:drawing>
      </w:r>
      <w:r w:rsidR="00892150">
        <w:rPr>
          <w:rFonts w:asciiTheme="majorHAnsi" w:hAnsiTheme="majorHAnsi"/>
          <w:sz w:val="20"/>
          <w:szCs w:val="20"/>
        </w:rPr>
        <w:t xml:space="preserve">     </w:t>
      </w:r>
      <w:r>
        <w:rPr>
          <w:rFonts w:asciiTheme="majorHAnsi" w:hAnsiTheme="majorHAnsi"/>
          <w:noProof/>
          <w:sz w:val="20"/>
          <w:szCs w:val="20"/>
        </w:rPr>
        <w:drawing>
          <wp:inline distT="0" distB="0" distL="0" distR="0" wp14:anchorId="092BF34F" wp14:editId="7621D78A">
            <wp:extent cx="2847975" cy="2162175"/>
            <wp:effectExtent l="0" t="0" r="9525" b="9525"/>
            <wp:docPr id="187" name="Рисунок 42" descr="DSC_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_059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47975" cy="2162175"/>
                    </a:xfrm>
                    <a:prstGeom prst="rect">
                      <a:avLst/>
                    </a:prstGeom>
                    <a:noFill/>
                    <a:ln>
                      <a:noFill/>
                    </a:ln>
                  </pic:spPr>
                </pic:pic>
              </a:graphicData>
            </a:graphic>
          </wp:inline>
        </w:drawing>
      </w:r>
    </w:p>
    <w:p w:rsidR="00892150" w:rsidRDefault="00892150" w:rsidP="00E56B1C">
      <w:pPr>
        <w:jc w:val="center"/>
        <w:rPr>
          <w:rFonts w:asciiTheme="majorHAnsi" w:hAnsiTheme="majorHAnsi"/>
          <w:sz w:val="20"/>
          <w:szCs w:val="20"/>
        </w:rPr>
      </w:pPr>
    </w:p>
    <w:p w:rsidR="00892150" w:rsidRDefault="00601157" w:rsidP="00E56B1C">
      <w:pPr>
        <w:jc w:val="center"/>
        <w:rPr>
          <w:rFonts w:asciiTheme="majorHAnsi" w:hAnsiTheme="majorHAnsi"/>
          <w:sz w:val="20"/>
          <w:szCs w:val="20"/>
        </w:rPr>
      </w:pPr>
      <w:r>
        <w:rPr>
          <w:rFonts w:asciiTheme="majorHAnsi" w:hAnsiTheme="majorHAnsi"/>
          <w:noProof/>
          <w:sz w:val="20"/>
          <w:szCs w:val="20"/>
        </w:rPr>
        <w:drawing>
          <wp:inline distT="0" distB="0" distL="0" distR="0" wp14:anchorId="0B56D208" wp14:editId="1CC42AFD">
            <wp:extent cx="2857500" cy="2171700"/>
            <wp:effectExtent l="0" t="0" r="0" b="0"/>
            <wp:docPr id="186" name="Рисунок 43" descr="DSC_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_060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57500" cy="2171700"/>
                    </a:xfrm>
                    <a:prstGeom prst="rect">
                      <a:avLst/>
                    </a:prstGeom>
                    <a:noFill/>
                    <a:ln>
                      <a:noFill/>
                    </a:ln>
                  </pic:spPr>
                </pic:pic>
              </a:graphicData>
            </a:graphic>
          </wp:inline>
        </w:drawing>
      </w:r>
      <w:r w:rsidR="00892150">
        <w:rPr>
          <w:rFonts w:asciiTheme="majorHAnsi" w:hAnsiTheme="majorHAnsi"/>
          <w:sz w:val="20"/>
          <w:szCs w:val="20"/>
        </w:rPr>
        <w:t xml:space="preserve">     </w:t>
      </w:r>
      <w:r>
        <w:rPr>
          <w:rFonts w:asciiTheme="majorHAnsi" w:hAnsiTheme="majorHAnsi"/>
          <w:noProof/>
          <w:sz w:val="20"/>
          <w:szCs w:val="20"/>
        </w:rPr>
        <w:drawing>
          <wp:inline distT="0" distB="0" distL="0" distR="0" wp14:anchorId="2CB1FA96" wp14:editId="42E71BB1">
            <wp:extent cx="2876550" cy="2190750"/>
            <wp:effectExtent l="0" t="0" r="0" b="0"/>
            <wp:docPr id="185" name="Рисунок 44" descr="DSC_0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_060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6550" cy="2190750"/>
                    </a:xfrm>
                    <a:prstGeom prst="rect">
                      <a:avLst/>
                    </a:prstGeom>
                    <a:noFill/>
                    <a:ln>
                      <a:noFill/>
                    </a:ln>
                  </pic:spPr>
                </pic:pic>
              </a:graphicData>
            </a:graphic>
          </wp:inline>
        </w:drawing>
      </w:r>
    </w:p>
    <w:p w:rsidR="00892150" w:rsidRDefault="00892150" w:rsidP="00E56B1C">
      <w:pPr>
        <w:jc w:val="center"/>
        <w:rPr>
          <w:rFonts w:asciiTheme="majorHAnsi" w:hAnsiTheme="majorHAnsi"/>
          <w:sz w:val="20"/>
          <w:szCs w:val="20"/>
        </w:rPr>
      </w:pPr>
    </w:p>
    <w:p w:rsidR="00234315" w:rsidRPr="00234315" w:rsidRDefault="00234315" w:rsidP="00892150">
      <w:pPr>
        <w:pStyle w:val="af3"/>
        <w:keepNext/>
        <w:keepLines/>
        <w:numPr>
          <w:ilvl w:val="1"/>
          <w:numId w:val="11"/>
        </w:numPr>
        <w:ind w:left="0" w:firstLine="697"/>
        <w:outlineLvl w:val="1"/>
        <w:rPr>
          <w:rFonts w:asciiTheme="majorHAnsi" w:eastAsiaTheme="majorEastAsia" w:hAnsiTheme="majorHAnsi" w:cstheme="majorBidi"/>
          <w:b/>
          <w:bCs/>
          <w:sz w:val="20"/>
          <w:szCs w:val="20"/>
          <w:lang w:val="ru-RU" w:bidi="ar-SA"/>
        </w:rPr>
      </w:pPr>
      <w:bookmarkStart w:id="44" w:name="_Toc442446514"/>
      <w:bookmarkStart w:id="45" w:name="_Toc491763295"/>
      <w:r w:rsidRPr="00234315">
        <w:rPr>
          <w:rFonts w:asciiTheme="majorHAnsi" w:eastAsiaTheme="majorEastAsia" w:hAnsiTheme="majorHAnsi" w:cstheme="majorBidi"/>
          <w:b/>
          <w:bCs/>
          <w:sz w:val="20"/>
          <w:szCs w:val="20"/>
          <w:lang w:val="ru-RU" w:bidi="ar-SA"/>
        </w:rPr>
        <w:t>Количественные и качественные характеристики объекта оценки, в том числе элементов, расположенных на объекте оценки, которые имеют специфику, влияющую  на результаты оценки объекта оценки, информация о текущем использовании объекта оценки.</w:t>
      </w:r>
      <w:bookmarkEnd w:id="44"/>
      <w:bookmarkEnd w:id="45"/>
    </w:p>
    <w:p w:rsidR="00892150" w:rsidRDefault="00892150" w:rsidP="00892150">
      <w:pPr>
        <w:spacing w:before="120" w:after="120"/>
        <w:ind w:firstLine="709"/>
        <w:jc w:val="both"/>
        <w:rPr>
          <w:rFonts w:asciiTheme="majorHAnsi" w:eastAsiaTheme="minorHAnsi" w:hAnsiTheme="majorHAnsi" w:cstheme="minorBidi"/>
          <w:sz w:val="20"/>
          <w:szCs w:val="22"/>
          <w:lang w:eastAsia="en-US"/>
        </w:rPr>
      </w:pPr>
      <w:r w:rsidRPr="00543B11">
        <w:rPr>
          <w:rFonts w:asciiTheme="majorHAnsi" w:eastAsiaTheme="minorHAnsi" w:hAnsiTheme="majorHAnsi" w:cstheme="minorBidi"/>
          <w:sz w:val="20"/>
          <w:szCs w:val="22"/>
          <w:lang w:eastAsia="en-US"/>
        </w:rPr>
        <w:t>Документы, характеризующие объемно-планировочные характеристики и техническое состояние зданий (технические паспорта):</w:t>
      </w:r>
      <w:r>
        <w:rPr>
          <w:rFonts w:asciiTheme="majorHAnsi" w:eastAsiaTheme="minorHAnsi" w:hAnsiTheme="majorHAnsi" w:cstheme="minorBidi"/>
          <w:sz w:val="20"/>
          <w:szCs w:val="22"/>
          <w:lang w:eastAsia="en-US"/>
        </w:rPr>
        <w:t xml:space="preserve"> </w:t>
      </w:r>
      <w:r w:rsidRPr="00543B11">
        <w:rPr>
          <w:rFonts w:asciiTheme="majorHAnsi" w:eastAsiaTheme="minorHAnsi" w:hAnsiTheme="majorHAnsi" w:cstheme="minorBidi"/>
          <w:sz w:val="20"/>
          <w:szCs w:val="22"/>
          <w:lang w:eastAsia="en-US"/>
        </w:rPr>
        <w:t xml:space="preserve">см.п. </w:t>
      </w:r>
      <w:r>
        <w:rPr>
          <w:rFonts w:asciiTheme="majorHAnsi" w:eastAsiaTheme="minorHAnsi" w:hAnsiTheme="majorHAnsi" w:cstheme="minorBidi"/>
          <w:sz w:val="20"/>
          <w:szCs w:val="22"/>
          <w:lang w:eastAsia="en-US"/>
        </w:rPr>
        <w:t>7</w:t>
      </w:r>
      <w:r w:rsidRPr="00543B11">
        <w:rPr>
          <w:rFonts w:asciiTheme="majorHAnsi" w:eastAsiaTheme="minorHAnsi" w:hAnsiTheme="majorHAnsi" w:cstheme="minorBidi"/>
          <w:sz w:val="20"/>
          <w:szCs w:val="22"/>
          <w:lang w:eastAsia="en-US"/>
        </w:rPr>
        <w:t xml:space="preserve"> настоящего Отчета.</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346"/>
        <w:gridCol w:w="1706"/>
        <w:gridCol w:w="1134"/>
        <w:gridCol w:w="562"/>
        <w:gridCol w:w="1134"/>
        <w:gridCol w:w="708"/>
        <w:gridCol w:w="1205"/>
        <w:gridCol w:w="877"/>
        <w:gridCol w:w="1418"/>
        <w:gridCol w:w="475"/>
        <w:gridCol w:w="425"/>
        <w:gridCol w:w="349"/>
      </w:tblGrid>
      <w:tr w:rsidR="00892150" w:rsidRPr="00341263" w:rsidTr="00770A9D">
        <w:trPr>
          <w:trHeight w:val="209"/>
          <w:jc w:val="center"/>
        </w:trPr>
        <w:tc>
          <w:tcPr>
            <w:tcW w:w="346" w:type="dxa"/>
            <w:vMerge w:val="restart"/>
            <w:shd w:val="clear" w:color="000000" w:fill="F2F2F2"/>
            <w:vAlign w:val="center"/>
            <w:hideMark/>
          </w:tcPr>
          <w:p w:rsidR="00892150" w:rsidRPr="00341263" w:rsidRDefault="00892150" w:rsidP="00892150">
            <w:pPr>
              <w:ind w:left="-93" w:right="-123"/>
              <w:jc w:val="center"/>
              <w:rPr>
                <w:rFonts w:asciiTheme="majorHAnsi" w:hAnsiTheme="majorHAnsi"/>
                <w:b/>
                <w:bCs/>
                <w:color w:val="000000"/>
                <w:sz w:val="18"/>
                <w:szCs w:val="18"/>
              </w:rPr>
            </w:pPr>
            <w:r w:rsidRPr="00341263">
              <w:rPr>
                <w:rFonts w:asciiTheme="majorHAnsi" w:hAnsiTheme="majorHAnsi"/>
                <w:b/>
                <w:bCs/>
                <w:color w:val="000000"/>
                <w:sz w:val="18"/>
                <w:szCs w:val="18"/>
              </w:rPr>
              <w:t>№ п/п</w:t>
            </w:r>
          </w:p>
        </w:tc>
        <w:tc>
          <w:tcPr>
            <w:tcW w:w="1706" w:type="dxa"/>
            <w:vMerge w:val="restart"/>
            <w:shd w:val="clear" w:color="000000" w:fill="F2F2F2"/>
            <w:vAlign w:val="center"/>
            <w:hideMark/>
          </w:tcPr>
          <w:p w:rsidR="00892150" w:rsidRPr="00341263" w:rsidRDefault="00892150" w:rsidP="00892150">
            <w:pPr>
              <w:ind w:left="-93" w:right="-123"/>
              <w:jc w:val="center"/>
              <w:rPr>
                <w:rFonts w:asciiTheme="majorHAnsi" w:hAnsiTheme="majorHAnsi"/>
                <w:b/>
                <w:bCs/>
                <w:color w:val="000000"/>
                <w:sz w:val="18"/>
                <w:szCs w:val="18"/>
              </w:rPr>
            </w:pPr>
            <w:r w:rsidRPr="00341263">
              <w:rPr>
                <w:rFonts w:asciiTheme="majorHAnsi" w:hAnsiTheme="majorHAnsi"/>
                <w:b/>
                <w:bCs/>
                <w:color w:val="000000"/>
                <w:sz w:val="18"/>
                <w:szCs w:val="18"/>
              </w:rPr>
              <w:t>Наименование объекта</w:t>
            </w:r>
          </w:p>
        </w:tc>
        <w:tc>
          <w:tcPr>
            <w:tcW w:w="1134" w:type="dxa"/>
            <w:vMerge w:val="restart"/>
            <w:shd w:val="clear" w:color="000000" w:fill="F2F2F2"/>
            <w:vAlign w:val="center"/>
            <w:hideMark/>
          </w:tcPr>
          <w:p w:rsidR="00892150" w:rsidRDefault="00892150" w:rsidP="00892150">
            <w:pPr>
              <w:ind w:left="-108" w:right="-123"/>
              <w:jc w:val="center"/>
              <w:rPr>
                <w:rFonts w:asciiTheme="majorHAnsi" w:hAnsiTheme="majorHAnsi"/>
                <w:b/>
                <w:bCs/>
                <w:color w:val="000000"/>
                <w:sz w:val="18"/>
                <w:szCs w:val="18"/>
              </w:rPr>
            </w:pPr>
            <w:r w:rsidRPr="00341263">
              <w:rPr>
                <w:rFonts w:asciiTheme="majorHAnsi" w:hAnsiTheme="majorHAnsi"/>
                <w:b/>
                <w:bCs/>
                <w:color w:val="000000"/>
                <w:sz w:val="18"/>
                <w:szCs w:val="18"/>
              </w:rPr>
              <w:t>Функционал</w:t>
            </w:r>
            <w:r>
              <w:rPr>
                <w:rFonts w:asciiTheme="majorHAnsi" w:hAnsiTheme="majorHAnsi"/>
                <w:b/>
                <w:bCs/>
                <w:color w:val="000000"/>
                <w:sz w:val="18"/>
                <w:szCs w:val="18"/>
              </w:rPr>
              <w:t>.</w:t>
            </w:r>
          </w:p>
          <w:p w:rsidR="00892150" w:rsidRPr="00341263" w:rsidRDefault="00892150" w:rsidP="00892150">
            <w:pPr>
              <w:ind w:left="-108" w:right="-123"/>
              <w:jc w:val="center"/>
              <w:rPr>
                <w:rFonts w:asciiTheme="majorHAnsi" w:hAnsiTheme="majorHAnsi"/>
                <w:b/>
                <w:bCs/>
                <w:color w:val="000000"/>
                <w:sz w:val="18"/>
                <w:szCs w:val="18"/>
              </w:rPr>
            </w:pPr>
            <w:r w:rsidRPr="00341263">
              <w:rPr>
                <w:rFonts w:asciiTheme="majorHAnsi" w:hAnsiTheme="majorHAnsi"/>
                <w:b/>
                <w:bCs/>
                <w:color w:val="000000"/>
                <w:sz w:val="18"/>
                <w:szCs w:val="18"/>
              </w:rPr>
              <w:t>на</w:t>
            </w:r>
            <w:r>
              <w:rPr>
                <w:rFonts w:asciiTheme="majorHAnsi" w:hAnsiTheme="majorHAnsi"/>
                <w:b/>
                <w:bCs/>
                <w:color w:val="000000"/>
                <w:sz w:val="18"/>
                <w:szCs w:val="18"/>
              </w:rPr>
              <w:t>зна</w:t>
            </w:r>
            <w:r w:rsidRPr="00341263">
              <w:rPr>
                <w:rFonts w:asciiTheme="majorHAnsi" w:hAnsiTheme="majorHAnsi"/>
                <w:b/>
                <w:bCs/>
                <w:color w:val="000000"/>
                <w:sz w:val="18"/>
                <w:szCs w:val="18"/>
              </w:rPr>
              <w:t>чение</w:t>
            </w:r>
          </w:p>
        </w:tc>
        <w:tc>
          <w:tcPr>
            <w:tcW w:w="562" w:type="dxa"/>
            <w:vMerge w:val="restart"/>
            <w:shd w:val="clear" w:color="000000" w:fill="F2F2F2"/>
            <w:vAlign w:val="center"/>
            <w:hideMark/>
          </w:tcPr>
          <w:p w:rsidR="00892150" w:rsidRPr="00341263" w:rsidRDefault="00892150" w:rsidP="00892150">
            <w:pPr>
              <w:ind w:left="-108" w:right="-123"/>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   Литер</w:t>
            </w:r>
          </w:p>
        </w:tc>
        <w:tc>
          <w:tcPr>
            <w:tcW w:w="1134" w:type="dxa"/>
            <w:vMerge w:val="restart"/>
            <w:shd w:val="clear" w:color="000000" w:fill="F2F2F2"/>
            <w:vAlign w:val="center"/>
            <w:hideMark/>
          </w:tcPr>
          <w:p w:rsidR="00892150" w:rsidRPr="00341263" w:rsidRDefault="00892150" w:rsidP="00892150">
            <w:pPr>
              <w:ind w:left="-108" w:right="-123"/>
              <w:jc w:val="center"/>
              <w:rPr>
                <w:rFonts w:asciiTheme="majorHAnsi" w:hAnsiTheme="majorHAnsi"/>
                <w:b/>
                <w:bCs/>
                <w:color w:val="000000"/>
                <w:sz w:val="18"/>
                <w:szCs w:val="18"/>
              </w:rPr>
            </w:pPr>
            <w:r w:rsidRPr="00341263">
              <w:rPr>
                <w:rFonts w:asciiTheme="majorHAnsi" w:hAnsiTheme="majorHAnsi"/>
                <w:b/>
                <w:bCs/>
                <w:color w:val="000000"/>
                <w:sz w:val="18"/>
                <w:szCs w:val="18"/>
              </w:rPr>
              <w:t>Год постройки</w:t>
            </w:r>
          </w:p>
        </w:tc>
        <w:tc>
          <w:tcPr>
            <w:tcW w:w="708" w:type="dxa"/>
            <w:vMerge w:val="restart"/>
            <w:shd w:val="clear" w:color="000000" w:fill="F2F2F2"/>
            <w:vAlign w:val="center"/>
            <w:hideMark/>
          </w:tcPr>
          <w:p w:rsidR="00892150" w:rsidRPr="00341263" w:rsidRDefault="00892150" w:rsidP="00892150">
            <w:pPr>
              <w:ind w:left="-113" w:right="-123"/>
              <w:jc w:val="center"/>
              <w:rPr>
                <w:rFonts w:asciiTheme="majorHAnsi" w:hAnsiTheme="majorHAnsi"/>
                <w:b/>
                <w:bCs/>
                <w:color w:val="000000"/>
                <w:sz w:val="18"/>
                <w:szCs w:val="18"/>
              </w:rPr>
            </w:pPr>
            <w:r w:rsidRPr="00341263">
              <w:rPr>
                <w:rFonts w:asciiTheme="majorHAnsi" w:hAnsiTheme="majorHAnsi"/>
                <w:b/>
                <w:bCs/>
                <w:color w:val="000000"/>
                <w:sz w:val="18"/>
                <w:szCs w:val="18"/>
              </w:rPr>
              <w:t>Группа кап-ти</w:t>
            </w:r>
          </w:p>
        </w:tc>
        <w:tc>
          <w:tcPr>
            <w:tcW w:w="1205" w:type="dxa"/>
            <w:vMerge w:val="restart"/>
            <w:shd w:val="clear" w:color="000000" w:fill="F2F2F2"/>
            <w:vAlign w:val="center"/>
            <w:hideMark/>
          </w:tcPr>
          <w:p w:rsidR="00892150" w:rsidRPr="00341263" w:rsidRDefault="00892150" w:rsidP="00892150">
            <w:pPr>
              <w:ind w:left="-178" w:right="-123"/>
              <w:jc w:val="center"/>
              <w:rPr>
                <w:rFonts w:asciiTheme="majorHAnsi" w:hAnsiTheme="majorHAnsi"/>
                <w:b/>
                <w:bCs/>
                <w:color w:val="000000"/>
                <w:sz w:val="18"/>
                <w:szCs w:val="18"/>
              </w:rPr>
            </w:pPr>
            <w:r w:rsidRPr="00341263">
              <w:rPr>
                <w:rFonts w:asciiTheme="majorHAnsi" w:hAnsiTheme="majorHAnsi"/>
                <w:b/>
                <w:bCs/>
                <w:color w:val="000000"/>
                <w:sz w:val="18"/>
                <w:szCs w:val="18"/>
              </w:rPr>
              <w:t>Дата последнего    капремонта</w:t>
            </w:r>
          </w:p>
        </w:tc>
        <w:tc>
          <w:tcPr>
            <w:tcW w:w="877" w:type="dxa"/>
            <w:vMerge w:val="restart"/>
            <w:shd w:val="clear" w:color="000000" w:fill="F2F2F2"/>
            <w:vAlign w:val="center"/>
            <w:hideMark/>
          </w:tcPr>
          <w:p w:rsidR="00892150" w:rsidRPr="00341263" w:rsidRDefault="00892150" w:rsidP="00892150">
            <w:pPr>
              <w:ind w:left="-108" w:right="-123"/>
              <w:jc w:val="center"/>
              <w:rPr>
                <w:rFonts w:asciiTheme="majorHAnsi" w:hAnsiTheme="majorHAnsi"/>
                <w:b/>
                <w:bCs/>
                <w:color w:val="000000"/>
                <w:sz w:val="18"/>
                <w:szCs w:val="18"/>
              </w:rPr>
            </w:pPr>
            <w:r w:rsidRPr="00341263">
              <w:rPr>
                <w:rFonts w:asciiTheme="majorHAnsi" w:hAnsiTheme="majorHAnsi"/>
                <w:b/>
                <w:bCs/>
                <w:color w:val="000000"/>
                <w:sz w:val="18"/>
                <w:szCs w:val="18"/>
              </w:rPr>
              <w:t>Площадь объекта (кв. м.)</w:t>
            </w:r>
          </w:p>
        </w:tc>
        <w:tc>
          <w:tcPr>
            <w:tcW w:w="1418" w:type="dxa"/>
            <w:vMerge w:val="restart"/>
            <w:shd w:val="clear" w:color="000000" w:fill="F2F2F2"/>
            <w:vAlign w:val="center"/>
            <w:hideMark/>
          </w:tcPr>
          <w:p w:rsidR="00892150" w:rsidRPr="00341263" w:rsidRDefault="00892150" w:rsidP="00892150">
            <w:pPr>
              <w:ind w:left="-93" w:right="-123"/>
              <w:jc w:val="center"/>
              <w:rPr>
                <w:rFonts w:asciiTheme="majorHAnsi" w:hAnsiTheme="majorHAnsi"/>
                <w:b/>
                <w:bCs/>
                <w:color w:val="000000"/>
                <w:sz w:val="18"/>
                <w:szCs w:val="18"/>
              </w:rPr>
            </w:pPr>
            <w:r w:rsidRPr="00341263">
              <w:rPr>
                <w:rFonts w:asciiTheme="majorHAnsi" w:hAnsiTheme="majorHAnsi"/>
                <w:b/>
                <w:bCs/>
                <w:color w:val="000000"/>
                <w:sz w:val="18"/>
                <w:szCs w:val="18"/>
              </w:rPr>
              <w:t>Этаж</w:t>
            </w:r>
            <w:r>
              <w:rPr>
                <w:rFonts w:asciiTheme="majorHAnsi" w:hAnsiTheme="majorHAnsi"/>
                <w:b/>
                <w:bCs/>
                <w:color w:val="000000"/>
                <w:sz w:val="18"/>
                <w:szCs w:val="18"/>
              </w:rPr>
              <w:t>ность</w:t>
            </w:r>
          </w:p>
        </w:tc>
        <w:tc>
          <w:tcPr>
            <w:tcW w:w="1249" w:type="dxa"/>
            <w:gridSpan w:val="3"/>
            <w:shd w:val="clear" w:color="000000" w:fill="F2F2F2"/>
            <w:vAlign w:val="center"/>
            <w:hideMark/>
          </w:tcPr>
          <w:p w:rsidR="00892150" w:rsidRPr="00341263" w:rsidRDefault="00892150" w:rsidP="00892150">
            <w:pPr>
              <w:ind w:left="-93" w:right="-123"/>
              <w:jc w:val="center"/>
              <w:rPr>
                <w:rFonts w:asciiTheme="majorHAnsi" w:hAnsiTheme="majorHAnsi"/>
                <w:b/>
                <w:bCs/>
                <w:color w:val="000000"/>
                <w:sz w:val="18"/>
                <w:szCs w:val="18"/>
              </w:rPr>
            </w:pPr>
            <w:r w:rsidRPr="00341263">
              <w:rPr>
                <w:rFonts w:asciiTheme="majorHAnsi" w:hAnsiTheme="majorHAnsi"/>
                <w:b/>
                <w:bCs/>
                <w:color w:val="000000"/>
                <w:sz w:val="18"/>
                <w:szCs w:val="18"/>
              </w:rPr>
              <w:t>Износ (%)</w:t>
            </w:r>
          </w:p>
        </w:tc>
      </w:tr>
      <w:tr w:rsidR="00892150" w:rsidRPr="00341263" w:rsidTr="00770A9D">
        <w:trPr>
          <w:cantSplit/>
          <w:trHeight w:val="1522"/>
          <w:jc w:val="center"/>
        </w:trPr>
        <w:tc>
          <w:tcPr>
            <w:tcW w:w="346" w:type="dxa"/>
            <w:vMerge/>
            <w:vAlign w:val="center"/>
            <w:hideMark/>
          </w:tcPr>
          <w:p w:rsidR="00892150" w:rsidRPr="00341263" w:rsidRDefault="00892150" w:rsidP="00892150">
            <w:pPr>
              <w:ind w:left="-93" w:right="-123"/>
              <w:jc w:val="center"/>
              <w:rPr>
                <w:rFonts w:asciiTheme="majorHAnsi" w:hAnsiTheme="majorHAnsi"/>
                <w:b/>
                <w:bCs/>
                <w:color w:val="000000"/>
                <w:sz w:val="18"/>
                <w:szCs w:val="18"/>
              </w:rPr>
            </w:pPr>
          </w:p>
        </w:tc>
        <w:tc>
          <w:tcPr>
            <w:tcW w:w="1706" w:type="dxa"/>
            <w:vMerge/>
            <w:vAlign w:val="center"/>
            <w:hideMark/>
          </w:tcPr>
          <w:p w:rsidR="00892150" w:rsidRPr="00341263" w:rsidRDefault="00892150" w:rsidP="00892150">
            <w:pPr>
              <w:ind w:left="-93" w:right="-123"/>
              <w:jc w:val="center"/>
              <w:rPr>
                <w:rFonts w:asciiTheme="majorHAnsi" w:hAnsiTheme="majorHAnsi"/>
                <w:b/>
                <w:bCs/>
                <w:color w:val="000000"/>
                <w:sz w:val="18"/>
                <w:szCs w:val="18"/>
              </w:rPr>
            </w:pPr>
          </w:p>
        </w:tc>
        <w:tc>
          <w:tcPr>
            <w:tcW w:w="1134" w:type="dxa"/>
            <w:vMerge/>
            <w:vAlign w:val="center"/>
            <w:hideMark/>
          </w:tcPr>
          <w:p w:rsidR="00892150" w:rsidRPr="00341263" w:rsidRDefault="00892150" w:rsidP="00892150">
            <w:pPr>
              <w:ind w:left="-93" w:right="-123"/>
              <w:jc w:val="center"/>
              <w:rPr>
                <w:rFonts w:asciiTheme="majorHAnsi" w:hAnsiTheme="majorHAnsi"/>
                <w:b/>
                <w:bCs/>
                <w:color w:val="000000"/>
                <w:sz w:val="18"/>
                <w:szCs w:val="18"/>
              </w:rPr>
            </w:pPr>
          </w:p>
        </w:tc>
        <w:tc>
          <w:tcPr>
            <w:tcW w:w="562" w:type="dxa"/>
            <w:vMerge/>
            <w:vAlign w:val="center"/>
            <w:hideMark/>
          </w:tcPr>
          <w:p w:rsidR="00892150" w:rsidRPr="00341263" w:rsidRDefault="00892150" w:rsidP="00892150">
            <w:pPr>
              <w:ind w:left="-93" w:right="-123"/>
              <w:jc w:val="center"/>
              <w:rPr>
                <w:rFonts w:asciiTheme="majorHAnsi" w:hAnsiTheme="majorHAnsi"/>
                <w:b/>
                <w:bCs/>
                <w:color w:val="000000"/>
                <w:sz w:val="18"/>
                <w:szCs w:val="18"/>
              </w:rPr>
            </w:pPr>
          </w:p>
        </w:tc>
        <w:tc>
          <w:tcPr>
            <w:tcW w:w="1134" w:type="dxa"/>
            <w:vMerge/>
            <w:vAlign w:val="center"/>
            <w:hideMark/>
          </w:tcPr>
          <w:p w:rsidR="00892150" w:rsidRPr="00341263" w:rsidRDefault="00892150" w:rsidP="00892150">
            <w:pPr>
              <w:ind w:left="-93" w:right="-123"/>
              <w:jc w:val="center"/>
              <w:rPr>
                <w:rFonts w:asciiTheme="majorHAnsi" w:hAnsiTheme="majorHAnsi"/>
                <w:b/>
                <w:bCs/>
                <w:color w:val="000000"/>
                <w:sz w:val="18"/>
                <w:szCs w:val="18"/>
              </w:rPr>
            </w:pPr>
          </w:p>
        </w:tc>
        <w:tc>
          <w:tcPr>
            <w:tcW w:w="708" w:type="dxa"/>
            <w:vMerge/>
            <w:vAlign w:val="center"/>
            <w:hideMark/>
          </w:tcPr>
          <w:p w:rsidR="00892150" w:rsidRPr="00341263" w:rsidRDefault="00892150" w:rsidP="00892150">
            <w:pPr>
              <w:ind w:left="-93" w:right="-123"/>
              <w:jc w:val="center"/>
              <w:rPr>
                <w:rFonts w:asciiTheme="majorHAnsi" w:hAnsiTheme="majorHAnsi"/>
                <w:b/>
                <w:bCs/>
                <w:color w:val="000000"/>
                <w:sz w:val="18"/>
                <w:szCs w:val="18"/>
              </w:rPr>
            </w:pPr>
          </w:p>
        </w:tc>
        <w:tc>
          <w:tcPr>
            <w:tcW w:w="1205" w:type="dxa"/>
            <w:vMerge/>
            <w:vAlign w:val="center"/>
            <w:hideMark/>
          </w:tcPr>
          <w:p w:rsidR="00892150" w:rsidRPr="00341263" w:rsidRDefault="00892150" w:rsidP="00892150">
            <w:pPr>
              <w:ind w:left="-178" w:right="-123"/>
              <w:jc w:val="center"/>
              <w:rPr>
                <w:rFonts w:asciiTheme="majorHAnsi" w:hAnsiTheme="majorHAnsi"/>
                <w:b/>
                <w:bCs/>
                <w:color w:val="000000"/>
                <w:sz w:val="18"/>
                <w:szCs w:val="18"/>
              </w:rPr>
            </w:pPr>
          </w:p>
        </w:tc>
        <w:tc>
          <w:tcPr>
            <w:tcW w:w="877" w:type="dxa"/>
            <w:vMerge/>
            <w:vAlign w:val="center"/>
            <w:hideMark/>
          </w:tcPr>
          <w:p w:rsidR="00892150" w:rsidRPr="00341263" w:rsidRDefault="00892150" w:rsidP="00892150">
            <w:pPr>
              <w:ind w:left="-93" w:right="-123"/>
              <w:jc w:val="center"/>
              <w:rPr>
                <w:rFonts w:asciiTheme="majorHAnsi" w:hAnsiTheme="majorHAnsi"/>
                <w:b/>
                <w:bCs/>
                <w:color w:val="000000"/>
                <w:sz w:val="18"/>
                <w:szCs w:val="18"/>
              </w:rPr>
            </w:pPr>
          </w:p>
        </w:tc>
        <w:tc>
          <w:tcPr>
            <w:tcW w:w="1418" w:type="dxa"/>
            <w:vMerge/>
            <w:vAlign w:val="center"/>
            <w:hideMark/>
          </w:tcPr>
          <w:p w:rsidR="00892150" w:rsidRPr="00341263" w:rsidRDefault="00892150" w:rsidP="00892150">
            <w:pPr>
              <w:ind w:left="-93" w:right="-123"/>
              <w:jc w:val="center"/>
              <w:rPr>
                <w:rFonts w:asciiTheme="majorHAnsi" w:hAnsiTheme="majorHAnsi"/>
                <w:b/>
                <w:bCs/>
                <w:color w:val="000000"/>
                <w:sz w:val="18"/>
                <w:szCs w:val="18"/>
              </w:rPr>
            </w:pPr>
          </w:p>
        </w:tc>
        <w:tc>
          <w:tcPr>
            <w:tcW w:w="475" w:type="dxa"/>
            <w:shd w:val="clear" w:color="000000" w:fill="F2F2F2"/>
            <w:textDirection w:val="btLr"/>
            <w:vAlign w:val="center"/>
            <w:hideMark/>
          </w:tcPr>
          <w:p w:rsidR="00892150" w:rsidRPr="00341263" w:rsidRDefault="00892150" w:rsidP="00892150">
            <w:pPr>
              <w:ind w:left="-93" w:right="-123"/>
              <w:jc w:val="center"/>
              <w:rPr>
                <w:rFonts w:asciiTheme="majorHAnsi" w:hAnsiTheme="majorHAnsi"/>
                <w:b/>
                <w:bCs/>
                <w:color w:val="000000"/>
                <w:sz w:val="18"/>
                <w:szCs w:val="18"/>
              </w:rPr>
            </w:pPr>
            <w:r w:rsidRPr="00341263">
              <w:rPr>
                <w:rFonts w:asciiTheme="majorHAnsi" w:hAnsiTheme="majorHAnsi"/>
                <w:b/>
                <w:bCs/>
                <w:color w:val="000000"/>
                <w:sz w:val="18"/>
                <w:szCs w:val="18"/>
              </w:rPr>
              <w:t>Физический</w:t>
            </w:r>
          </w:p>
        </w:tc>
        <w:tc>
          <w:tcPr>
            <w:tcW w:w="425" w:type="dxa"/>
            <w:shd w:val="clear" w:color="000000" w:fill="F2F2F2"/>
            <w:textDirection w:val="btLr"/>
            <w:vAlign w:val="center"/>
            <w:hideMark/>
          </w:tcPr>
          <w:p w:rsidR="00892150" w:rsidRPr="00341263" w:rsidRDefault="00892150" w:rsidP="00892150">
            <w:pPr>
              <w:ind w:left="-93" w:right="-123"/>
              <w:jc w:val="center"/>
              <w:rPr>
                <w:rFonts w:asciiTheme="majorHAnsi" w:hAnsiTheme="majorHAnsi"/>
                <w:b/>
                <w:bCs/>
                <w:color w:val="000000"/>
                <w:sz w:val="18"/>
                <w:szCs w:val="18"/>
              </w:rPr>
            </w:pPr>
            <w:r w:rsidRPr="00341263">
              <w:rPr>
                <w:rFonts w:asciiTheme="majorHAnsi" w:hAnsiTheme="majorHAnsi"/>
                <w:b/>
                <w:bCs/>
                <w:color w:val="000000"/>
                <w:sz w:val="18"/>
                <w:szCs w:val="18"/>
              </w:rPr>
              <w:t>Экономический</w:t>
            </w:r>
          </w:p>
        </w:tc>
        <w:tc>
          <w:tcPr>
            <w:tcW w:w="349" w:type="dxa"/>
            <w:shd w:val="clear" w:color="000000" w:fill="F2F2F2"/>
            <w:textDirection w:val="btLr"/>
            <w:vAlign w:val="center"/>
            <w:hideMark/>
          </w:tcPr>
          <w:p w:rsidR="00892150" w:rsidRPr="00341263" w:rsidRDefault="00892150" w:rsidP="00892150">
            <w:pPr>
              <w:ind w:left="-93" w:right="-123"/>
              <w:jc w:val="center"/>
              <w:rPr>
                <w:rFonts w:asciiTheme="majorHAnsi" w:hAnsiTheme="majorHAnsi"/>
                <w:b/>
                <w:bCs/>
                <w:color w:val="000000"/>
                <w:sz w:val="18"/>
                <w:szCs w:val="18"/>
              </w:rPr>
            </w:pPr>
            <w:r w:rsidRPr="00341263">
              <w:rPr>
                <w:rFonts w:asciiTheme="majorHAnsi" w:hAnsiTheme="majorHAnsi"/>
                <w:b/>
                <w:bCs/>
                <w:color w:val="000000"/>
                <w:sz w:val="18"/>
                <w:szCs w:val="18"/>
              </w:rPr>
              <w:t>Моральный</w:t>
            </w:r>
          </w:p>
        </w:tc>
      </w:tr>
      <w:tr w:rsidR="00892150" w:rsidRPr="00341263" w:rsidTr="00770A9D">
        <w:trPr>
          <w:trHeight w:val="765"/>
          <w:jc w:val="center"/>
        </w:trPr>
        <w:tc>
          <w:tcPr>
            <w:tcW w:w="346" w:type="dxa"/>
            <w:shd w:val="clear" w:color="auto" w:fill="auto"/>
            <w:noWrap/>
            <w:vAlign w:val="center"/>
            <w:hideMark/>
          </w:tcPr>
          <w:p w:rsidR="00892150" w:rsidRPr="00341263" w:rsidRDefault="00892150" w:rsidP="00892150">
            <w:pPr>
              <w:ind w:left="-93" w:right="-123"/>
              <w:jc w:val="center"/>
              <w:rPr>
                <w:rFonts w:asciiTheme="majorHAnsi" w:hAnsiTheme="majorHAnsi"/>
                <w:color w:val="000000"/>
                <w:sz w:val="18"/>
                <w:szCs w:val="18"/>
              </w:rPr>
            </w:pPr>
            <w:r w:rsidRPr="00341263">
              <w:rPr>
                <w:rFonts w:asciiTheme="majorHAnsi" w:hAnsiTheme="majorHAnsi"/>
                <w:color w:val="000000"/>
                <w:sz w:val="18"/>
                <w:szCs w:val="18"/>
              </w:rPr>
              <w:lastRenderedPageBreak/>
              <w:t>1</w:t>
            </w:r>
          </w:p>
        </w:tc>
        <w:tc>
          <w:tcPr>
            <w:tcW w:w="1706" w:type="dxa"/>
            <w:shd w:val="clear" w:color="000000" w:fill="FFFFFF"/>
            <w:vAlign w:val="center"/>
            <w:hideMark/>
          </w:tcPr>
          <w:p w:rsidR="00892150" w:rsidRPr="00341263" w:rsidRDefault="00892150" w:rsidP="00892150">
            <w:pPr>
              <w:ind w:left="-103" w:right="-125"/>
              <w:jc w:val="center"/>
              <w:rPr>
                <w:rFonts w:asciiTheme="majorHAnsi" w:hAnsiTheme="majorHAnsi"/>
                <w:color w:val="000000"/>
                <w:sz w:val="18"/>
                <w:szCs w:val="18"/>
              </w:rPr>
            </w:pPr>
            <w:r w:rsidRPr="00384A1B">
              <w:rPr>
                <w:rFonts w:ascii="Cambria" w:hAnsi="Cambria"/>
                <w:color w:val="000000"/>
                <w:sz w:val="18"/>
                <w:szCs w:val="18"/>
              </w:rPr>
              <w:t>Нежилые строения (Производственный корпус)</w:t>
            </w:r>
          </w:p>
        </w:tc>
        <w:tc>
          <w:tcPr>
            <w:tcW w:w="1134" w:type="dxa"/>
            <w:shd w:val="clear" w:color="000000" w:fill="FFFFFF"/>
            <w:vAlign w:val="center"/>
            <w:hideMark/>
          </w:tcPr>
          <w:p w:rsidR="00892150" w:rsidRPr="00341263" w:rsidRDefault="00892150" w:rsidP="00892150">
            <w:pPr>
              <w:ind w:left="-160" w:right="-123"/>
              <w:jc w:val="center"/>
              <w:rPr>
                <w:rFonts w:asciiTheme="majorHAnsi" w:hAnsiTheme="majorHAnsi"/>
                <w:color w:val="000000"/>
                <w:sz w:val="18"/>
                <w:szCs w:val="18"/>
              </w:rPr>
            </w:pPr>
            <w:r w:rsidRPr="00341263">
              <w:rPr>
                <w:rFonts w:asciiTheme="majorHAnsi" w:hAnsiTheme="majorHAnsi"/>
                <w:color w:val="000000"/>
                <w:sz w:val="18"/>
                <w:szCs w:val="18"/>
              </w:rPr>
              <w:t xml:space="preserve">Нежилое       </w:t>
            </w:r>
          </w:p>
        </w:tc>
        <w:tc>
          <w:tcPr>
            <w:tcW w:w="562" w:type="dxa"/>
            <w:shd w:val="clear" w:color="000000" w:fill="FFFFFF"/>
            <w:noWrap/>
            <w:vAlign w:val="center"/>
            <w:hideMark/>
          </w:tcPr>
          <w:p w:rsidR="00892150" w:rsidRPr="00341263" w:rsidRDefault="00892150" w:rsidP="00892150">
            <w:pPr>
              <w:ind w:left="-93" w:right="-123"/>
              <w:jc w:val="center"/>
              <w:rPr>
                <w:rFonts w:asciiTheme="majorHAnsi" w:hAnsiTheme="majorHAnsi"/>
                <w:color w:val="000000"/>
                <w:sz w:val="18"/>
                <w:szCs w:val="18"/>
              </w:rPr>
            </w:pPr>
            <w:r w:rsidRPr="00341263">
              <w:rPr>
                <w:rFonts w:asciiTheme="majorHAnsi" w:hAnsiTheme="majorHAnsi"/>
                <w:color w:val="000000"/>
                <w:sz w:val="18"/>
                <w:szCs w:val="18"/>
              </w:rPr>
              <w:t>Б</w:t>
            </w:r>
            <w:r>
              <w:rPr>
                <w:rFonts w:asciiTheme="majorHAnsi" w:hAnsiTheme="majorHAnsi"/>
                <w:color w:val="000000"/>
                <w:sz w:val="18"/>
                <w:szCs w:val="18"/>
              </w:rPr>
              <w:t>,б</w:t>
            </w:r>
          </w:p>
        </w:tc>
        <w:tc>
          <w:tcPr>
            <w:tcW w:w="1134" w:type="dxa"/>
            <w:shd w:val="clear" w:color="000000" w:fill="FFFFFF"/>
            <w:vAlign w:val="center"/>
            <w:hideMark/>
          </w:tcPr>
          <w:p w:rsidR="00892150" w:rsidRPr="00341263" w:rsidRDefault="00892150" w:rsidP="00892150">
            <w:pPr>
              <w:ind w:left="-179" w:right="-123"/>
              <w:jc w:val="center"/>
              <w:rPr>
                <w:rFonts w:asciiTheme="majorHAnsi" w:hAnsiTheme="majorHAnsi"/>
                <w:color w:val="000000"/>
                <w:sz w:val="18"/>
                <w:szCs w:val="18"/>
              </w:rPr>
            </w:pPr>
            <w:r w:rsidRPr="00341263">
              <w:rPr>
                <w:rFonts w:asciiTheme="majorHAnsi" w:hAnsiTheme="majorHAnsi"/>
                <w:color w:val="000000"/>
                <w:sz w:val="18"/>
                <w:szCs w:val="18"/>
              </w:rPr>
              <w:t>19</w:t>
            </w:r>
            <w:r>
              <w:rPr>
                <w:rFonts w:asciiTheme="majorHAnsi" w:hAnsiTheme="majorHAnsi"/>
                <w:color w:val="000000"/>
                <w:sz w:val="18"/>
                <w:szCs w:val="18"/>
              </w:rPr>
              <w:t>89</w:t>
            </w:r>
          </w:p>
        </w:tc>
        <w:tc>
          <w:tcPr>
            <w:tcW w:w="708" w:type="dxa"/>
            <w:shd w:val="clear" w:color="000000" w:fill="FFFFFF"/>
            <w:noWrap/>
            <w:vAlign w:val="center"/>
            <w:hideMark/>
          </w:tcPr>
          <w:p w:rsidR="00892150" w:rsidRPr="00341263" w:rsidRDefault="00892150" w:rsidP="00892150">
            <w:pPr>
              <w:ind w:left="-93" w:right="-123"/>
              <w:jc w:val="center"/>
              <w:rPr>
                <w:rFonts w:asciiTheme="majorHAnsi" w:hAnsiTheme="majorHAnsi"/>
                <w:color w:val="000000"/>
                <w:sz w:val="18"/>
                <w:szCs w:val="18"/>
              </w:rPr>
            </w:pPr>
            <w:r w:rsidRPr="00341263">
              <w:rPr>
                <w:rFonts w:asciiTheme="majorHAnsi" w:hAnsiTheme="majorHAnsi"/>
                <w:color w:val="000000"/>
                <w:sz w:val="18"/>
                <w:szCs w:val="18"/>
              </w:rPr>
              <w:t>I</w:t>
            </w:r>
            <w:r w:rsidR="00B2010D" w:rsidRPr="00B2010D">
              <w:rPr>
                <w:rFonts w:asciiTheme="majorHAnsi" w:hAnsiTheme="majorHAnsi"/>
                <w:color w:val="000000"/>
                <w:sz w:val="18"/>
                <w:szCs w:val="18"/>
              </w:rPr>
              <w:t>I</w:t>
            </w:r>
          </w:p>
        </w:tc>
        <w:tc>
          <w:tcPr>
            <w:tcW w:w="1205" w:type="dxa"/>
            <w:shd w:val="clear" w:color="000000" w:fill="FFFFFF"/>
            <w:vAlign w:val="center"/>
            <w:hideMark/>
          </w:tcPr>
          <w:p w:rsidR="00892150" w:rsidRPr="00341263" w:rsidRDefault="00892150" w:rsidP="00892150">
            <w:pPr>
              <w:ind w:left="-178" w:right="-123"/>
              <w:jc w:val="center"/>
              <w:rPr>
                <w:rFonts w:asciiTheme="majorHAnsi" w:hAnsiTheme="majorHAnsi"/>
                <w:color w:val="000000"/>
                <w:sz w:val="18"/>
                <w:szCs w:val="18"/>
              </w:rPr>
            </w:pPr>
            <w:r w:rsidRPr="00341263">
              <w:rPr>
                <w:rFonts w:asciiTheme="majorHAnsi" w:hAnsiTheme="majorHAnsi"/>
                <w:color w:val="000000"/>
                <w:sz w:val="18"/>
                <w:szCs w:val="18"/>
              </w:rPr>
              <w:t>Сведения отсутствуют</w:t>
            </w:r>
          </w:p>
        </w:tc>
        <w:tc>
          <w:tcPr>
            <w:tcW w:w="877" w:type="dxa"/>
            <w:shd w:val="clear" w:color="000000" w:fill="FFFFFF"/>
            <w:noWrap/>
            <w:vAlign w:val="center"/>
            <w:hideMark/>
          </w:tcPr>
          <w:p w:rsidR="00892150" w:rsidRPr="00341263" w:rsidRDefault="00892150" w:rsidP="00892150">
            <w:pPr>
              <w:ind w:left="-93" w:right="-123"/>
              <w:jc w:val="center"/>
              <w:rPr>
                <w:rFonts w:asciiTheme="majorHAnsi" w:hAnsiTheme="majorHAnsi"/>
                <w:color w:val="000000"/>
                <w:sz w:val="18"/>
                <w:szCs w:val="18"/>
              </w:rPr>
            </w:pPr>
            <w:r w:rsidRPr="006C24AA">
              <w:rPr>
                <w:rFonts w:asciiTheme="majorHAnsi" w:hAnsiTheme="majorHAnsi"/>
                <w:color w:val="000000"/>
                <w:sz w:val="18"/>
                <w:szCs w:val="18"/>
              </w:rPr>
              <w:t>8 371,5</w:t>
            </w:r>
          </w:p>
        </w:tc>
        <w:tc>
          <w:tcPr>
            <w:tcW w:w="1418" w:type="dxa"/>
            <w:shd w:val="clear" w:color="000000" w:fill="FFFFFF"/>
            <w:vAlign w:val="center"/>
            <w:hideMark/>
          </w:tcPr>
          <w:p w:rsidR="00892150" w:rsidRPr="00341263" w:rsidRDefault="00892150" w:rsidP="00892150">
            <w:pPr>
              <w:ind w:left="-93" w:right="-123"/>
              <w:jc w:val="center"/>
              <w:rPr>
                <w:rFonts w:asciiTheme="majorHAnsi" w:hAnsiTheme="majorHAnsi"/>
                <w:color w:val="000000"/>
                <w:sz w:val="18"/>
                <w:szCs w:val="18"/>
              </w:rPr>
            </w:pPr>
            <w:r w:rsidRPr="00341263">
              <w:rPr>
                <w:rFonts w:asciiTheme="majorHAnsi" w:hAnsiTheme="majorHAnsi"/>
                <w:color w:val="000000"/>
                <w:sz w:val="18"/>
                <w:szCs w:val="18"/>
              </w:rPr>
              <w:t>1</w:t>
            </w:r>
            <w:r>
              <w:rPr>
                <w:rFonts w:asciiTheme="majorHAnsi" w:hAnsiTheme="majorHAnsi"/>
                <w:color w:val="000000"/>
                <w:sz w:val="18"/>
                <w:szCs w:val="18"/>
              </w:rPr>
              <w:t xml:space="preserve"> </w:t>
            </w:r>
            <w:r w:rsidRPr="00341263">
              <w:rPr>
                <w:rFonts w:asciiTheme="majorHAnsi" w:hAnsiTheme="majorHAnsi"/>
                <w:color w:val="000000"/>
                <w:sz w:val="18"/>
                <w:szCs w:val="18"/>
              </w:rPr>
              <w:t>эт.</w:t>
            </w:r>
          </w:p>
        </w:tc>
        <w:tc>
          <w:tcPr>
            <w:tcW w:w="475" w:type="dxa"/>
            <w:shd w:val="clear" w:color="000000" w:fill="FFFFFF"/>
            <w:vAlign w:val="center"/>
            <w:hideMark/>
          </w:tcPr>
          <w:p w:rsidR="00892150" w:rsidRPr="00341263" w:rsidRDefault="00892150" w:rsidP="00892150">
            <w:pPr>
              <w:ind w:left="-93" w:right="-123"/>
              <w:jc w:val="center"/>
              <w:rPr>
                <w:rFonts w:asciiTheme="majorHAnsi" w:hAnsiTheme="majorHAnsi"/>
                <w:color w:val="000000"/>
                <w:sz w:val="18"/>
                <w:szCs w:val="18"/>
              </w:rPr>
            </w:pPr>
            <w:r>
              <w:rPr>
                <w:rFonts w:asciiTheme="majorHAnsi" w:hAnsiTheme="majorHAnsi"/>
                <w:color w:val="000000"/>
                <w:sz w:val="18"/>
                <w:szCs w:val="18"/>
              </w:rPr>
              <w:t>50</w:t>
            </w:r>
            <w:r w:rsidRPr="00341263">
              <w:rPr>
                <w:rFonts w:asciiTheme="majorHAnsi" w:hAnsiTheme="majorHAnsi"/>
                <w:color w:val="000000"/>
                <w:sz w:val="18"/>
                <w:szCs w:val="18"/>
              </w:rPr>
              <w:t xml:space="preserve"> %</w:t>
            </w:r>
          </w:p>
        </w:tc>
        <w:tc>
          <w:tcPr>
            <w:tcW w:w="425" w:type="dxa"/>
            <w:shd w:val="clear" w:color="000000" w:fill="FFFFFF"/>
            <w:vAlign w:val="center"/>
            <w:hideMark/>
          </w:tcPr>
          <w:p w:rsidR="00892150" w:rsidRPr="00341263" w:rsidRDefault="00892150" w:rsidP="00892150">
            <w:pPr>
              <w:ind w:left="-93" w:right="-123"/>
              <w:jc w:val="center"/>
              <w:rPr>
                <w:rFonts w:asciiTheme="majorHAnsi" w:hAnsiTheme="majorHAnsi"/>
                <w:color w:val="000000"/>
                <w:sz w:val="18"/>
                <w:szCs w:val="18"/>
              </w:rPr>
            </w:pPr>
            <w:r>
              <w:rPr>
                <w:rFonts w:asciiTheme="majorHAnsi" w:hAnsiTheme="majorHAnsi"/>
                <w:color w:val="000000"/>
                <w:sz w:val="18"/>
                <w:szCs w:val="18"/>
              </w:rPr>
              <w:t>0</w:t>
            </w:r>
            <w:r w:rsidRPr="00341263">
              <w:rPr>
                <w:rFonts w:asciiTheme="majorHAnsi" w:hAnsiTheme="majorHAnsi"/>
                <w:color w:val="000000"/>
                <w:sz w:val="18"/>
                <w:szCs w:val="18"/>
              </w:rPr>
              <w:t xml:space="preserve"> %</w:t>
            </w:r>
          </w:p>
        </w:tc>
        <w:tc>
          <w:tcPr>
            <w:tcW w:w="349" w:type="dxa"/>
            <w:shd w:val="clear" w:color="000000" w:fill="FFFFFF"/>
            <w:vAlign w:val="center"/>
            <w:hideMark/>
          </w:tcPr>
          <w:p w:rsidR="00892150" w:rsidRPr="00341263" w:rsidRDefault="00892150" w:rsidP="00892150">
            <w:pPr>
              <w:ind w:left="-93" w:right="-123"/>
              <w:jc w:val="center"/>
              <w:rPr>
                <w:rFonts w:asciiTheme="majorHAnsi" w:hAnsiTheme="majorHAnsi"/>
                <w:color w:val="000000"/>
                <w:sz w:val="18"/>
                <w:szCs w:val="18"/>
              </w:rPr>
            </w:pPr>
            <w:r w:rsidRPr="00341263">
              <w:rPr>
                <w:rFonts w:asciiTheme="majorHAnsi" w:hAnsiTheme="majorHAnsi"/>
                <w:color w:val="000000"/>
                <w:sz w:val="18"/>
                <w:szCs w:val="18"/>
              </w:rPr>
              <w:t>0%</w:t>
            </w:r>
          </w:p>
        </w:tc>
      </w:tr>
      <w:tr w:rsidR="00892150" w:rsidRPr="00341263" w:rsidTr="00770A9D">
        <w:trPr>
          <w:trHeight w:val="765"/>
          <w:jc w:val="center"/>
        </w:trPr>
        <w:tc>
          <w:tcPr>
            <w:tcW w:w="346" w:type="dxa"/>
            <w:shd w:val="clear" w:color="auto" w:fill="auto"/>
            <w:noWrap/>
            <w:vAlign w:val="center"/>
          </w:tcPr>
          <w:p w:rsidR="00892150" w:rsidRPr="00341263" w:rsidRDefault="00892150" w:rsidP="00892150">
            <w:pPr>
              <w:ind w:left="-93" w:right="-123"/>
              <w:jc w:val="center"/>
              <w:rPr>
                <w:rFonts w:asciiTheme="majorHAnsi" w:hAnsiTheme="majorHAnsi"/>
                <w:color w:val="000000"/>
                <w:sz w:val="18"/>
                <w:szCs w:val="18"/>
              </w:rPr>
            </w:pPr>
            <w:r>
              <w:rPr>
                <w:rFonts w:asciiTheme="majorHAnsi" w:hAnsiTheme="majorHAnsi"/>
                <w:color w:val="000000"/>
                <w:sz w:val="18"/>
                <w:szCs w:val="18"/>
              </w:rPr>
              <w:t>2</w:t>
            </w:r>
          </w:p>
        </w:tc>
        <w:tc>
          <w:tcPr>
            <w:tcW w:w="1706" w:type="dxa"/>
            <w:shd w:val="clear" w:color="000000" w:fill="FFFFFF"/>
            <w:vAlign w:val="center"/>
          </w:tcPr>
          <w:p w:rsidR="00892150" w:rsidRPr="00384A1B" w:rsidRDefault="00892150" w:rsidP="00892150">
            <w:pPr>
              <w:ind w:left="-103" w:right="-125"/>
              <w:jc w:val="center"/>
              <w:rPr>
                <w:rFonts w:ascii="Cambria" w:hAnsi="Cambria"/>
                <w:color w:val="000000"/>
                <w:sz w:val="18"/>
                <w:szCs w:val="18"/>
              </w:rPr>
            </w:pPr>
            <w:r>
              <w:rPr>
                <w:rFonts w:ascii="Cambria" w:hAnsi="Cambria"/>
                <w:color w:val="000000"/>
                <w:sz w:val="18"/>
                <w:szCs w:val="18"/>
                <w:lang w:eastAsia="en-US"/>
              </w:rPr>
              <w:t>А</w:t>
            </w:r>
            <w:r w:rsidRPr="000B7405">
              <w:rPr>
                <w:rFonts w:ascii="Cambria" w:hAnsi="Cambria"/>
                <w:color w:val="000000"/>
                <w:sz w:val="18"/>
                <w:szCs w:val="18"/>
                <w:lang w:eastAsia="en-US"/>
              </w:rPr>
              <w:t>дминистративно-бытовой комплекс</w:t>
            </w:r>
          </w:p>
        </w:tc>
        <w:tc>
          <w:tcPr>
            <w:tcW w:w="1134" w:type="dxa"/>
            <w:shd w:val="clear" w:color="000000" w:fill="FFFFFF"/>
            <w:vAlign w:val="center"/>
          </w:tcPr>
          <w:p w:rsidR="00892150" w:rsidRPr="00341263" w:rsidRDefault="00892150" w:rsidP="00892150">
            <w:pPr>
              <w:ind w:left="-160" w:right="-123"/>
              <w:jc w:val="center"/>
              <w:rPr>
                <w:rFonts w:asciiTheme="majorHAnsi" w:hAnsiTheme="majorHAnsi"/>
                <w:color w:val="000000"/>
                <w:sz w:val="18"/>
                <w:szCs w:val="18"/>
              </w:rPr>
            </w:pPr>
            <w:r w:rsidRPr="006C24AA">
              <w:rPr>
                <w:rFonts w:asciiTheme="majorHAnsi" w:hAnsiTheme="majorHAnsi"/>
                <w:color w:val="000000"/>
                <w:sz w:val="18"/>
                <w:szCs w:val="18"/>
              </w:rPr>
              <w:t xml:space="preserve">Нежилое   </w:t>
            </w:r>
          </w:p>
        </w:tc>
        <w:tc>
          <w:tcPr>
            <w:tcW w:w="562" w:type="dxa"/>
            <w:shd w:val="clear" w:color="000000" w:fill="FFFFFF"/>
            <w:noWrap/>
            <w:vAlign w:val="center"/>
          </w:tcPr>
          <w:p w:rsidR="00892150" w:rsidRPr="00341263" w:rsidRDefault="00892150" w:rsidP="00892150">
            <w:pPr>
              <w:ind w:left="-93" w:right="-123"/>
              <w:jc w:val="center"/>
              <w:rPr>
                <w:rFonts w:asciiTheme="majorHAnsi" w:hAnsiTheme="majorHAnsi"/>
                <w:color w:val="000000"/>
                <w:sz w:val="18"/>
                <w:szCs w:val="18"/>
              </w:rPr>
            </w:pPr>
            <w:r>
              <w:rPr>
                <w:rFonts w:asciiTheme="majorHAnsi" w:hAnsiTheme="majorHAnsi"/>
                <w:color w:val="000000"/>
                <w:sz w:val="18"/>
                <w:szCs w:val="18"/>
              </w:rPr>
              <w:t>А</w:t>
            </w:r>
          </w:p>
        </w:tc>
        <w:tc>
          <w:tcPr>
            <w:tcW w:w="1134" w:type="dxa"/>
            <w:shd w:val="clear" w:color="000000" w:fill="FFFFFF"/>
            <w:vAlign w:val="center"/>
          </w:tcPr>
          <w:p w:rsidR="00892150" w:rsidRPr="00341263" w:rsidRDefault="00892150" w:rsidP="00892150">
            <w:pPr>
              <w:ind w:left="-179" w:right="-123"/>
              <w:jc w:val="center"/>
              <w:rPr>
                <w:rFonts w:asciiTheme="majorHAnsi" w:hAnsiTheme="majorHAnsi"/>
                <w:color w:val="000000"/>
                <w:sz w:val="18"/>
                <w:szCs w:val="18"/>
              </w:rPr>
            </w:pPr>
            <w:r>
              <w:rPr>
                <w:rFonts w:asciiTheme="majorHAnsi" w:hAnsiTheme="majorHAnsi"/>
                <w:color w:val="000000"/>
                <w:sz w:val="18"/>
                <w:szCs w:val="18"/>
              </w:rPr>
              <w:t>1993</w:t>
            </w:r>
          </w:p>
        </w:tc>
        <w:tc>
          <w:tcPr>
            <w:tcW w:w="708" w:type="dxa"/>
            <w:shd w:val="clear" w:color="000000" w:fill="FFFFFF"/>
            <w:noWrap/>
            <w:vAlign w:val="center"/>
          </w:tcPr>
          <w:p w:rsidR="00892150" w:rsidRPr="00341263" w:rsidRDefault="00892150" w:rsidP="00892150">
            <w:pPr>
              <w:ind w:left="-93" w:right="-123"/>
              <w:jc w:val="center"/>
              <w:rPr>
                <w:rFonts w:asciiTheme="majorHAnsi" w:hAnsiTheme="majorHAnsi"/>
                <w:color w:val="000000"/>
                <w:sz w:val="18"/>
                <w:szCs w:val="18"/>
              </w:rPr>
            </w:pPr>
            <w:r w:rsidRPr="006C24AA">
              <w:rPr>
                <w:rFonts w:asciiTheme="majorHAnsi" w:hAnsiTheme="majorHAnsi"/>
                <w:color w:val="000000"/>
                <w:sz w:val="18"/>
                <w:szCs w:val="18"/>
              </w:rPr>
              <w:t>I</w:t>
            </w:r>
          </w:p>
        </w:tc>
        <w:tc>
          <w:tcPr>
            <w:tcW w:w="1205" w:type="dxa"/>
            <w:shd w:val="clear" w:color="000000" w:fill="FFFFFF"/>
            <w:vAlign w:val="center"/>
          </w:tcPr>
          <w:p w:rsidR="00892150" w:rsidRPr="00341263" w:rsidRDefault="00892150" w:rsidP="00892150">
            <w:pPr>
              <w:ind w:left="-178" w:right="-123"/>
              <w:jc w:val="center"/>
              <w:rPr>
                <w:rFonts w:asciiTheme="majorHAnsi" w:hAnsiTheme="majorHAnsi"/>
                <w:color w:val="000000"/>
                <w:sz w:val="18"/>
                <w:szCs w:val="18"/>
              </w:rPr>
            </w:pPr>
            <w:r w:rsidRPr="006C24AA">
              <w:rPr>
                <w:rFonts w:asciiTheme="majorHAnsi" w:hAnsiTheme="majorHAnsi"/>
                <w:color w:val="000000"/>
                <w:sz w:val="18"/>
                <w:szCs w:val="18"/>
              </w:rPr>
              <w:t>Сведения отсутствуют</w:t>
            </w:r>
          </w:p>
        </w:tc>
        <w:tc>
          <w:tcPr>
            <w:tcW w:w="877" w:type="dxa"/>
            <w:shd w:val="clear" w:color="000000" w:fill="FFFFFF"/>
            <w:noWrap/>
            <w:vAlign w:val="center"/>
          </w:tcPr>
          <w:p w:rsidR="00892150" w:rsidRPr="006C24AA" w:rsidRDefault="00892150" w:rsidP="00892150">
            <w:pPr>
              <w:ind w:left="-93" w:right="-123"/>
              <w:jc w:val="center"/>
              <w:rPr>
                <w:rFonts w:asciiTheme="majorHAnsi" w:hAnsiTheme="majorHAnsi"/>
                <w:color w:val="000000"/>
                <w:sz w:val="18"/>
                <w:szCs w:val="18"/>
              </w:rPr>
            </w:pPr>
            <w:r w:rsidRPr="006C24AA">
              <w:rPr>
                <w:rFonts w:asciiTheme="majorHAnsi" w:hAnsiTheme="majorHAnsi"/>
                <w:color w:val="000000"/>
                <w:sz w:val="18"/>
                <w:szCs w:val="18"/>
              </w:rPr>
              <w:t>3 149,6</w:t>
            </w:r>
          </w:p>
        </w:tc>
        <w:tc>
          <w:tcPr>
            <w:tcW w:w="1418" w:type="dxa"/>
            <w:shd w:val="clear" w:color="000000" w:fill="FFFFFF"/>
            <w:vAlign w:val="center"/>
          </w:tcPr>
          <w:p w:rsidR="00892150" w:rsidRPr="00341263" w:rsidRDefault="00892150" w:rsidP="00892150">
            <w:pPr>
              <w:ind w:left="-93" w:right="-123"/>
              <w:jc w:val="center"/>
              <w:rPr>
                <w:rFonts w:asciiTheme="majorHAnsi" w:hAnsiTheme="majorHAnsi"/>
                <w:color w:val="000000"/>
                <w:sz w:val="18"/>
                <w:szCs w:val="18"/>
              </w:rPr>
            </w:pPr>
            <w:r>
              <w:rPr>
                <w:rFonts w:asciiTheme="majorHAnsi" w:hAnsiTheme="majorHAnsi"/>
                <w:color w:val="000000"/>
                <w:sz w:val="18"/>
                <w:szCs w:val="18"/>
              </w:rPr>
              <w:t>6 эт.</w:t>
            </w:r>
          </w:p>
        </w:tc>
        <w:tc>
          <w:tcPr>
            <w:tcW w:w="475" w:type="dxa"/>
            <w:shd w:val="clear" w:color="000000" w:fill="FFFFFF"/>
            <w:vAlign w:val="center"/>
          </w:tcPr>
          <w:p w:rsidR="00892150" w:rsidRDefault="00892150" w:rsidP="00892150">
            <w:pPr>
              <w:ind w:left="-93" w:right="-123"/>
              <w:jc w:val="center"/>
              <w:rPr>
                <w:rFonts w:asciiTheme="majorHAnsi" w:hAnsiTheme="majorHAnsi"/>
                <w:color w:val="000000"/>
                <w:sz w:val="18"/>
                <w:szCs w:val="18"/>
              </w:rPr>
            </w:pPr>
            <w:r>
              <w:rPr>
                <w:rFonts w:asciiTheme="majorHAnsi" w:hAnsiTheme="majorHAnsi"/>
                <w:color w:val="000000"/>
                <w:sz w:val="18"/>
                <w:szCs w:val="18"/>
              </w:rPr>
              <w:t>45%</w:t>
            </w:r>
          </w:p>
        </w:tc>
        <w:tc>
          <w:tcPr>
            <w:tcW w:w="425" w:type="dxa"/>
            <w:shd w:val="clear" w:color="000000" w:fill="FFFFFF"/>
            <w:vAlign w:val="center"/>
          </w:tcPr>
          <w:p w:rsidR="00892150" w:rsidRDefault="00892150" w:rsidP="00892150">
            <w:pPr>
              <w:ind w:left="-93" w:right="-123"/>
              <w:jc w:val="center"/>
              <w:rPr>
                <w:rFonts w:asciiTheme="majorHAnsi" w:hAnsiTheme="majorHAnsi"/>
                <w:color w:val="000000"/>
                <w:sz w:val="18"/>
                <w:szCs w:val="18"/>
              </w:rPr>
            </w:pPr>
            <w:r>
              <w:rPr>
                <w:rFonts w:asciiTheme="majorHAnsi" w:hAnsiTheme="majorHAnsi"/>
                <w:color w:val="000000"/>
                <w:sz w:val="18"/>
                <w:szCs w:val="18"/>
              </w:rPr>
              <w:t>0%</w:t>
            </w:r>
          </w:p>
        </w:tc>
        <w:tc>
          <w:tcPr>
            <w:tcW w:w="349" w:type="dxa"/>
            <w:shd w:val="clear" w:color="000000" w:fill="FFFFFF"/>
            <w:vAlign w:val="center"/>
          </w:tcPr>
          <w:p w:rsidR="00892150" w:rsidRPr="00341263" w:rsidRDefault="00892150" w:rsidP="00892150">
            <w:pPr>
              <w:ind w:left="-93" w:right="-123"/>
              <w:jc w:val="center"/>
              <w:rPr>
                <w:rFonts w:asciiTheme="majorHAnsi" w:hAnsiTheme="majorHAnsi"/>
                <w:color w:val="000000"/>
                <w:sz w:val="18"/>
                <w:szCs w:val="18"/>
              </w:rPr>
            </w:pPr>
            <w:r>
              <w:rPr>
                <w:rFonts w:asciiTheme="majorHAnsi" w:hAnsiTheme="majorHAnsi"/>
                <w:color w:val="000000"/>
                <w:sz w:val="18"/>
                <w:szCs w:val="18"/>
              </w:rPr>
              <w:t>0%</w:t>
            </w:r>
          </w:p>
        </w:tc>
      </w:tr>
    </w:tbl>
    <w:p w:rsidR="00892150" w:rsidRDefault="00892150" w:rsidP="00892150">
      <w:pPr>
        <w:ind w:firstLine="709"/>
        <w:jc w:val="both"/>
        <w:rPr>
          <w:rFonts w:asciiTheme="majorHAnsi" w:eastAsiaTheme="minorHAnsi" w:hAnsiTheme="majorHAnsi" w:cstheme="minorBidi"/>
          <w:sz w:val="20"/>
          <w:szCs w:val="22"/>
          <w:lang w:eastAsia="en-US"/>
        </w:rPr>
      </w:pPr>
    </w:p>
    <w:tbl>
      <w:tblPr>
        <w:tblW w:w="10399"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396"/>
        <w:gridCol w:w="2114"/>
        <w:gridCol w:w="1701"/>
        <w:gridCol w:w="708"/>
        <w:gridCol w:w="1134"/>
        <w:gridCol w:w="1136"/>
        <w:gridCol w:w="1272"/>
        <w:gridCol w:w="895"/>
        <w:gridCol w:w="1043"/>
      </w:tblGrid>
      <w:tr w:rsidR="00892150" w:rsidRPr="00341263" w:rsidTr="00892150">
        <w:trPr>
          <w:trHeight w:val="20"/>
          <w:jc w:val="center"/>
        </w:trPr>
        <w:tc>
          <w:tcPr>
            <w:tcW w:w="396" w:type="dxa"/>
            <w:vMerge w:val="restart"/>
            <w:shd w:val="clear" w:color="000000" w:fill="F2F2F2"/>
            <w:vAlign w:val="center"/>
            <w:hideMark/>
          </w:tcPr>
          <w:p w:rsidR="00892150" w:rsidRPr="00341263" w:rsidRDefault="00892150" w:rsidP="00892150">
            <w:pPr>
              <w:ind w:left="-189" w:right="-95"/>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 </w:t>
            </w:r>
          </w:p>
          <w:p w:rsidR="00892150" w:rsidRPr="00341263" w:rsidRDefault="00892150" w:rsidP="00892150">
            <w:pPr>
              <w:ind w:left="-189" w:right="-95"/>
              <w:jc w:val="center"/>
              <w:rPr>
                <w:rFonts w:asciiTheme="majorHAnsi" w:hAnsiTheme="majorHAnsi"/>
                <w:b/>
                <w:bCs/>
                <w:color w:val="000000"/>
                <w:sz w:val="18"/>
                <w:szCs w:val="18"/>
              </w:rPr>
            </w:pPr>
            <w:r w:rsidRPr="00341263">
              <w:rPr>
                <w:rFonts w:asciiTheme="majorHAnsi" w:hAnsiTheme="majorHAnsi"/>
                <w:b/>
                <w:bCs/>
                <w:color w:val="000000"/>
                <w:sz w:val="18"/>
                <w:szCs w:val="18"/>
              </w:rPr>
              <w:t>п/п</w:t>
            </w:r>
          </w:p>
        </w:tc>
        <w:tc>
          <w:tcPr>
            <w:tcW w:w="2114" w:type="dxa"/>
            <w:vMerge w:val="restart"/>
            <w:shd w:val="clear" w:color="000000" w:fill="F2F2F2"/>
            <w:vAlign w:val="center"/>
            <w:hideMark/>
          </w:tcPr>
          <w:p w:rsidR="00892150" w:rsidRPr="00341263" w:rsidRDefault="00892150" w:rsidP="00892150">
            <w:pPr>
              <w:ind w:left="-189" w:right="-95"/>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  Наименование объекта</w:t>
            </w:r>
          </w:p>
        </w:tc>
        <w:tc>
          <w:tcPr>
            <w:tcW w:w="1701" w:type="dxa"/>
            <w:vMerge w:val="restart"/>
            <w:shd w:val="clear" w:color="000000" w:fill="F2F2F2"/>
            <w:vAlign w:val="center"/>
            <w:hideMark/>
          </w:tcPr>
          <w:p w:rsidR="00892150" w:rsidRPr="00341263" w:rsidRDefault="00892150" w:rsidP="00892150">
            <w:pPr>
              <w:ind w:left="-189" w:right="-95"/>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  Функциональное назначение</w:t>
            </w:r>
          </w:p>
        </w:tc>
        <w:tc>
          <w:tcPr>
            <w:tcW w:w="708" w:type="dxa"/>
            <w:vMerge w:val="restart"/>
            <w:shd w:val="clear" w:color="000000" w:fill="F2F2F2"/>
            <w:vAlign w:val="center"/>
            <w:hideMark/>
          </w:tcPr>
          <w:p w:rsidR="00892150" w:rsidRPr="00341263" w:rsidRDefault="00892150" w:rsidP="00892150">
            <w:pPr>
              <w:ind w:left="-189" w:right="-108"/>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 Литер</w:t>
            </w:r>
          </w:p>
        </w:tc>
        <w:tc>
          <w:tcPr>
            <w:tcW w:w="5480" w:type="dxa"/>
            <w:gridSpan w:val="5"/>
            <w:shd w:val="clear" w:color="000000" w:fill="F2F2F2"/>
            <w:noWrap/>
            <w:vAlign w:val="center"/>
            <w:hideMark/>
          </w:tcPr>
          <w:p w:rsidR="00892150" w:rsidRPr="00341263" w:rsidRDefault="00892150" w:rsidP="00892150">
            <w:pPr>
              <w:ind w:left="-189" w:right="-108"/>
              <w:jc w:val="center"/>
              <w:rPr>
                <w:rFonts w:asciiTheme="majorHAnsi" w:hAnsiTheme="majorHAnsi"/>
                <w:b/>
                <w:bCs/>
                <w:color w:val="000000"/>
                <w:sz w:val="18"/>
                <w:szCs w:val="18"/>
              </w:rPr>
            </w:pPr>
            <w:r w:rsidRPr="00341263">
              <w:rPr>
                <w:rFonts w:asciiTheme="majorHAnsi" w:hAnsiTheme="majorHAnsi"/>
                <w:b/>
                <w:bCs/>
                <w:color w:val="000000"/>
                <w:sz w:val="18"/>
                <w:szCs w:val="18"/>
              </w:rPr>
              <w:t>Характеристика конструктивных элементов</w:t>
            </w:r>
          </w:p>
        </w:tc>
      </w:tr>
      <w:tr w:rsidR="00892150" w:rsidRPr="00341263" w:rsidTr="00892150">
        <w:trPr>
          <w:trHeight w:val="451"/>
          <w:jc w:val="center"/>
        </w:trPr>
        <w:tc>
          <w:tcPr>
            <w:tcW w:w="396" w:type="dxa"/>
            <w:vMerge/>
            <w:vAlign w:val="center"/>
            <w:hideMark/>
          </w:tcPr>
          <w:p w:rsidR="00892150" w:rsidRPr="00341263" w:rsidRDefault="00892150" w:rsidP="00892150">
            <w:pPr>
              <w:ind w:left="-189" w:right="-95"/>
              <w:jc w:val="center"/>
              <w:rPr>
                <w:rFonts w:asciiTheme="majorHAnsi" w:hAnsiTheme="majorHAnsi"/>
                <w:b/>
                <w:bCs/>
                <w:color w:val="000000"/>
                <w:sz w:val="18"/>
                <w:szCs w:val="18"/>
              </w:rPr>
            </w:pPr>
          </w:p>
        </w:tc>
        <w:tc>
          <w:tcPr>
            <w:tcW w:w="2114" w:type="dxa"/>
            <w:vMerge/>
            <w:vAlign w:val="center"/>
            <w:hideMark/>
          </w:tcPr>
          <w:p w:rsidR="00892150" w:rsidRPr="00341263" w:rsidRDefault="00892150" w:rsidP="00892150">
            <w:pPr>
              <w:ind w:left="-189" w:right="-95"/>
              <w:jc w:val="center"/>
              <w:rPr>
                <w:rFonts w:asciiTheme="majorHAnsi" w:hAnsiTheme="majorHAnsi"/>
                <w:b/>
                <w:bCs/>
                <w:color w:val="000000"/>
                <w:sz w:val="18"/>
                <w:szCs w:val="18"/>
              </w:rPr>
            </w:pPr>
          </w:p>
        </w:tc>
        <w:tc>
          <w:tcPr>
            <w:tcW w:w="1701" w:type="dxa"/>
            <w:vMerge/>
            <w:vAlign w:val="center"/>
            <w:hideMark/>
          </w:tcPr>
          <w:p w:rsidR="00892150" w:rsidRPr="00341263" w:rsidRDefault="00892150" w:rsidP="00892150">
            <w:pPr>
              <w:ind w:left="-189" w:right="-95"/>
              <w:jc w:val="center"/>
              <w:rPr>
                <w:rFonts w:asciiTheme="majorHAnsi" w:hAnsiTheme="majorHAnsi"/>
                <w:b/>
                <w:bCs/>
                <w:color w:val="000000"/>
                <w:sz w:val="18"/>
                <w:szCs w:val="18"/>
              </w:rPr>
            </w:pPr>
          </w:p>
        </w:tc>
        <w:tc>
          <w:tcPr>
            <w:tcW w:w="708" w:type="dxa"/>
            <w:vMerge/>
            <w:vAlign w:val="center"/>
            <w:hideMark/>
          </w:tcPr>
          <w:p w:rsidR="00892150" w:rsidRPr="00341263" w:rsidRDefault="00892150" w:rsidP="00892150">
            <w:pPr>
              <w:ind w:left="-189" w:right="-108"/>
              <w:jc w:val="center"/>
              <w:rPr>
                <w:rFonts w:asciiTheme="majorHAnsi" w:hAnsiTheme="majorHAnsi"/>
                <w:b/>
                <w:bCs/>
                <w:color w:val="000000"/>
                <w:sz w:val="18"/>
                <w:szCs w:val="18"/>
              </w:rPr>
            </w:pPr>
          </w:p>
        </w:tc>
        <w:tc>
          <w:tcPr>
            <w:tcW w:w="1134" w:type="dxa"/>
            <w:vMerge w:val="restart"/>
            <w:shd w:val="clear" w:color="000000" w:fill="F2F2F2"/>
            <w:vAlign w:val="center"/>
            <w:hideMark/>
          </w:tcPr>
          <w:p w:rsidR="00892150" w:rsidRPr="00341263" w:rsidRDefault="00892150" w:rsidP="00892150">
            <w:pPr>
              <w:ind w:left="-189" w:right="-108"/>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  Фундамент</w:t>
            </w:r>
          </w:p>
        </w:tc>
        <w:tc>
          <w:tcPr>
            <w:tcW w:w="1136" w:type="dxa"/>
            <w:vMerge w:val="restart"/>
            <w:shd w:val="clear" w:color="000000" w:fill="F2F2F2"/>
            <w:vAlign w:val="center"/>
            <w:hideMark/>
          </w:tcPr>
          <w:p w:rsidR="00892150" w:rsidRPr="00341263" w:rsidRDefault="00892150" w:rsidP="00892150">
            <w:pPr>
              <w:ind w:left="-189" w:right="-108"/>
              <w:jc w:val="center"/>
              <w:rPr>
                <w:rFonts w:asciiTheme="majorHAnsi" w:hAnsiTheme="majorHAnsi"/>
                <w:b/>
                <w:bCs/>
                <w:color w:val="000000"/>
                <w:sz w:val="18"/>
                <w:szCs w:val="18"/>
              </w:rPr>
            </w:pPr>
            <w:r w:rsidRPr="00341263">
              <w:rPr>
                <w:rFonts w:asciiTheme="majorHAnsi" w:hAnsiTheme="majorHAnsi"/>
                <w:b/>
                <w:bCs/>
                <w:color w:val="000000"/>
                <w:sz w:val="18"/>
                <w:szCs w:val="18"/>
              </w:rPr>
              <w:t>Стены</w:t>
            </w:r>
          </w:p>
        </w:tc>
        <w:tc>
          <w:tcPr>
            <w:tcW w:w="1272" w:type="dxa"/>
            <w:vMerge w:val="restart"/>
            <w:shd w:val="clear" w:color="000000" w:fill="F2F2F2"/>
            <w:vAlign w:val="center"/>
            <w:hideMark/>
          </w:tcPr>
          <w:p w:rsidR="00892150" w:rsidRPr="00341263" w:rsidRDefault="00892150" w:rsidP="00892150">
            <w:pPr>
              <w:ind w:left="-189" w:right="-108"/>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 Перекрытие</w:t>
            </w:r>
          </w:p>
        </w:tc>
        <w:tc>
          <w:tcPr>
            <w:tcW w:w="895" w:type="dxa"/>
            <w:vMerge w:val="restart"/>
            <w:shd w:val="clear" w:color="000000" w:fill="F2F2F2"/>
            <w:vAlign w:val="center"/>
            <w:hideMark/>
          </w:tcPr>
          <w:p w:rsidR="00892150" w:rsidRPr="00341263" w:rsidRDefault="00892150" w:rsidP="00892150">
            <w:pPr>
              <w:ind w:left="-189" w:right="-108"/>
              <w:jc w:val="center"/>
              <w:rPr>
                <w:rFonts w:asciiTheme="majorHAnsi" w:hAnsiTheme="majorHAnsi"/>
                <w:b/>
                <w:bCs/>
                <w:color w:val="000000"/>
                <w:sz w:val="18"/>
                <w:szCs w:val="18"/>
              </w:rPr>
            </w:pPr>
            <w:r w:rsidRPr="00341263">
              <w:rPr>
                <w:rFonts w:asciiTheme="majorHAnsi" w:hAnsiTheme="majorHAnsi"/>
                <w:b/>
                <w:bCs/>
                <w:color w:val="000000"/>
                <w:sz w:val="18"/>
                <w:szCs w:val="18"/>
              </w:rPr>
              <w:t xml:space="preserve"> Крыша</w:t>
            </w:r>
          </w:p>
        </w:tc>
        <w:tc>
          <w:tcPr>
            <w:tcW w:w="1043" w:type="dxa"/>
            <w:vMerge w:val="restart"/>
            <w:shd w:val="clear" w:color="000000" w:fill="F2F2F2"/>
            <w:vAlign w:val="center"/>
            <w:hideMark/>
          </w:tcPr>
          <w:p w:rsidR="00892150" w:rsidRPr="00341263" w:rsidRDefault="00892150" w:rsidP="00892150">
            <w:pPr>
              <w:ind w:left="-189" w:right="-108"/>
              <w:jc w:val="center"/>
              <w:rPr>
                <w:rFonts w:asciiTheme="majorHAnsi" w:hAnsiTheme="majorHAnsi"/>
                <w:b/>
                <w:bCs/>
                <w:color w:val="000000"/>
                <w:sz w:val="18"/>
                <w:szCs w:val="18"/>
              </w:rPr>
            </w:pPr>
            <w:r w:rsidRPr="00341263">
              <w:rPr>
                <w:rFonts w:asciiTheme="majorHAnsi" w:hAnsiTheme="majorHAnsi"/>
                <w:b/>
                <w:bCs/>
                <w:color w:val="000000"/>
                <w:sz w:val="18"/>
                <w:szCs w:val="18"/>
              </w:rPr>
              <w:t>Полы</w:t>
            </w:r>
          </w:p>
        </w:tc>
      </w:tr>
      <w:tr w:rsidR="00892150" w:rsidRPr="00341263" w:rsidTr="00892150">
        <w:trPr>
          <w:trHeight w:val="451"/>
          <w:jc w:val="center"/>
        </w:trPr>
        <w:tc>
          <w:tcPr>
            <w:tcW w:w="396" w:type="dxa"/>
            <w:vMerge/>
            <w:vAlign w:val="center"/>
            <w:hideMark/>
          </w:tcPr>
          <w:p w:rsidR="00892150" w:rsidRPr="00341263" w:rsidRDefault="00892150" w:rsidP="00892150">
            <w:pPr>
              <w:ind w:left="-189" w:right="-95"/>
              <w:jc w:val="center"/>
              <w:rPr>
                <w:rFonts w:asciiTheme="majorHAnsi" w:hAnsiTheme="majorHAnsi"/>
                <w:b/>
                <w:bCs/>
                <w:color w:val="000000"/>
                <w:sz w:val="18"/>
                <w:szCs w:val="18"/>
              </w:rPr>
            </w:pPr>
          </w:p>
        </w:tc>
        <w:tc>
          <w:tcPr>
            <w:tcW w:w="2114" w:type="dxa"/>
            <w:vMerge/>
            <w:vAlign w:val="center"/>
            <w:hideMark/>
          </w:tcPr>
          <w:p w:rsidR="00892150" w:rsidRPr="00341263" w:rsidRDefault="00892150" w:rsidP="00892150">
            <w:pPr>
              <w:ind w:left="-189" w:right="-95"/>
              <w:jc w:val="center"/>
              <w:rPr>
                <w:rFonts w:asciiTheme="majorHAnsi" w:hAnsiTheme="majorHAnsi"/>
                <w:b/>
                <w:bCs/>
                <w:color w:val="000000"/>
                <w:sz w:val="18"/>
                <w:szCs w:val="18"/>
              </w:rPr>
            </w:pPr>
          </w:p>
        </w:tc>
        <w:tc>
          <w:tcPr>
            <w:tcW w:w="1701" w:type="dxa"/>
            <w:vMerge/>
            <w:vAlign w:val="center"/>
            <w:hideMark/>
          </w:tcPr>
          <w:p w:rsidR="00892150" w:rsidRPr="00341263" w:rsidRDefault="00892150" w:rsidP="00892150">
            <w:pPr>
              <w:ind w:left="-189" w:right="-95"/>
              <w:jc w:val="center"/>
              <w:rPr>
                <w:rFonts w:asciiTheme="majorHAnsi" w:hAnsiTheme="majorHAnsi"/>
                <w:b/>
                <w:bCs/>
                <w:color w:val="000000"/>
                <w:sz w:val="18"/>
                <w:szCs w:val="18"/>
              </w:rPr>
            </w:pPr>
          </w:p>
        </w:tc>
        <w:tc>
          <w:tcPr>
            <w:tcW w:w="708" w:type="dxa"/>
            <w:vMerge/>
            <w:vAlign w:val="center"/>
            <w:hideMark/>
          </w:tcPr>
          <w:p w:rsidR="00892150" w:rsidRPr="00341263" w:rsidRDefault="00892150" w:rsidP="00892150">
            <w:pPr>
              <w:ind w:left="-189" w:right="-108"/>
              <w:jc w:val="center"/>
              <w:rPr>
                <w:rFonts w:asciiTheme="majorHAnsi" w:hAnsiTheme="majorHAnsi"/>
                <w:b/>
                <w:bCs/>
                <w:color w:val="000000"/>
                <w:sz w:val="18"/>
                <w:szCs w:val="18"/>
              </w:rPr>
            </w:pPr>
          </w:p>
        </w:tc>
        <w:tc>
          <w:tcPr>
            <w:tcW w:w="1134" w:type="dxa"/>
            <w:vMerge/>
            <w:vAlign w:val="center"/>
            <w:hideMark/>
          </w:tcPr>
          <w:p w:rsidR="00892150" w:rsidRPr="00341263" w:rsidRDefault="00892150" w:rsidP="00892150">
            <w:pPr>
              <w:ind w:left="-189" w:right="-108"/>
              <w:jc w:val="center"/>
              <w:rPr>
                <w:rFonts w:asciiTheme="majorHAnsi" w:hAnsiTheme="majorHAnsi"/>
                <w:b/>
                <w:bCs/>
                <w:color w:val="000000"/>
                <w:sz w:val="18"/>
                <w:szCs w:val="18"/>
              </w:rPr>
            </w:pPr>
          </w:p>
        </w:tc>
        <w:tc>
          <w:tcPr>
            <w:tcW w:w="1136" w:type="dxa"/>
            <w:vMerge/>
            <w:vAlign w:val="center"/>
            <w:hideMark/>
          </w:tcPr>
          <w:p w:rsidR="00892150" w:rsidRPr="00341263" w:rsidRDefault="00892150" w:rsidP="00892150">
            <w:pPr>
              <w:ind w:left="-189" w:right="-108"/>
              <w:jc w:val="center"/>
              <w:rPr>
                <w:rFonts w:asciiTheme="majorHAnsi" w:hAnsiTheme="majorHAnsi"/>
                <w:b/>
                <w:bCs/>
                <w:color w:val="000000"/>
                <w:sz w:val="18"/>
                <w:szCs w:val="18"/>
              </w:rPr>
            </w:pPr>
          </w:p>
        </w:tc>
        <w:tc>
          <w:tcPr>
            <w:tcW w:w="1272" w:type="dxa"/>
            <w:vMerge/>
            <w:vAlign w:val="center"/>
            <w:hideMark/>
          </w:tcPr>
          <w:p w:rsidR="00892150" w:rsidRPr="00341263" w:rsidRDefault="00892150" w:rsidP="00892150">
            <w:pPr>
              <w:ind w:left="-189" w:right="-108"/>
              <w:jc w:val="center"/>
              <w:rPr>
                <w:rFonts w:asciiTheme="majorHAnsi" w:hAnsiTheme="majorHAnsi"/>
                <w:b/>
                <w:bCs/>
                <w:color w:val="000000"/>
                <w:sz w:val="18"/>
                <w:szCs w:val="18"/>
              </w:rPr>
            </w:pPr>
          </w:p>
        </w:tc>
        <w:tc>
          <w:tcPr>
            <w:tcW w:w="895" w:type="dxa"/>
            <w:vMerge/>
            <w:vAlign w:val="center"/>
            <w:hideMark/>
          </w:tcPr>
          <w:p w:rsidR="00892150" w:rsidRPr="00341263" w:rsidRDefault="00892150" w:rsidP="00892150">
            <w:pPr>
              <w:ind w:left="-189" w:right="-108"/>
              <w:jc w:val="center"/>
              <w:rPr>
                <w:rFonts w:asciiTheme="majorHAnsi" w:hAnsiTheme="majorHAnsi"/>
                <w:b/>
                <w:bCs/>
                <w:color w:val="000000"/>
                <w:sz w:val="18"/>
                <w:szCs w:val="18"/>
              </w:rPr>
            </w:pPr>
          </w:p>
        </w:tc>
        <w:tc>
          <w:tcPr>
            <w:tcW w:w="1043" w:type="dxa"/>
            <w:vMerge/>
            <w:vAlign w:val="center"/>
            <w:hideMark/>
          </w:tcPr>
          <w:p w:rsidR="00892150" w:rsidRPr="00341263" w:rsidRDefault="00892150" w:rsidP="00892150">
            <w:pPr>
              <w:ind w:left="-189" w:right="-108"/>
              <w:jc w:val="center"/>
              <w:rPr>
                <w:rFonts w:asciiTheme="majorHAnsi" w:hAnsiTheme="majorHAnsi"/>
                <w:b/>
                <w:bCs/>
                <w:color w:val="000000"/>
                <w:sz w:val="18"/>
                <w:szCs w:val="18"/>
              </w:rPr>
            </w:pPr>
          </w:p>
        </w:tc>
      </w:tr>
      <w:tr w:rsidR="00892150" w:rsidRPr="00341263" w:rsidTr="00892150">
        <w:trPr>
          <w:trHeight w:val="20"/>
          <w:jc w:val="center"/>
        </w:trPr>
        <w:tc>
          <w:tcPr>
            <w:tcW w:w="396" w:type="dxa"/>
            <w:shd w:val="clear" w:color="auto" w:fill="auto"/>
            <w:noWrap/>
            <w:vAlign w:val="center"/>
            <w:hideMark/>
          </w:tcPr>
          <w:p w:rsidR="00892150" w:rsidRPr="00341263" w:rsidRDefault="00892150" w:rsidP="00892150">
            <w:pPr>
              <w:ind w:left="-189" w:right="-95"/>
              <w:jc w:val="center"/>
              <w:rPr>
                <w:rFonts w:asciiTheme="majorHAnsi" w:hAnsiTheme="majorHAnsi"/>
                <w:color w:val="000000"/>
                <w:sz w:val="18"/>
                <w:szCs w:val="18"/>
              </w:rPr>
            </w:pPr>
            <w:r w:rsidRPr="00341263">
              <w:rPr>
                <w:rFonts w:asciiTheme="majorHAnsi" w:hAnsiTheme="majorHAnsi"/>
                <w:color w:val="000000"/>
                <w:sz w:val="18"/>
                <w:szCs w:val="18"/>
              </w:rPr>
              <w:t>1</w:t>
            </w:r>
          </w:p>
        </w:tc>
        <w:tc>
          <w:tcPr>
            <w:tcW w:w="2114" w:type="dxa"/>
            <w:shd w:val="clear" w:color="000000" w:fill="FFFFFF"/>
            <w:vAlign w:val="center"/>
            <w:hideMark/>
          </w:tcPr>
          <w:p w:rsidR="00892150" w:rsidRPr="00341263" w:rsidRDefault="00892150" w:rsidP="00892150">
            <w:pPr>
              <w:ind w:left="-189" w:right="-95"/>
              <w:jc w:val="center"/>
              <w:rPr>
                <w:rFonts w:asciiTheme="majorHAnsi" w:hAnsiTheme="majorHAnsi"/>
                <w:color w:val="000000"/>
                <w:sz w:val="18"/>
                <w:szCs w:val="18"/>
              </w:rPr>
            </w:pPr>
            <w:r w:rsidRPr="006C24AA">
              <w:rPr>
                <w:rFonts w:ascii="Cambria" w:hAnsi="Cambria"/>
                <w:color w:val="000000"/>
                <w:sz w:val="18"/>
                <w:szCs w:val="18"/>
              </w:rPr>
              <w:t>Нежилые строения (Производственный корпус</w:t>
            </w:r>
          </w:p>
        </w:tc>
        <w:tc>
          <w:tcPr>
            <w:tcW w:w="1701" w:type="dxa"/>
            <w:shd w:val="clear" w:color="000000" w:fill="FFFFFF"/>
            <w:vAlign w:val="center"/>
            <w:hideMark/>
          </w:tcPr>
          <w:p w:rsidR="00892150" w:rsidRPr="00341263" w:rsidRDefault="00892150" w:rsidP="00892150">
            <w:pPr>
              <w:ind w:left="-189" w:right="-95"/>
              <w:jc w:val="center"/>
              <w:rPr>
                <w:rFonts w:asciiTheme="majorHAnsi" w:hAnsiTheme="majorHAnsi"/>
                <w:color w:val="000000"/>
                <w:sz w:val="18"/>
                <w:szCs w:val="18"/>
              </w:rPr>
            </w:pPr>
            <w:r w:rsidRPr="00341263">
              <w:rPr>
                <w:rFonts w:asciiTheme="majorHAnsi" w:hAnsiTheme="majorHAnsi"/>
                <w:color w:val="000000"/>
                <w:sz w:val="18"/>
                <w:szCs w:val="18"/>
              </w:rPr>
              <w:t>Нежилое</w:t>
            </w:r>
          </w:p>
        </w:tc>
        <w:tc>
          <w:tcPr>
            <w:tcW w:w="708" w:type="dxa"/>
            <w:shd w:val="clear" w:color="000000" w:fill="FFFFFF"/>
            <w:noWrap/>
            <w:vAlign w:val="center"/>
            <w:hideMark/>
          </w:tcPr>
          <w:p w:rsidR="00892150" w:rsidRPr="00341263" w:rsidRDefault="00892150" w:rsidP="00892150">
            <w:pPr>
              <w:ind w:left="-189" w:right="-108"/>
              <w:jc w:val="center"/>
              <w:rPr>
                <w:rFonts w:asciiTheme="majorHAnsi" w:hAnsiTheme="majorHAnsi"/>
                <w:color w:val="000000"/>
                <w:sz w:val="18"/>
                <w:szCs w:val="18"/>
              </w:rPr>
            </w:pPr>
            <w:r w:rsidRPr="00341263">
              <w:rPr>
                <w:rFonts w:asciiTheme="majorHAnsi" w:hAnsiTheme="majorHAnsi"/>
                <w:color w:val="000000"/>
                <w:sz w:val="18"/>
                <w:szCs w:val="18"/>
              </w:rPr>
              <w:t>Б</w:t>
            </w:r>
            <w:r>
              <w:rPr>
                <w:rFonts w:asciiTheme="majorHAnsi" w:hAnsiTheme="majorHAnsi"/>
                <w:color w:val="000000"/>
                <w:sz w:val="18"/>
                <w:szCs w:val="18"/>
              </w:rPr>
              <w:t>,б</w:t>
            </w:r>
          </w:p>
        </w:tc>
        <w:tc>
          <w:tcPr>
            <w:tcW w:w="1134" w:type="dxa"/>
            <w:shd w:val="clear" w:color="000000" w:fill="FFFFFF"/>
            <w:vAlign w:val="center"/>
            <w:hideMark/>
          </w:tcPr>
          <w:p w:rsidR="00892150" w:rsidRPr="00341263" w:rsidRDefault="00892150" w:rsidP="00892150">
            <w:pPr>
              <w:ind w:left="-189" w:right="-108"/>
              <w:jc w:val="center"/>
              <w:rPr>
                <w:rFonts w:asciiTheme="majorHAnsi" w:hAnsiTheme="majorHAnsi"/>
                <w:color w:val="000000"/>
                <w:sz w:val="18"/>
                <w:szCs w:val="18"/>
              </w:rPr>
            </w:pPr>
            <w:r w:rsidRPr="00341263">
              <w:rPr>
                <w:rFonts w:asciiTheme="majorHAnsi" w:hAnsiTheme="majorHAnsi"/>
                <w:color w:val="000000"/>
                <w:sz w:val="18"/>
                <w:szCs w:val="18"/>
              </w:rPr>
              <w:t>Бетонный</w:t>
            </w:r>
            <w:r>
              <w:rPr>
                <w:rFonts w:asciiTheme="majorHAnsi" w:hAnsiTheme="majorHAnsi"/>
                <w:color w:val="000000"/>
                <w:sz w:val="18"/>
                <w:szCs w:val="18"/>
              </w:rPr>
              <w:t xml:space="preserve"> ленточный</w:t>
            </w:r>
          </w:p>
        </w:tc>
        <w:tc>
          <w:tcPr>
            <w:tcW w:w="1136" w:type="dxa"/>
            <w:shd w:val="clear" w:color="000000" w:fill="FFFFFF"/>
            <w:vAlign w:val="center"/>
            <w:hideMark/>
          </w:tcPr>
          <w:p w:rsidR="00892150" w:rsidRPr="00341263" w:rsidRDefault="00892150" w:rsidP="00892150">
            <w:pPr>
              <w:ind w:left="-189" w:right="-108"/>
              <w:jc w:val="center"/>
              <w:rPr>
                <w:rFonts w:asciiTheme="majorHAnsi" w:hAnsiTheme="majorHAnsi"/>
                <w:color w:val="000000"/>
                <w:sz w:val="18"/>
                <w:szCs w:val="18"/>
              </w:rPr>
            </w:pPr>
            <w:r>
              <w:rPr>
                <w:rFonts w:asciiTheme="majorHAnsi" w:hAnsiTheme="majorHAnsi"/>
                <w:color w:val="000000"/>
                <w:sz w:val="18"/>
                <w:szCs w:val="18"/>
              </w:rPr>
              <w:t>Ж/б панели, к</w:t>
            </w:r>
            <w:r w:rsidRPr="00341263">
              <w:rPr>
                <w:rFonts w:asciiTheme="majorHAnsi" w:hAnsiTheme="majorHAnsi"/>
                <w:color w:val="000000"/>
                <w:sz w:val="18"/>
                <w:szCs w:val="18"/>
              </w:rPr>
              <w:t>ирпич</w:t>
            </w:r>
            <w:r>
              <w:rPr>
                <w:rFonts w:asciiTheme="majorHAnsi" w:hAnsiTheme="majorHAnsi"/>
                <w:color w:val="000000"/>
                <w:sz w:val="18"/>
                <w:szCs w:val="18"/>
              </w:rPr>
              <w:t>ный каркас</w:t>
            </w:r>
          </w:p>
        </w:tc>
        <w:tc>
          <w:tcPr>
            <w:tcW w:w="1272" w:type="dxa"/>
            <w:shd w:val="clear" w:color="000000" w:fill="FFFFFF"/>
            <w:vAlign w:val="center"/>
            <w:hideMark/>
          </w:tcPr>
          <w:p w:rsidR="00892150" w:rsidRPr="00341263" w:rsidRDefault="00892150" w:rsidP="00892150">
            <w:pPr>
              <w:ind w:left="-189" w:right="-108"/>
              <w:jc w:val="center"/>
              <w:rPr>
                <w:rFonts w:asciiTheme="majorHAnsi" w:hAnsiTheme="majorHAnsi"/>
                <w:color w:val="000000"/>
                <w:sz w:val="18"/>
                <w:szCs w:val="18"/>
              </w:rPr>
            </w:pPr>
            <w:r w:rsidRPr="00341263">
              <w:rPr>
                <w:rFonts w:asciiTheme="majorHAnsi" w:hAnsiTheme="majorHAnsi"/>
                <w:color w:val="000000"/>
                <w:sz w:val="18"/>
                <w:szCs w:val="18"/>
              </w:rPr>
              <w:t>Ж/б плиты</w:t>
            </w:r>
          </w:p>
        </w:tc>
        <w:tc>
          <w:tcPr>
            <w:tcW w:w="895" w:type="dxa"/>
            <w:shd w:val="clear" w:color="000000" w:fill="FFFFFF"/>
            <w:vAlign w:val="center"/>
            <w:hideMark/>
          </w:tcPr>
          <w:p w:rsidR="00892150" w:rsidRPr="00341263" w:rsidRDefault="00892150" w:rsidP="00892150">
            <w:pPr>
              <w:ind w:left="-189" w:right="-108"/>
              <w:jc w:val="center"/>
              <w:rPr>
                <w:rFonts w:asciiTheme="majorHAnsi" w:hAnsiTheme="majorHAnsi"/>
                <w:color w:val="000000"/>
                <w:sz w:val="18"/>
                <w:szCs w:val="18"/>
              </w:rPr>
            </w:pPr>
            <w:r w:rsidRPr="00341263">
              <w:rPr>
                <w:rFonts w:asciiTheme="majorHAnsi" w:hAnsiTheme="majorHAnsi"/>
                <w:color w:val="000000"/>
                <w:sz w:val="18"/>
                <w:szCs w:val="18"/>
              </w:rPr>
              <w:t>Рубероид</w:t>
            </w:r>
          </w:p>
        </w:tc>
        <w:tc>
          <w:tcPr>
            <w:tcW w:w="1043" w:type="dxa"/>
            <w:shd w:val="clear" w:color="000000" w:fill="FFFFFF"/>
            <w:vAlign w:val="center"/>
            <w:hideMark/>
          </w:tcPr>
          <w:p w:rsidR="00892150" w:rsidRPr="00341263" w:rsidRDefault="00892150" w:rsidP="00892150">
            <w:pPr>
              <w:ind w:left="-189" w:right="-108"/>
              <w:jc w:val="center"/>
              <w:rPr>
                <w:rFonts w:asciiTheme="majorHAnsi" w:hAnsiTheme="majorHAnsi"/>
                <w:color w:val="000000"/>
                <w:sz w:val="18"/>
                <w:szCs w:val="18"/>
              </w:rPr>
            </w:pPr>
            <w:r w:rsidRPr="00341263">
              <w:rPr>
                <w:rFonts w:asciiTheme="majorHAnsi" w:hAnsiTheme="majorHAnsi"/>
                <w:color w:val="000000"/>
                <w:sz w:val="18"/>
                <w:szCs w:val="18"/>
              </w:rPr>
              <w:t>Бетонные</w:t>
            </w:r>
            <w:r>
              <w:rPr>
                <w:rFonts w:asciiTheme="majorHAnsi" w:hAnsiTheme="majorHAnsi"/>
                <w:color w:val="000000"/>
                <w:sz w:val="18"/>
                <w:szCs w:val="18"/>
              </w:rPr>
              <w:t>, керамич. плитка, мозаика</w:t>
            </w:r>
          </w:p>
        </w:tc>
      </w:tr>
      <w:tr w:rsidR="00892150" w:rsidRPr="00341263" w:rsidTr="00892150">
        <w:trPr>
          <w:trHeight w:val="20"/>
          <w:jc w:val="center"/>
        </w:trPr>
        <w:tc>
          <w:tcPr>
            <w:tcW w:w="396" w:type="dxa"/>
            <w:shd w:val="clear" w:color="auto" w:fill="auto"/>
            <w:noWrap/>
            <w:vAlign w:val="center"/>
          </w:tcPr>
          <w:p w:rsidR="00892150" w:rsidRPr="00341263" w:rsidRDefault="00892150" w:rsidP="00892150">
            <w:pPr>
              <w:ind w:left="-93" w:right="-123"/>
              <w:jc w:val="center"/>
              <w:rPr>
                <w:rFonts w:asciiTheme="majorHAnsi" w:hAnsiTheme="majorHAnsi"/>
                <w:color w:val="000000"/>
                <w:sz w:val="18"/>
                <w:szCs w:val="18"/>
              </w:rPr>
            </w:pPr>
            <w:r>
              <w:rPr>
                <w:rFonts w:asciiTheme="majorHAnsi" w:hAnsiTheme="majorHAnsi"/>
                <w:color w:val="000000"/>
                <w:sz w:val="18"/>
                <w:szCs w:val="18"/>
              </w:rPr>
              <w:t>2</w:t>
            </w:r>
          </w:p>
        </w:tc>
        <w:tc>
          <w:tcPr>
            <w:tcW w:w="2114" w:type="dxa"/>
            <w:shd w:val="clear" w:color="000000" w:fill="FFFFFF"/>
            <w:vAlign w:val="center"/>
          </w:tcPr>
          <w:p w:rsidR="00892150" w:rsidRPr="00384A1B" w:rsidRDefault="00892150" w:rsidP="00892150">
            <w:pPr>
              <w:ind w:left="-103" w:right="-125"/>
              <w:jc w:val="center"/>
              <w:rPr>
                <w:rFonts w:ascii="Cambria" w:hAnsi="Cambria"/>
                <w:color w:val="000000"/>
                <w:sz w:val="18"/>
                <w:szCs w:val="18"/>
              </w:rPr>
            </w:pPr>
            <w:r>
              <w:rPr>
                <w:rFonts w:ascii="Cambria" w:hAnsi="Cambria"/>
                <w:color w:val="000000"/>
                <w:sz w:val="18"/>
                <w:szCs w:val="18"/>
                <w:lang w:eastAsia="en-US"/>
              </w:rPr>
              <w:t>А</w:t>
            </w:r>
            <w:r w:rsidRPr="000B7405">
              <w:rPr>
                <w:rFonts w:ascii="Cambria" w:hAnsi="Cambria"/>
                <w:color w:val="000000"/>
                <w:sz w:val="18"/>
                <w:szCs w:val="18"/>
                <w:lang w:eastAsia="en-US"/>
              </w:rPr>
              <w:t>дминистративно-бытовой комплекс</w:t>
            </w:r>
          </w:p>
        </w:tc>
        <w:tc>
          <w:tcPr>
            <w:tcW w:w="1701" w:type="dxa"/>
            <w:shd w:val="clear" w:color="000000" w:fill="FFFFFF"/>
            <w:vAlign w:val="center"/>
          </w:tcPr>
          <w:p w:rsidR="00892150" w:rsidRPr="00341263" w:rsidRDefault="00892150" w:rsidP="00892150">
            <w:pPr>
              <w:ind w:left="-160" w:right="-123"/>
              <w:jc w:val="center"/>
              <w:rPr>
                <w:rFonts w:asciiTheme="majorHAnsi" w:hAnsiTheme="majorHAnsi"/>
                <w:color w:val="000000"/>
                <w:sz w:val="18"/>
                <w:szCs w:val="18"/>
              </w:rPr>
            </w:pPr>
            <w:r w:rsidRPr="006C24AA">
              <w:rPr>
                <w:rFonts w:asciiTheme="majorHAnsi" w:hAnsiTheme="majorHAnsi"/>
                <w:color w:val="000000"/>
                <w:sz w:val="18"/>
                <w:szCs w:val="18"/>
              </w:rPr>
              <w:t xml:space="preserve">Нежилое   </w:t>
            </w:r>
          </w:p>
        </w:tc>
        <w:tc>
          <w:tcPr>
            <w:tcW w:w="708" w:type="dxa"/>
            <w:shd w:val="clear" w:color="000000" w:fill="FFFFFF"/>
            <w:noWrap/>
            <w:vAlign w:val="center"/>
          </w:tcPr>
          <w:p w:rsidR="00892150" w:rsidRPr="00341263" w:rsidRDefault="00892150" w:rsidP="00892150">
            <w:pPr>
              <w:ind w:left="-93" w:right="-123"/>
              <w:jc w:val="center"/>
              <w:rPr>
                <w:rFonts w:asciiTheme="majorHAnsi" w:hAnsiTheme="majorHAnsi"/>
                <w:color w:val="000000"/>
                <w:sz w:val="18"/>
                <w:szCs w:val="18"/>
              </w:rPr>
            </w:pPr>
            <w:r>
              <w:rPr>
                <w:rFonts w:asciiTheme="majorHAnsi" w:hAnsiTheme="majorHAnsi"/>
                <w:color w:val="000000"/>
                <w:sz w:val="18"/>
                <w:szCs w:val="18"/>
              </w:rPr>
              <w:t>А</w:t>
            </w:r>
          </w:p>
        </w:tc>
        <w:tc>
          <w:tcPr>
            <w:tcW w:w="1134" w:type="dxa"/>
            <w:shd w:val="clear" w:color="000000" w:fill="FFFFFF"/>
            <w:vAlign w:val="center"/>
          </w:tcPr>
          <w:p w:rsidR="00892150" w:rsidRPr="00341263" w:rsidRDefault="00892150" w:rsidP="00892150">
            <w:pPr>
              <w:ind w:left="-189" w:right="-108"/>
              <w:jc w:val="center"/>
              <w:rPr>
                <w:rFonts w:asciiTheme="majorHAnsi" w:hAnsiTheme="majorHAnsi"/>
                <w:color w:val="000000"/>
                <w:sz w:val="18"/>
                <w:szCs w:val="18"/>
              </w:rPr>
            </w:pPr>
            <w:r w:rsidRPr="006C24AA">
              <w:rPr>
                <w:rFonts w:asciiTheme="majorHAnsi" w:hAnsiTheme="majorHAnsi"/>
                <w:color w:val="000000"/>
                <w:sz w:val="18"/>
                <w:szCs w:val="18"/>
              </w:rPr>
              <w:t>Бетонный</w:t>
            </w:r>
          </w:p>
        </w:tc>
        <w:tc>
          <w:tcPr>
            <w:tcW w:w="1136" w:type="dxa"/>
            <w:shd w:val="clear" w:color="000000" w:fill="FFFFFF"/>
            <w:vAlign w:val="center"/>
          </w:tcPr>
          <w:p w:rsidR="00892150" w:rsidRDefault="00892150" w:rsidP="00892150">
            <w:pPr>
              <w:ind w:left="-189" w:right="-108"/>
              <w:jc w:val="center"/>
              <w:rPr>
                <w:rFonts w:asciiTheme="majorHAnsi" w:hAnsiTheme="majorHAnsi"/>
                <w:color w:val="000000"/>
                <w:sz w:val="18"/>
                <w:szCs w:val="18"/>
              </w:rPr>
            </w:pPr>
            <w:r>
              <w:rPr>
                <w:rFonts w:asciiTheme="majorHAnsi" w:hAnsiTheme="majorHAnsi"/>
                <w:color w:val="000000"/>
                <w:sz w:val="18"/>
                <w:szCs w:val="18"/>
              </w:rPr>
              <w:t>Панель</w:t>
            </w:r>
          </w:p>
        </w:tc>
        <w:tc>
          <w:tcPr>
            <w:tcW w:w="1272" w:type="dxa"/>
            <w:shd w:val="clear" w:color="000000" w:fill="FFFFFF"/>
            <w:vAlign w:val="center"/>
          </w:tcPr>
          <w:p w:rsidR="00892150" w:rsidRPr="00341263" w:rsidRDefault="00892150" w:rsidP="00892150">
            <w:pPr>
              <w:ind w:left="-189" w:right="-108"/>
              <w:jc w:val="center"/>
              <w:rPr>
                <w:rFonts w:asciiTheme="majorHAnsi" w:hAnsiTheme="majorHAnsi"/>
                <w:color w:val="000000"/>
                <w:sz w:val="18"/>
                <w:szCs w:val="18"/>
              </w:rPr>
            </w:pPr>
            <w:r w:rsidRPr="006C24AA">
              <w:rPr>
                <w:rFonts w:asciiTheme="majorHAnsi" w:hAnsiTheme="majorHAnsi"/>
                <w:color w:val="000000"/>
                <w:sz w:val="18"/>
                <w:szCs w:val="18"/>
              </w:rPr>
              <w:t>Ж/б плиты</w:t>
            </w:r>
          </w:p>
        </w:tc>
        <w:tc>
          <w:tcPr>
            <w:tcW w:w="895" w:type="dxa"/>
            <w:shd w:val="clear" w:color="000000" w:fill="FFFFFF"/>
            <w:vAlign w:val="center"/>
          </w:tcPr>
          <w:p w:rsidR="00892150" w:rsidRPr="00341263" w:rsidRDefault="00892150" w:rsidP="00892150">
            <w:pPr>
              <w:ind w:left="-189" w:right="-108"/>
              <w:jc w:val="center"/>
              <w:rPr>
                <w:rFonts w:asciiTheme="majorHAnsi" w:hAnsiTheme="majorHAnsi"/>
                <w:color w:val="000000"/>
                <w:sz w:val="18"/>
                <w:szCs w:val="18"/>
              </w:rPr>
            </w:pPr>
            <w:r w:rsidRPr="006C24AA">
              <w:rPr>
                <w:rFonts w:asciiTheme="majorHAnsi" w:hAnsiTheme="majorHAnsi"/>
                <w:color w:val="000000"/>
                <w:sz w:val="18"/>
                <w:szCs w:val="18"/>
              </w:rPr>
              <w:t>Рубероид</w:t>
            </w:r>
          </w:p>
        </w:tc>
        <w:tc>
          <w:tcPr>
            <w:tcW w:w="1043" w:type="dxa"/>
            <w:shd w:val="clear" w:color="000000" w:fill="FFFFFF"/>
            <w:vAlign w:val="center"/>
          </w:tcPr>
          <w:p w:rsidR="00892150" w:rsidRPr="00341263" w:rsidRDefault="00892150" w:rsidP="00892150">
            <w:pPr>
              <w:ind w:left="-189" w:right="-108"/>
              <w:jc w:val="center"/>
              <w:rPr>
                <w:rFonts w:asciiTheme="majorHAnsi" w:hAnsiTheme="majorHAnsi"/>
                <w:color w:val="000000"/>
                <w:sz w:val="18"/>
                <w:szCs w:val="18"/>
              </w:rPr>
            </w:pPr>
            <w:r w:rsidRPr="006C24AA">
              <w:rPr>
                <w:rFonts w:asciiTheme="majorHAnsi" w:hAnsiTheme="majorHAnsi"/>
                <w:color w:val="000000"/>
                <w:sz w:val="18"/>
                <w:szCs w:val="18"/>
              </w:rPr>
              <w:t xml:space="preserve">Бетонные, </w:t>
            </w:r>
            <w:r>
              <w:rPr>
                <w:rFonts w:asciiTheme="majorHAnsi" w:hAnsiTheme="majorHAnsi"/>
                <w:color w:val="000000"/>
                <w:sz w:val="18"/>
                <w:szCs w:val="18"/>
              </w:rPr>
              <w:t>линолеум</w:t>
            </w:r>
            <w:r w:rsidRPr="006C24AA">
              <w:rPr>
                <w:rFonts w:asciiTheme="majorHAnsi" w:hAnsiTheme="majorHAnsi"/>
                <w:color w:val="000000"/>
                <w:sz w:val="18"/>
                <w:szCs w:val="18"/>
              </w:rPr>
              <w:t>, мозаика</w:t>
            </w:r>
          </w:p>
        </w:tc>
      </w:tr>
    </w:tbl>
    <w:p w:rsidR="00892150" w:rsidRPr="005433F9" w:rsidRDefault="00892150" w:rsidP="00892150">
      <w:pPr>
        <w:spacing w:before="100" w:beforeAutospacing="1" w:after="100" w:afterAutospacing="1"/>
        <w:ind w:firstLine="708"/>
        <w:jc w:val="both"/>
        <w:rPr>
          <w:rFonts w:asciiTheme="majorHAnsi" w:hAnsiTheme="majorHAnsi"/>
          <w:sz w:val="20"/>
          <w:szCs w:val="20"/>
        </w:rPr>
      </w:pPr>
      <w:r w:rsidRPr="005433F9">
        <w:rPr>
          <w:rFonts w:asciiTheme="majorHAnsi" w:hAnsiTheme="majorHAnsi"/>
          <w:sz w:val="20"/>
          <w:szCs w:val="20"/>
        </w:rPr>
        <w:t>Сведенья об идентификационных характеристиках, годе выпуска, техническом состоянии объекта оценки, поэлементно, были предоставлены заказчиком, и получены в результате осмотра.</w:t>
      </w:r>
    </w:p>
    <w:p w:rsidR="00234315" w:rsidRDefault="007C7169" w:rsidP="00234315">
      <w:pPr>
        <w:spacing w:line="276" w:lineRule="auto"/>
        <w:jc w:val="center"/>
        <w:rPr>
          <w:rFonts w:asciiTheme="majorHAnsi" w:eastAsiaTheme="minorHAnsi" w:hAnsiTheme="majorHAnsi" w:cstheme="minorBidi"/>
          <w:b/>
          <w:i/>
          <w:sz w:val="20"/>
          <w:szCs w:val="20"/>
          <w:lang w:eastAsia="en-US"/>
        </w:rPr>
      </w:pPr>
      <w:r>
        <w:rPr>
          <w:rFonts w:asciiTheme="majorHAnsi" w:eastAsiaTheme="minorHAnsi" w:hAnsiTheme="majorHAnsi" w:cstheme="minorBidi"/>
          <w:b/>
          <w:i/>
          <w:sz w:val="20"/>
          <w:szCs w:val="20"/>
          <w:lang w:eastAsia="en-US"/>
        </w:rPr>
        <w:t>Т</w:t>
      </w:r>
      <w:r w:rsidR="00234315" w:rsidRPr="00234315">
        <w:rPr>
          <w:rFonts w:asciiTheme="majorHAnsi" w:eastAsiaTheme="minorHAnsi" w:hAnsiTheme="majorHAnsi" w:cstheme="minorBidi"/>
          <w:b/>
          <w:i/>
          <w:sz w:val="20"/>
          <w:szCs w:val="20"/>
          <w:lang w:eastAsia="en-US"/>
        </w:rPr>
        <w:t>ерриториальное расположение и характеристики окружения</w:t>
      </w:r>
    </w:p>
    <w:p w:rsidR="00892150" w:rsidRDefault="00892150" w:rsidP="00892150">
      <w:pPr>
        <w:tabs>
          <w:tab w:val="left" w:pos="567"/>
        </w:tabs>
        <w:ind w:right="-2" w:firstLine="709"/>
        <w:jc w:val="both"/>
        <w:rPr>
          <w:rFonts w:asciiTheme="majorHAnsi" w:eastAsiaTheme="minorHAnsi" w:hAnsiTheme="majorHAnsi" w:cstheme="minorBidi"/>
          <w:sz w:val="20"/>
          <w:szCs w:val="20"/>
          <w:lang w:eastAsia="en-US"/>
        </w:rPr>
      </w:pPr>
      <w:r>
        <w:rPr>
          <w:rFonts w:asciiTheme="majorHAnsi" w:eastAsiaTheme="minorHAnsi" w:hAnsiTheme="majorHAnsi" w:cstheme="minorBidi"/>
          <w:color w:val="000000" w:themeColor="text1"/>
          <w:sz w:val="20"/>
          <w:szCs w:val="20"/>
          <w:lang w:eastAsia="en-US"/>
        </w:rPr>
        <w:t xml:space="preserve">В состав оцениваемого имущества входят </w:t>
      </w:r>
      <w:r>
        <w:rPr>
          <w:rFonts w:asciiTheme="majorHAnsi" w:eastAsiaTheme="minorHAnsi" w:hAnsiTheme="majorHAnsi" w:cstheme="minorBidi"/>
          <w:sz w:val="20"/>
          <w:szCs w:val="20"/>
          <w:lang w:eastAsia="en-US"/>
        </w:rPr>
        <w:t xml:space="preserve">объекты капитального строительства, принадлежащие на праве собственности </w:t>
      </w:r>
      <w:r w:rsidR="004F632A">
        <w:rPr>
          <w:rFonts w:asciiTheme="majorHAnsi" w:hAnsiTheme="majorHAnsi"/>
          <w:bCs/>
          <w:sz w:val="20"/>
          <w:szCs w:val="20"/>
        </w:rPr>
        <w:t xml:space="preserve">Лауте Игорю </w:t>
      </w:r>
      <w:r w:rsidR="004F632A">
        <w:rPr>
          <w:rFonts w:asciiTheme="majorHAnsi" w:hAnsiTheme="majorHAnsi"/>
          <w:bCs/>
          <w:sz w:val="20"/>
          <w:szCs w:val="20"/>
        </w:rPr>
        <w:t>Викторовичу</w:t>
      </w:r>
      <w:r>
        <w:rPr>
          <w:rFonts w:asciiTheme="majorHAnsi" w:eastAsiaTheme="minorHAnsi" w:hAnsiTheme="majorHAnsi" w:cstheme="minorBidi"/>
          <w:sz w:val="20"/>
          <w:szCs w:val="20"/>
          <w:lang w:eastAsia="en-US"/>
        </w:rPr>
        <w:t xml:space="preserve">, расположенные на земельных участках по адресам: </w:t>
      </w:r>
    </w:p>
    <w:p w:rsidR="00892150" w:rsidRDefault="00892150" w:rsidP="00892150">
      <w:pPr>
        <w:tabs>
          <w:tab w:val="left" w:pos="567"/>
        </w:tabs>
        <w:ind w:right="-2" w:firstLine="709"/>
        <w:jc w:val="both"/>
        <w:rPr>
          <w:rFonts w:ascii="Cambria" w:hAnsi="Cambria"/>
          <w:color w:val="000000"/>
          <w:sz w:val="20"/>
          <w:szCs w:val="20"/>
          <w:lang w:eastAsia="en-US"/>
        </w:rPr>
      </w:pPr>
      <w:r>
        <w:rPr>
          <w:rFonts w:asciiTheme="majorHAnsi" w:eastAsiaTheme="minorHAnsi" w:hAnsiTheme="majorHAnsi" w:cstheme="minorBidi"/>
          <w:sz w:val="20"/>
          <w:szCs w:val="20"/>
          <w:lang w:eastAsia="en-US"/>
        </w:rPr>
        <w:t xml:space="preserve">- </w:t>
      </w:r>
      <w:r w:rsidRPr="00892150">
        <w:rPr>
          <w:rFonts w:ascii="Cambria" w:hAnsi="Cambria"/>
          <w:color w:val="000000"/>
          <w:sz w:val="20"/>
          <w:szCs w:val="20"/>
          <w:lang w:eastAsia="en-US"/>
        </w:rPr>
        <w:t>Белгородская обл. г. Белгород, ул Мирная, 21</w:t>
      </w:r>
      <w:r>
        <w:rPr>
          <w:rFonts w:ascii="Cambria" w:hAnsi="Cambria"/>
          <w:color w:val="000000"/>
          <w:sz w:val="20"/>
          <w:szCs w:val="20"/>
          <w:lang w:eastAsia="en-US"/>
        </w:rPr>
        <w:t xml:space="preserve"> (производственный комплекс)</w:t>
      </w:r>
    </w:p>
    <w:p w:rsidR="00892150" w:rsidRDefault="00892150" w:rsidP="00892150">
      <w:pPr>
        <w:tabs>
          <w:tab w:val="left" w:pos="567"/>
        </w:tabs>
        <w:ind w:right="-2" w:firstLine="709"/>
        <w:jc w:val="both"/>
        <w:rPr>
          <w:rFonts w:ascii="Cambria" w:hAnsi="Cambria"/>
          <w:color w:val="000000"/>
          <w:sz w:val="20"/>
          <w:szCs w:val="20"/>
          <w:lang w:eastAsia="en-US"/>
        </w:rPr>
      </w:pPr>
    </w:p>
    <w:p w:rsidR="00892150" w:rsidRDefault="00892150" w:rsidP="00892150">
      <w:pPr>
        <w:tabs>
          <w:tab w:val="left" w:pos="567"/>
        </w:tabs>
        <w:ind w:right="-2"/>
        <w:jc w:val="both"/>
        <w:rPr>
          <w:rFonts w:ascii="Cambria" w:hAnsi="Cambria"/>
          <w:color w:val="000000"/>
          <w:sz w:val="20"/>
          <w:szCs w:val="20"/>
          <w:lang w:eastAsia="en-US"/>
        </w:rPr>
      </w:pPr>
      <w:r>
        <w:rPr>
          <w:noProof/>
        </w:rPr>
        <w:drawing>
          <wp:inline distT="0" distB="0" distL="0" distR="0" wp14:anchorId="371E2EEA" wp14:editId="1BFAAA24">
            <wp:extent cx="6298408" cy="399403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3897" b="5261"/>
                    <a:stretch/>
                  </pic:blipFill>
                  <pic:spPr bwMode="auto">
                    <a:xfrm>
                      <a:off x="0" y="0"/>
                      <a:ext cx="6310429" cy="4001653"/>
                    </a:xfrm>
                    <a:prstGeom prst="rect">
                      <a:avLst/>
                    </a:prstGeom>
                    <a:ln>
                      <a:noFill/>
                    </a:ln>
                    <a:extLst>
                      <a:ext uri="{53640926-AAD7-44D8-BBD7-CCE9431645EC}">
                        <a14:shadowObscured xmlns:a14="http://schemas.microsoft.com/office/drawing/2010/main"/>
                      </a:ext>
                    </a:extLst>
                  </pic:spPr>
                </pic:pic>
              </a:graphicData>
            </a:graphic>
          </wp:inline>
        </w:drawing>
      </w:r>
    </w:p>
    <w:p w:rsidR="00892150" w:rsidRDefault="00892150" w:rsidP="00892150">
      <w:pPr>
        <w:tabs>
          <w:tab w:val="left" w:pos="567"/>
        </w:tabs>
        <w:ind w:right="-2" w:firstLine="709"/>
        <w:jc w:val="both"/>
        <w:rPr>
          <w:rFonts w:asciiTheme="majorHAnsi" w:eastAsiaTheme="minorHAnsi" w:hAnsiTheme="majorHAnsi"/>
          <w:sz w:val="20"/>
          <w:szCs w:val="20"/>
          <w:lang w:eastAsia="en-US"/>
        </w:rPr>
      </w:pPr>
    </w:p>
    <w:p w:rsidR="00892150" w:rsidRDefault="00892150" w:rsidP="00892150">
      <w:pPr>
        <w:ind w:firstLine="709"/>
        <w:jc w:val="both"/>
        <w:rPr>
          <w:rFonts w:asciiTheme="majorHAnsi" w:eastAsiaTheme="minorHAnsi" w:hAnsiTheme="majorHAnsi" w:cstheme="minorBidi"/>
          <w:color w:val="000000" w:themeColor="text1"/>
          <w:sz w:val="20"/>
          <w:szCs w:val="20"/>
          <w:lang w:eastAsia="en-US"/>
        </w:rPr>
      </w:pPr>
      <w:r>
        <w:rPr>
          <w:rFonts w:asciiTheme="majorHAnsi" w:eastAsiaTheme="minorHAnsi" w:hAnsiTheme="majorHAnsi" w:cstheme="minorBidi"/>
          <w:color w:val="000000" w:themeColor="text1"/>
          <w:sz w:val="20"/>
          <w:szCs w:val="20"/>
          <w:lang w:eastAsia="en-US"/>
        </w:rPr>
        <w:t xml:space="preserve">Объекты капитального строительства, расположенные на данном участке используется как производственно-имущественный комплекс, предназначенный для изготовления </w:t>
      </w:r>
      <w:r w:rsidR="00BF694E">
        <w:rPr>
          <w:rFonts w:asciiTheme="majorHAnsi" w:eastAsiaTheme="minorHAnsi" w:hAnsiTheme="majorHAnsi" w:cstheme="minorBidi"/>
          <w:color w:val="000000" w:themeColor="text1"/>
          <w:sz w:val="20"/>
          <w:szCs w:val="20"/>
          <w:lang w:eastAsia="en-US"/>
        </w:rPr>
        <w:t>и ремонта металлоконструкций</w:t>
      </w:r>
      <w:r>
        <w:rPr>
          <w:rFonts w:asciiTheme="majorHAnsi" w:eastAsiaTheme="minorHAnsi" w:hAnsiTheme="majorHAnsi" w:cstheme="minorBidi"/>
          <w:color w:val="000000" w:themeColor="text1"/>
          <w:sz w:val="20"/>
          <w:szCs w:val="20"/>
          <w:lang w:eastAsia="en-US"/>
        </w:rPr>
        <w:t xml:space="preserve">. </w:t>
      </w:r>
    </w:p>
    <w:p w:rsidR="00892150" w:rsidRDefault="00892150" w:rsidP="00892150">
      <w:pPr>
        <w:ind w:firstLine="709"/>
        <w:jc w:val="both"/>
        <w:rPr>
          <w:rFonts w:asciiTheme="majorHAnsi" w:eastAsiaTheme="minorHAnsi" w:hAnsiTheme="majorHAnsi" w:cstheme="minorBidi"/>
          <w:color w:val="000000" w:themeColor="text1"/>
          <w:sz w:val="20"/>
          <w:szCs w:val="20"/>
          <w:lang w:eastAsia="en-US"/>
        </w:rPr>
      </w:pPr>
      <w:r>
        <w:rPr>
          <w:rFonts w:asciiTheme="majorHAnsi" w:eastAsiaTheme="minorHAnsi" w:hAnsiTheme="majorHAnsi" w:cstheme="minorBidi"/>
          <w:color w:val="000000" w:themeColor="text1"/>
          <w:sz w:val="20"/>
          <w:szCs w:val="20"/>
          <w:lang w:eastAsia="en-US"/>
        </w:rPr>
        <w:t>Объекты оценки расположены в г</w:t>
      </w:r>
      <w:r w:rsidR="00BF694E">
        <w:rPr>
          <w:rFonts w:asciiTheme="majorHAnsi" w:eastAsiaTheme="minorHAnsi" w:hAnsiTheme="majorHAnsi" w:cstheme="minorBidi"/>
          <w:color w:val="000000" w:themeColor="text1"/>
          <w:sz w:val="20"/>
          <w:szCs w:val="20"/>
          <w:lang w:eastAsia="en-US"/>
        </w:rPr>
        <w:t>.</w:t>
      </w:r>
      <w:r>
        <w:rPr>
          <w:rFonts w:asciiTheme="majorHAnsi" w:eastAsiaTheme="minorHAnsi" w:hAnsiTheme="majorHAnsi" w:cstheme="minorBidi"/>
          <w:color w:val="000000" w:themeColor="text1"/>
          <w:sz w:val="20"/>
          <w:szCs w:val="20"/>
          <w:lang w:eastAsia="en-US"/>
        </w:rPr>
        <w:t xml:space="preserve"> </w:t>
      </w:r>
      <w:r w:rsidR="00BF694E">
        <w:rPr>
          <w:rFonts w:asciiTheme="majorHAnsi" w:eastAsiaTheme="minorHAnsi" w:hAnsiTheme="majorHAnsi" w:cstheme="minorBidi"/>
          <w:color w:val="000000" w:themeColor="text1"/>
          <w:sz w:val="20"/>
          <w:szCs w:val="20"/>
          <w:lang w:eastAsia="en-US"/>
        </w:rPr>
        <w:t>Белгород</w:t>
      </w:r>
      <w:r>
        <w:rPr>
          <w:rFonts w:asciiTheme="majorHAnsi" w:eastAsiaTheme="minorHAnsi" w:hAnsiTheme="majorHAnsi" w:cstheme="minorBidi"/>
          <w:color w:val="000000" w:themeColor="text1"/>
          <w:sz w:val="20"/>
          <w:szCs w:val="20"/>
          <w:lang w:eastAsia="en-US"/>
        </w:rPr>
        <w:t xml:space="preserve">, </w:t>
      </w:r>
      <w:r w:rsidR="00BF694E">
        <w:rPr>
          <w:rFonts w:asciiTheme="majorHAnsi" w:eastAsiaTheme="minorHAnsi" w:hAnsiTheme="majorHAnsi" w:cstheme="minorBidi"/>
          <w:color w:val="000000" w:themeColor="text1"/>
          <w:sz w:val="20"/>
          <w:szCs w:val="20"/>
          <w:lang w:eastAsia="en-US"/>
        </w:rPr>
        <w:t>Белгородской</w:t>
      </w:r>
      <w:r>
        <w:rPr>
          <w:rFonts w:asciiTheme="majorHAnsi" w:eastAsiaTheme="minorHAnsi" w:hAnsiTheme="majorHAnsi" w:cstheme="minorBidi"/>
          <w:color w:val="000000" w:themeColor="text1"/>
          <w:sz w:val="20"/>
          <w:szCs w:val="20"/>
          <w:lang w:eastAsia="en-US"/>
        </w:rPr>
        <w:t xml:space="preserve"> области, имеют среднюю степень коммерческой привлекательности. Расположены  в непосредственной близости к красной линии, к участку подведены коммуникации. Объект отличается хорошей транспортной доступностью.</w:t>
      </w:r>
    </w:p>
    <w:p w:rsidR="00892150" w:rsidRDefault="00892150" w:rsidP="00892150">
      <w:pPr>
        <w:ind w:firstLine="709"/>
        <w:jc w:val="both"/>
        <w:rPr>
          <w:rFonts w:asciiTheme="majorHAnsi" w:eastAsiaTheme="minorHAnsi" w:hAnsiTheme="majorHAnsi" w:cstheme="minorBidi"/>
          <w:color w:val="000000" w:themeColor="text1"/>
          <w:sz w:val="20"/>
          <w:szCs w:val="20"/>
          <w:lang w:eastAsia="en-US"/>
        </w:rPr>
      </w:pPr>
      <w:r>
        <w:rPr>
          <w:rFonts w:asciiTheme="majorHAnsi" w:eastAsiaTheme="minorHAnsi" w:hAnsiTheme="majorHAnsi" w:cstheme="minorBidi"/>
          <w:color w:val="000000" w:themeColor="text1"/>
          <w:sz w:val="20"/>
          <w:szCs w:val="20"/>
          <w:lang w:eastAsia="en-US"/>
        </w:rPr>
        <w:lastRenderedPageBreak/>
        <w:t xml:space="preserve">- </w:t>
      </w:r>
      <w:r w:rsidR="00BF694E" w:rsidRPr="00BF694E">
        <w:rPr>
          <w:rFonts w:asciiTheme="majorHAnsi" w:eastAsiaTheme="minorHAnsi" w:hAnsiTheme="majorHAnsi" w:cstheme="minorBidi"/>
          <w:color w:val="000000" w:themeColor="text1"/>
          <w:sz w:val="20"/>
          <w:szCs w:val="20"/>
          <w:lang w:eastAsia="en-US"/>
        </w:rPr>
        <w:t>Белгородская обл. г. Белгород, ул Сумская, 168</w:t>
      </w:r>
      <w:r>
        <w:rPr>
          <w:rFonts w:asciiTheme="majorHAnsi" w:eastAsiaTheme="minorHAnsi" w:hAnsiTheme="majorHAnsi" w:cstheme="minorBidi"/>
          <w:color w:val="000000" w:themeColor="text1"/>
          <w:sz w:val="20"/>
          <w:szCs w:val="20"/>
          <w:lang w:eastAsia="en-US"/>
        </w:rPr>
        <w:t xml:space="preserve"> (</w:t>
      </w:r>
      <w:r w:rsidR="00BF694E">
        <w:rPr>
          <w:rFonts w:asciiTheme="majorHAnsi" w:eastAsiaTheme="minorHAnsi" w:hAnsiTheme="majorHAnsi" w:cstheme="minorBidi"/>
          <w:color w:val="000000" w:themeColor="text1"/>
          <w:sz w:val="20"/>
          <w:szCs w:val="20"/>
          <w:lang w:eastAsia="en-US"/>
        </w:rPr>
        <w:t>административно-бытовой комплекс</w:t>
      </w:r>
      <w:r>
        <w:rPr>
          <w:rFonts w:asciiTheme="majorHAnsi" w:eastAsiaTheme="minorHAnsi" w:hAnsiTheme="majorHAnsi" w:cstheme="minorBidi"/>
          <w:color w:val="000000" w:themeColor="text1"/>
          <w:sz w:val="20"/>
          <w:szCs w:val="20"/>
          <w:lang w:eastAsia="en-US"/>
        </w:rPr>
        <w:t>)</w:t>
      </w:r>
    </w:p>
    <w:p w:rsidR="00892150" w:rsidRDefault="00892150" w:rsidP="00892150">
      <w:pPr>
        <w:ind w:firstLine="709"/>
        <w:jc w:val="both"/>
        <w:rPr>
          <w:rFonts w:asciiTheme="majorHAnsi" w:eastAsiaTheme="minorHAnsi" w:hAnsiTheme="majorHAnsi" w:cstheme="minorBidi"/>
          <w:color w:val="000000" w:themeColor="text1"/>
          <w:sz w:val="20"/>
          <w:szCs w:val="20"/>
          <w:lang w:eastAsia="en-US"/>
        </w:rPr>
      </w:pPr>
    </w:p>
    <w:p w:rsidR="00892150" w:rsidRDefault="00BF694E" w:rsidP="00892150">
      <w:pPr>
        <w:jc w:val="both"/>
        <w:rPr>
          <w:rFonts w:asciiTheme="majorHAnsi" w:eastAsiaTheme="minorHAnsi" w:hAnsiTheme="majorHAnsi" w:cstheme="minorBidi"/>
          <w:color w:val="000000" w:themeColor="text1"/>
          <w:sz w:val="20"/>
          <w:szCs w:val="20"/>
          <w:lang w:eastAsia="en-US"/>
        </w:rPr>
      </w:pPr>
      <w:r>
        <w:rPr>
          <w:noProof/>
        </w:rPr>
        <w:drawing>
          <wp:inline distT="0" distB="0" distL="0" distR="0" wp14:anchorId="7A5DE677" wp14:editId="7F5F56B1">
            <wp:extent cx="6298353" cy="376111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3897" b="5017"/>
                    <a:stretch/>
                  </pic:blipFill>
                  <pic:spPr bwMode="auto">
                    <a:xfrm>
                      <a:off x="0" y="0"/>
                      <a:ext cx="6305304" cy="3765268"/>
                    </a:xfrm>
                    <a:prstGeom prst="rect">
                      <a:avLst/>
                    </a:prstGeom>
                    <a:ln>
                      <a:noFill/>
                    </a:ln>
                    <a:extLst>
                      <a:ext uri="{53640926-AAD7-44D8-BBD7-CCE9431645EC}">
                        <a14:shadowObscured xmlns:a14="http://schemas.microsoft.com/office/drawing/2010/main"/>
                      </a:ext>
                    </a:extLst>
                  </pic:spPr>
                </pic:pic>
              </a:graphicData>
            </a:graphic>
          </wp:inline>
        </w:drawing>
      </w:r>
    </w:p>
    <w:p w:rsidR="00BF694E" w:rsidRDefault="00BF694E" w:rsidP="00892150">
      <w:pPr>
        <w:ind w:firstLine="709"/>
        <w:jc w:val="both"/>
        <w:rPr>
          <w:rFonts w:asciiTheme="majorHAnsi" w:eastAsiaTheme="minorHAnsi" w:hAnsiTheme="majorHAnsi" w:cstheme="minorBidi"/>
          <w:color w:val="000000" w:themeColor="text1"/>
          <w:sz w:val="20"/>
          <w:szCs w:val="20"/>
          <w:lang w:eastAsia="en-US"/>
        </w:rPr>
      </w:pPr>
    </w:p>
    <w:p w:rsidR="00892150" w:rsidRDefault="00892150" w:rsidP="00892150">
      <w:pPr>
        <w:ind w:firstLine="709"/>
        <w:jc w:val="both"/>
        <w:rPr>
          <w:rFonts w:asciiTheme="majorHAnsi" w:eastAsiaTheme="minorHAnsi" w:hAnsiTheme="majorHAnsi" w:cstheme="minorBidi"/>
          <w:color w:val="000000" w:themeColor="text1"/>
          <w:sz w:val="20"/>
          <w:szCs w:val="20"/>
          <w:lang w:eastAsia="en-US"/>
        </w:rPr>
      </w:pPr>
      <w:r>
        <w:rPr>
          <w:rFonts w:asciiTheme="majorHAnsi" w:eastAsiaTheme="minorHAnsi" w:hAnsiTheme="majorHAnsi" w:cstheme="minorBidi"/>
          <w:color w:val="000000" w:themeColor="text1"/>
          <w:sz w:val="20"/>
          <w:szCs w:val="20"/>
          <w:lang w:eastAsia="en-US"/>
        </w:rPr>
        <w:t>Земельный участок расположен в</w:t>
      </w:r>
      <w:r w:rsidR="00BF694E">
        <w:rPr>
          <w:rFonts w:asciiTheme="majorHAnsi" w:eastAsiaTheme="minorHAnsi" w:hAnsiTheme="majorHAnsi" w:cstheme="minorBidi"/>
          <w:color w:val="000000" w:themeColor="text1"/>
          <w:sz w:val="20"/>
          <w:szCs w:val="20"/>
          <w:lang w:eastAsia="en-US"/>
        </w:rPr>
        <w:t xml:space="preserve"> г.Белгород,</w:t>
      </w:r>
      <w:r>
        <w:rPr>
          <w:rFonts w:asciiTheme="majorHAnsi" w:eastAsiaTheme="minorHAnsi" w:hAnsiTheme="majorHAnsi" w:cstheme="minorBidi"/>
          <w:color w:val="000000" w:themeColor="text1"/>
          <w:sz w:val="20"/>
          <w:szCs w:val="20"/>
          <w:lang w:eastAsia="en-US"/>
        </w:rPr>
        <w:t xml:space="preserve"> </w:t>
      </w:r>
      <w:r w:rsidR="00BF694E">
        <w:rPr>
          <w:rFonts w:asciiTheme="majorHAnsi" w:eastAsiaTheme="minorHAnsi" w:hAnsiTheme="majorHAnsi" w:cstheme="minorBidi"/>
          <w:color w:val="000000" w:themeColor="text1"/>
          <w:sz w:val="20"/>
          <w:szCs w:val="20"/>
          <w:lang w:eastAsia="en-US"/>
        </w:rPr>
        <w:t>Белгородской</w:t>
      </w:r>
      <w:r>
        <w:rPr>
          <w:rFonts w:asciiTheme="majorHAnsi" w:eastAsiaTheme="minorHAnsi" w:hAnsiTheme="majorHAnsi" w:cstheme="minorBidi"/>
          <w:color w:val="000000" w:themeColor="text1"/>
          <w:sz w:val="20"/>
          <w:szCs w:val="20"/>
          <w:lang w:eastAsia="en-US"/>
        </w:rPr>
        <w:t xml:space="preserve"> области, имеет среднюю степень коммерческой привлекательности. Объект оценки находится в непосредственной близости к красной линии, к участку подведены коммуникации. Объект отличается хорошей транспортной доступностью. </w:t>
      </w:r>
    </w:p>
    <w:p w:rsidR="00892150" w:rsidRDefault="00892150" w:rsidP="00892150">
      <w:pPr>
        <w:autoSpaceDE w:val="0"/>
        <w:autoSpaceDN w:val="0"/>
        <w:adjustRightInd w:val="0"/>
        <w:ind w:firstLine="709"/>
        <w:jc w:val="both"/>
        <w:rPr>
          <w:rFonts w:ascii="Cambria" w:eastAsiaTheme="minorHAnsi" w:hAnsi="Cambria" w:cs="Cambria"/>
          <w:bCs/>
          <w:color w:val="000000"/>
          <w:sz w:val="20"/>
          <w:szCs w:val="20"/>
          <w:lang w:eastAsia="en-US"/>
        </w:rPr>
      </w:pPr>
      <w:r>
        <w:rPr>
          <w:rFonts w:ascii="Cambria" w:eastAsiaTheme="minorHAnsi" w:hAnsi="Cambria" w:cs="Cambria"/>
          <w:bCs/>
          <w:color w:val="000000"/>
          <w:sz w:val="20"/>
          <w:szCs w:val="20"/>
          <w:lang w:eastAsia="en-US"/>
        </w:rPr>
        <w:t xml:space="preserve">В ходе оценки (производства расчетов), в соответствии с требованиями законодательства, Оценщик не использовал сведения о событиях (улучшениях объектов капитального строительства, расположенных на оцениваемых участках) произошедших после даты оценки. </w:t>
      </w:r>
    </w:p>
    <w:p w:rsidR="00BF694E" w:rsidRDefault="00BF694E" w:rsidP="00892150">
      <w:pPr>
        <w:autoSpaceDE w:val="0"/>
        <w:autoSpaceDN w:val="0"/>
        <w:adjustRightInd w:val="0"/>
        <w:ind w:firstLine="709"/>
        <w:jc w:val="both"/>
        <w:rPr>
          <w:rFonts w:ascii="Cambria" w:eastAsiaTheme="minorHAnsi" w:hAnsi="Cambria" w:cs="Cambria"/>
          <w:color w:val="000000"/>
          <w:sz w:val="20"/>
          <w:szCs w:val="20"/>
          <w:lang w:eastAsia="en-US"/>
        </w:rPr>
      </w:pPr>
    </w:p>
    <w:p w:rsidR="00234315" w:rsidRDefault="00234315" w:rsidP="00234315">
      <w:pPr>
        <w:tabs>
          <w:tab w:val="left" w:pos="2106"/>
        </w:tabs>
        <w:ind w:firstLine="709"/>
        <w:rPr>
          <w:rFonts w:asciiTheme="majorHAnsi" w:eastAsiaTheme="minorHAnsi" w:hAnsiTheme="majorHAnsi"/>
          <w:b/>
          <w:sz w:val="20"/>
          <w:szCs w:val="20"/>
          <w:lang w:eastAsia="en-US"/>
        </w:rPr>
      </w:pPr>
      <w:r w:rsidRPr="00234315">
        <w:rPr>
          <w:rFonts w:asciiTheme="majorHAnsi" w:eastAsiaTheme="minorHAnsi" w:hAnsiTheme="majorHAnsi"/>
          <w:sz w:val="20"/>
          <w:szCs w:val="20"/>
          <w:lang w:eastAsia="en-US"/>
        </w:rPr>
        <w:tab/>
      </w:r>
      <w:r w:rsidRPr="00234315">
        <w:rPr>
          <w:rFonts w:asciiTheme="majorHAnsi" w:eastAsiaTheme="minorHAnsi" w:hAnsiTheme="majorHAnsi"/>
          <w:b/>
          <w:sz w:val="20"/>
          <w:szCs w:val="20"/>
          <w:lang w:eastAsia="en-US"/>
        </w:rPr>
        <w:t>Выводы о степени ликвидности недвижимости</w:t>
      </w:r>
    </w:p>
    <w:p w:rsidR="00BF694E" w:rsidRPr="00234315" w:rsidRDefault="00BF694E" w:rsidP="00234315">
      <w:pPr>
        <w:tabs>
          <w:tab w:val="left" w:pos="2106"/>
        </w:tabs>
        <w:ind w:firstLine="709"/>
        <w:rPr>
          <w:rFonts w:asciiTheme="majorHAnsi" w:eastAsiaTheme="minorHAnsi" w:hAnsiTheme="majorHAnsi"/>
          <w:b/>
          <w:sz w:val="20"/>
          <w:szCs w:val="20"/>
          <w:lang w:eastAsia="en-US"/>
        </w:rPr>
      </w:pPr>
    </w:p>
    <w:p w:rsidR="00234315" w:rsidRPr="00234315" w:rsidRDefault="00234315" w:rsidP="00234315">
      <w:pPr>
        <w:autoSpaceDE w:val="0"/>
        <w:autoSpaceDN w:val="0"/>
        <w:adjustRightInd w:val="0"/>
        <w:ind w:firstLine="709"/>
        <w:jc w:val="both"/>
        <w:rPr>
          <w:rFonts w:asciiTheme="majorHAnsi" w:eastAsiaTheme="minorHAnsi" w:hAnsiTheme="majorHAnsi"/>
          <w:sz w:val="20"/>
          <w:szCs w:val="20"/>
          <w:lang w:eastAsia="en-US"/>
        </w:rPr>
      </w:pPr>
      <w:r w:rsidRPr="00234315">
        <w:rPr>
          <w:rFonts w:asciiTheme="majorHAnsi" w:eastAsiaTheme="minorHAnsi" w:hAnsiTheme="majorHAnsi"/>
          <w:sz w:val="20"/>
          <w:szCs w:val="20"/>
          <w:lang w:eastAsia="en-US"/>
        </w:rPr>
        <w:t>Ликвидность коммерческой недвижимости определяется в зависимости от прогнозируемого срока реализации имущества на свободном рынке по рыночной стоимости. По срокам реализации ликвидность может быть разделена на:</w:t>
      </w:r>
    </w:p>
    <w:p w:rsidR="00234315" w:rsidRPr="00234315" w:rsidRDefault="00234315" w:rsidP="00234315">
      <w:pPr>
        <w:autoSpaceDE w:val="0"/>
        <w:autoSpaceDN w:val="0"/>
        <w:adjustRightInd w:val="0"/>
        <w:ind w:firstLine="709"/>
        <w:jc w:val="both"/>
        <w:rPr>
          <w:rFonts w:asciiTheme="majorHAnsi" w:eastAsiaTheme="minorHAnsi" w:hAnsiTheme="majorHAnsi"/>
          <w:sz w:val="20"/>
          <w:szCs w:val="20"/>
          <w:lang w:eastAsia="en-US"/>
        </w:rPr>
      </w:pPr>
      <w:r w:rsidRPr="00234315">
        <w:rPr>
          <w:rFonts w:asciiTheme="majorHAnsi" w:eastAsiaTheme="minorHAnsi" w:hAnsiTheme="majorHAnsi"/>
          <w:sz w:val="20"/>
          <w:szCs w:val="20"/>
          <w:lang w:eastAsia="en-US"/>
        </w:rPr>
        <w:t>Высокая (срок реализации 1-2 месяца)</w:t>
      </w:r>
    </w:p>
    <w:p w:rsidR="00234315" w:rsidRPr="00234315" w:rsidRDefault="00234315" w:rsidP="00234315">
      <w:pPr>
        <w:autoSpaceDE w:val="0"/>
        <w:autoSpaceDN w:val="0"/>
        <w:adjustRightInd w:val="0"/>
        <w:ind w:firstLine="709"/>
        <w:jc w:val="both"/>
        <w:rPr>
          <w:rFonts w:asciiTheme="majorHAnsi" w:eastAsiaTheme="minorHAnsi" w:hAnsiTheme="majorHAnsi"/>
          <w:sz w:val="20"/>
          <w:szCs w:val="20"/>
          <w:lang w:eastAsia="en-US"/>
        </w:rPr>
      </w:pPr>
      <w:r w:rsidRPr="00234315">
        <w:rPr>
          <w:rFonts w:asciiTheme="majorHAnsi" w:eastAsiaTheme="minorHAnsi" w:hAnsiTheme="majorHAnsi"/>
          <w:sz w:val="20"/>
          <w:szCs w:val="20"/>
          <w:lang w:eastAsia="en-US"/>
        </w:rPr>
        <w:t>Средняя (срок реализации 3-6 месяцев)</w:t>
      </w:r>
    </w:p>
    <w:p w:rsidR="00234315" w:rsidRPr="00234315" w:rsidRDefault="00234315" w:rsidP="00234315">
      <w:pPr>
        <w:autoSpaceDE w:val="0"/>
        <w:autoSpaceDN w:val="0"/>
        <w:adjustRightInd w:val="0"/>
        <w:ind w:firstLine="709"/>
        <w:jc w:val="both"/>
        <w:rPr>
          <w:rFonts w:asciiTheme="majorHAnsi" w:eastAsiaTheme="minorHAnsi" w:hAnsiTheme="majorHAnsi"/>
          <w:sz w:val="20"/>
          <w:szCs w:val="20"/>
          <w:lang w:eastAsia="en-US"/>
        </w:rPr>
      </w:pPr>
      <w:r w:rsidRPr="00234315">
        <w:rPr>
          <w:rFonts w:asciiTheme="majorHAnsi" w:eastAsiaTheme="minorHAnsi" w:hAnsiTheme="majorHAnsi"/>
          <w:sz w:val="20"/>
          <w:szCs w:val="20"/>
          <w:lang w:eastAsia="en-US"/>
        </w:rPr>
        <w:t>Низкая (срок реализации 7-18 месяцев)</w:t>
      </w:r>
    </w:p>
    <w:p w:rsidR="00234315" w:rsidRPr="00234315" w:rsidRDefault="00234315" w:rsidP="00234315">
      <w:pPr>
        <w:suppressAutoHyphens/>
        <w:ind w:firstLine="709"/>
        <w:jc w:val="both"/>
        <w:rPr>
          <w:rFonts w:asciiTheme="majorHAnsi" w:eastAsiaTheme="minorHAnsi" w:hAnsiTheme="majorHAnsi"/>
          <w:sz w:val="20"/>
          <w:szCs w:val="20"/>
          <w:lang w:eastAsia="en-US"/>
        </w:rPr>
      </w:pPr>
      <w:r w:rsidRPr="00234315">
        <w:rPr>
          <w:rFonts w:asciiTheme="majorHAnsi" w:eastAsiaTheme="minorHAnsi" w:hAnsiTheme="majorHAnsi"/>
          <w:sz w:val="20"/>
          <w:szCs w:val="20"/>
          <w:lang w:eastAsia="en-US"/>
        </w:rPr>
        <w:t>Основные факторы, которые будут влиять на ликвидность объекта, - месторасположение, функциональное назначение и коммерческое использование объекта, объемно-планировочные решения внутри здания, техническая оснащенность, обеспеченность современными инженерными системами. По мнению оценщика, оцениваемые объекты отвечают всем выше перечисленным требованиям, влияющим на ликвидность имущества. Таким образом, имущество, оцениваемое в настоящем отчете, имеет среднюю степень ликвидности и может быть реализовано в срок от 3 до 6 месяцев.</w:t>
      </w:r>
    </w:p>
    <w:p w:rsidR="00234315" w:rsidRPr="00234315" w:rsidRDefault="00234315" w:rsidP="0090764B">
      <w:pPr>
        <w:keepNext/>
        <w:keepLines/>
        <w:numPr>
          <w:ilvl w:val="1"/>
          <w:numId w:val="11"/>
        </w:numPr>
        <w:spacing w:before="600" w:after="120"/>
        <w:jc w:val="both"/>
        <w:outlineLvl w:val="1"/>
        <w:rPr>
          <w:rFonts w:asciiTheme="majorHAnsi" w:eastAsiaTheme="majorEastAsia" w:hAnsiTheme="majorHAnsi" w:cstheme="majorBidi"/>
          <w:b/>
          <w:bCs/>
          <w:smallCaps/>
          <w:sz w:val="22"/>
          <w:szCs w:val="26"/>
          <w:lang w:eastAsia="en-US"/>
        </w:rPr>
      </w:pPr>
      <w:bookmarkStart w:id="46" w:name="_Toc442446515"/>
      <w:bookmarkStart w:id="47" w:name="_Toc491763296"/>
      <w:r w:rsidRPr="00DB6A64">
        <w:rPr>
          <w:rFonts w:asciiTheme="majorHAnsi" w:eastAsiaTheme="majorEastAsia" w:hAnsiTheme="majorHAnsi" w:cstheme="majorBidi"/>
          <w:b/>
          <w:bCs/>
          <w:sz w:val="20"/>
          <w:szCs w:val="20"/>
        </w:rPr>
        <w:t>Анализ наиболее эффективного использования</w:t>
      </w:r>
      <w:bookmarkEnd w:id="46"/>
      <w:bookmarkEnd w:id="47"/>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Наилучшее и наиболее эффективное использование объектов оценки является основополагающей предпосылкой при определении рыночной стоимости.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Заключение о наилучшем использовании отражает мнение Оценщика в отношении наилучшего использования собственности, исходя из анализа состояния рынка. Понятие «наиболее эффективное использование», применяемое в данном отчёте, подразумевает «собой такое использование недвижимости, которое максимизирует ее продуктивность (соответствует ее наибольшей стоимости) и которое физически возможно, юридически разрешено (на дату определения стоимости объекта оценки) и финансово оправдано».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lastRenderedPageBreak/>
        <w:t xml:space="preserve">При этом рыночная стоимость объекта капитального строительства, расположенного на земельном участке, или объектов капитального строительства для внесения этой стоимости в государственный кадастр недвижимости оценивается исходя из вида фактического использования оцениваемого объекта.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Анализ наилучшего и наиболее эффективного использования выполняется методом проверки соответствия рассматриваемых вариантов использования следующим критериям: </w:t>
      </w:r>
    </w:p>
    <w:p w:rsidR="00093F74" w:rsidRPr="00093F74" w:rsidRDefault="00093F74" w:rsidP="00093F74">
      <w:pPr>
        <w:autoSpaceDE w:val="0"/>
        <w:autoSpaceDN w:val="0"/>
        <w:adjustRightInd w:val="0"/>
        <w:spacing w:after="104"/>
        <w:ind w:firstLine="709"/>
        <w:jc w:val="both"/>
        <w:rPr>
          <w:rFonts w:ascii="Cambria" w:eastAsiaTheme="minorHAnsi" w:hAnsi="Cambria" w:cs="Cambria"/>
          <w:color w:val="000000"/>
          <w:sz w:val="20"/>
          <w:szCs w:val="20"/>
          <w:lang w:eastAsia="en-US"/>
        </w:rPr>
      </w:pPr>
      <w:r w:rsidRPr="00093F74">
        <w:rPr>
          <w:rFonts w:ascii="Wingdings" w:eastAsiaTheme="minorHAnsi" w:hAnsi="Wingdings" w:cs="Wingdings"/>
          <w:color w:val="000000"/>
          <w:sz w:val="20"/>
          <w:szCs w:val="20"/>
          <w:lang w:eastAsia="en-US"/>
        </w:rPr>
        <w:t></w:t>
      </w:r>
      <w:r w:rsidRPr="00093F74">
        <w:rPr>
          <w:rFonts w:ascii="Wingdings" w:eastAsiaTheme="minorHAnsi" w:hAnsi="Wingdings" w:cs="Wingdings"/>
          <w:color w:val="000000"/>
          <w:sz w:val="20"/>
          <w:szCs w:val="20"/>
          <w:lang w:eastAsia="en-US"/>
        </w:rPr>
        <w:t></w:t>
      </w:r>
      <w:r w:rsidRPr="00093F74">
        <w:rPr>
          <w:rFonts w:ascii="Cambria" w:eastAsiaTheme="minorHAnsi" w:hAnsi="Cambria" w:cs="Cambria"/>
          <w:color w:val="000000"/>
          <w:sz w:val="20"/>
          <w:szCs w:val="20"/>
          <w:lang w:eastAsia="en-US"/>
        </w:rPr>
        <w:t xml:space="preserve">Юридическая допустимость: рассмотрение тех способов использования, которые разрешены распоряжениями о зонировании, нормами градостроительства, экологическим законодательством и др. </w:t>
      </w:r>
    </w:p>
    <w:p w:rsidR="00093F74" w:rsidRPr="00093F74" w:rsidRDefault="00093F74" w:rsidP="00093F74">
      <w:pPr>
        <w:autoSpaceDE w:val="0"/>
        <w:autoSpaceDN w:val="0"/>
        <w:adjustRightInd w:val="0"/>
        <w:spacing w:after="104"/>
        <w:ind w:firstLine="709"/>
        <w:jc w:val="both"/>
        <w:rPr>
          <w:rFonts w:ascii="Cambria" w:eastAsiaTheme="minorHAnsi" w:hAnsi="Cambria" w:cs="Cambria"/>
          <w:color w:val="000000"/>
          <w:sz w:val="20"/>
          <w:szCs w:val="20"/>
          <w:lang w:eastAsia="en-US"/>
        </w:rPr>
      </w:pPr>
      <w:r w:rsidRPr="00093F74">
        <w:rPr>
          <w:rFonts w:ascii="Wingdings" w:eastAsiaTheme="minorHAnsi" w:hAnsi="Wingdings" w:cs="Wingdings"/>
          <w:color w:val="000000"/>
          <w:sz w:val="20"/>
          <w:szCs w:val="20"/>
          <w:lang w:eastAsia="en-US"/>
        </w:rPr>
        <w:t></w:t>
      </w:r>
      <w:r w:rsidRPr="00093F74">
        <w:rPr>
          <w:rFonts w:ascii="Wingdings" w:eastAsiaTheme="minorHAnsi" w:hAnsi="Wingdings" w:cs="Wingdings"/>
          <w:color w:val="000000"/>
          <w:sz w:val="20"/>
          <w:szCs w:val="20"/>
          <w:lang w:eastAsia="en-US"/>
        </w:rPr>
        <w:t></w:t>
      </w:r>
      <w:r w:rsidRPr="00093F74">
        <w:rPr>
          <w:rFonts w:ascii="Cambria" w:eastAsiaTheme="minorHAnsi" w:hAnsi="Cambria" w:cs="Cambria"/>
          <w:color w:val="000000"/>
          <w:sz w:val="20"/>
          <w:szCs w:val="20"/>
          <w:lang w:eastAsia="en-US"/>
        </w:rPr>
        <w:t xml:space="preserve">Физическая осуществимость: рассмотрение физически реальных в данной местности способов использования. </w:t>
      </w:r>
    </w:p>
    <w:p w:rsidR="00093F74" w:rsidRPr="00093F74" w:rsidRDefault="00093F74" w:rsidP="00093F74">
      <w:pPr>
        <w:autoSpaceDE w:val="0"/>
        <w:autoSpaceDN w:val="0"/>
        <w:adjustRightInd w:val="0"/>
        <w:spacing w:after="104"/>
        <w:ind w:firstLine="709"/>
        <w:jc w:val="both"/>
        <w:rPr>
          <w:rFonts w:ascii="Cambria" w:eastAsiaTheme="minorHAnsi" w:hAnsi="Cambria" w:cs="Cambria"/>
          <w:color w:val="000000"/>
          <w:sz w:val="20"/>
          <w:szCs w:val="20"/>
          <w:lang w:eastAsia="en-US"/>
        </w:rPr>
      </w:pPr>
      <w:r w:rsidRPr="00093F74">
        <w:rPr>
          <w:rFonts w:ascii="Wingdings" w:eastAsiaTheme="minorHAnsi" w:hAnsi="Wingdings" w:cs="Wingdings"/>
          <w:color w:val="000000"/>
          <w:sz w:val="20"/>
          <w:szCs w:val="20"/>
          <w:lang w:eastAsia="en-US"/>
        </w:rPr>
        <w:t></w:t>
      </w:r>
      <w:r w:rsidRPr="00093F74">
        <w:rPr>
          <w:rFonts w:ascii="Wingdings" w:eastAsiaTheme="minorHAnsi" w:hAnsi="Wingdings" w:cs="Wingdings"/>
          <w:color w:val="000000"/>
          <w:sz w:val="20"/>
          <w:szCs w:val="20"/>
          <w:lang w:eastAsia="en-US"/>
        </w:rPr>
        <w:t></w:t>
      </w:r>
      <w:r w:rsidRPr="00093F74">
        <w:rPr>
          <w:rFonts w:ascii="Cambria" w:eastAsiaTheme="minorHAnsi" w:hAnsi="Cambria" w:cs="Cambria"/>
          <w:color w:val="000000"/>
          <w:sz w:val="20"/>
          <w:szCs w:val="20"/>
          <w:lang w:eastAsia="en-US"/>
        </w:rPr>
        <w:t xml:space="preserve">Финансовая осуществимость: рассмотрение того, какое из физически осуществимых и законодательно разрешённых видов использования будет давать приемлемый доход владельцу объекта недвижимости.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Wingdings" w:eastAsiaTheme="minorHAnsi" w:hAnsi="Wingdings" w:cs="Wingdings"/>
          <w:color w:val="000000"/>
          <w:sz w:val="20"/>
          <w:szCs w:val="20"/>
          <w:lang w:eastAsia="en-US"/>
        </w:rPr>
        <w:t></w:t>
      </w:r>
      <w:r w:rsidRPr="00093F74">
        <w:rPr>
          <w:rFonts w:ascii="Wingdings" w:eastAsiaTheme="minorHAnsi" w:hAnsi="Wingdings" w:cs="Wingdings"/>
          <w:color w:val="000000"/>
          <w:sz w:val="20"/>
          <w:szCs w:val="20"/>
          <w:lang w:eastAsia="en-US"/>
        </w:rPr>
        <w:t></w:t>
      </w:r>
      <w:r w:rsidRPr="00093F74">
        <w:rPr>
          <w:rFonts w:ascii="Cambria" w:eastAsiaTheme="minorHAnsi" w:hAnsi="Cambria" w:cs="Cambria"/>
          <w:color w:val="000000"/>
          <w:sz w:val="20"/>
          <w:szCs w:val="20"/>
          <w:lang w:eastAsia="en-US"/>
        </w:rPr>
        <w:t xml:space="preserve">Максимальная эффективность: рассмотрение того, какое из юридически допустимых, физически возможных, финансово осуществимых использований будет приносить максимальный чистый доход или максимальную текущую стоимость объекта недвижимости.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Критерием максимальной эффективности является положительный возврат инвестируемого капитала, т. е. возврат равный или больший расходов на компенсацию затрат на содержание, финансовых обязательств и возврата самого капитала. В большей степени финансовая осуществимость зависит от соотношения спроса и предложения и местоположения, которые определяют такие характеристики, как валовой доход, операционные расходы, потери и т.д. Величина чистого операционного дохода допустимого варианта использования должна удовлетворять требуемой норме возврата.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Проводя анализ НЭИ объекта оценки Оценщик </w:t>
      </w:r>
    </w:p>
    <w:p w:rsidR="00093F74" w:rsidRDefault="00093F74" w:rsidP="00093F74">
      <w:pPr>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во-первых, устанавливает возможные варианты использования объекта с точки зрения юридической допустимости, физической и финансовой осуществимости;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во-вторых, анализирует какой из возможных вариантов использования объектов принесет наибольшую финансовую выгоду владельцу объекта.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Анализ выполняется путем проведения необходимых для этого вычислений либо без них, если представлены обоснования, не требующие расчетов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При анализе оптимального варианта использования объекта оценки Оценщик провел качественный анализ возможных видов его использования, удовлетворяющих вышеописанным критериям.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Наилучшее использование не является Абсолютным. Оно отражает мнение оценщика в отношении наилучшего использования собственности, исходя из анализа господствующих рыночных условий.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Таким образом, наилучшее и наиболее эффективное использование земельных участков с учетом возможности изменения состава предполагаемой застройки объектами, приносящими доход в настоящем отчете рассматривается с учетом функционального назначения и конструктивных особенностей и имеющихся ограничений в использовании.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Вариант использования объекта недвижимости имеет две основные разновидности: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Pr>
          <w:rFonts w:ascii="Cambria" w:eastAsiaTheme="minorHAnsi" w:hAnsi="Cambria" w:cs="Cambria"/>
          <w:color w:val="000000"/>
          <w:sz w:val="20"/>
          <w:szCs w:val="20"/>
          <w:lang w:eastAsia="en-US"/>
        </w:rPr>
        <w:t xml:space="preserve">- </w:t>
      </w:r>
      <w:r w:rsidRPr="00093F74">
        <w:rPr>
          <w:rFonts w:ascii="Cambria" w:eastAsiaTheme="minorHAnsi" w:hAnsi="Cambria" w:cs="Cambria"/>
          <w:color w:val="000000"/>
          <w:sz w:val="20"/>
          <w:szCs w:val="20"/>
          <w:lang w:eastAsia="en-US"/>
        </w:rPr>
        <w:t xml:space="preserve">сохранение существующего назначения оцениваемой недвижимости (разрешенного использования земельного участка);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 изменение существующего назначения оцениваемой недвижимости (смены разрешенного использования земельного участка). </w:t>
      </w:r>
    </w:p>
    <w:p w:rsidR="00093F74" w:rsidRDefault="00093F74" w:rsidP="00093F74">
      <w:pPr>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(В настоящем отчете участок застроен, НЭИ рассматривается с учетом застройки земельного участка).</w:t>
      </w:r>
    </w:p>
    <w:p w:rsidR="00093F74" w:rsidRDefault="00093F74" w:rsidP="00093F74">
      <w:pPr>
        <w:jc w:val="both"/>
        <w:rPr>
          <w:rFonts w:ascii="Cambria" w:eastAsiaTheme="minorHAnsi" w:hAnsi="Cambria" w:cs="Cambria"/>
          <w:color w:val="000000"/>
          <w:sz w:val="20"/>
          <w:szCs w:val="20"/>
          <w:lang w:eastAsia="en-US"/>
        </w:rPr>
      </w:pP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b/>
          <w:bCs/>
          <w:color w:val="000000"/>
          <w:sz w:val="20"/>
          <w:szCs w:val="20"/>
          <w:lang w:eastAsia="en-US"/>
        </w:rPr>
        <w:t xml:space="preserve">Юридическая допустимость: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Согласно Земельному кодексу РФ (далее ЗК РФ) ст. 85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1) жилым;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2) общественно-деловым;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3) производственным;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4) инженерных и транспортных инфраструктур;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5) рекреационным;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6) сельскохозяйственного использования;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7) специального назначения;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8) военных объектов;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9) иным территориальным зонам».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Границы территориальных зон должны отвечать требованиям принадлежности каждого земельного участка только к одной зоне.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lastRenderedPageBreak/>
        <w:t xml:space="preserve">Правилами землепользования и застройки устанавливается градостроительный регламент для каждой территориальной зоны индивидуально, с учетом особенностей ее расположения и развития, а также возможности территориального сочетания различных видов использования земельных участков (жилого, общественно-делового, производственного, рекреационного и иных видов использования земельных участков). </w:t>
      </w:r>
    </w:p>
    <w:p w:rsidR="00093F74" w:rsidRDefault="00093F74" w:rsidP="00093F74">
      <w:pPr>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Для земельных участков, расположенных в границах одной территориальной зоны, устанавливается единый градостроительный регламент. Градостроительный регламент территориальной зоны определяет основу правового режима земельных участков, равно как всего, что находится над и под поверхностью земельных участков и используется в процессе застройки и последующей эксплуатации зданий, строений, сооружений</w:t>
      </w:r>
      <w:r>
        <w:rPr>
          <w:rFonts w:ascii="Cambria" w:eastAsiaTheme="minorHAnsi" w:hAnsi="Cambria" w:cs="Cambria"/>
          <w:color w:val="000000"/>
          <w:sz w:val="20"/>
          <w:szCs w:val="20"/>
          <w:lang w:eastAsia="en-US"/>
        </w:rPr>
        <w:t>.</w:t>
      </w:r>
    </w:p>
    <w:p w:rsidR="00234315" w:rsidRPr="00234315" w:rsidRDefault="00234315" w:rsidP="00093F74">
      <w:pPr>
        <w:ind w:firstLine="709"/>
        <w:jc w:val="both"/>
        <w:rPr>
          <w:rFonts w:asciiTheme="majorHAnsi" w:eastAsiaTheme="minorHAnsi" w:hAnsiTheme="majorHAnsi" w:cstheme="minorBidi"/>
          <w:sz w:val="20"/>
          <w:szCs w:val="20"/>
          <w:lang w:eastAsia="en-US"/>
        </w:rPr>
      </w:pP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Градостроительные регламенты обязательны для исполнения всеми собственниками земельных участков, землепользователями, землевладельцами и арендаторами земельных участков независимо от форм собственности и иных прав на земельные участки.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Указанные лица могут использовать земельные участки в соответствии с любым предусмотренным градостроительным регламентом для каждой территориальной зоны видом разрешенного использования.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Детализация принципа целевого использования земельного участка в черте поселений осуществляется посредством категории "разрешенное использование". Ныне действующий ГК РФ этого понятия не раскрывает, перечисляя лишь виды разрешенного использования: 1) основные; 2) условно разрешенные; 3) вспомогательные, допустимые только в качестве дополнительных к первым двум видам разрешенного использования (п. 1 ст. 37 ГК РФ).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Земельный участок и прочно связанные с ним объекты недвижимости не соответствуют установленному градостроительному регламенту территориальных зон в случае, если: </w:t>
      </w:r>
    </w:p>
    <w:p w:rsidR="00093F74" w:rsidRPr="00093F74" w:rsidRDefault="00093F74" w:rsidP="00093F74">
      <w:pPr>
        <w:autoSpaceDE w:val="0"/>
        <w:autoSpaceDN w:val="0"/>
        <w:adjustRightInd w:val="0"/>
        <w:spacing w:after="27"/>
        <w:ind w:firstLine="709"/>
        <w:jc w:val="both"/>
        <w:rPr>
          <w:rFonts w:ascii="Cambria" w:eastAsiaTheme="minorHAnsi" w:hAnsi="Cambria" w:cs="Cambria"/>
          <w:color w:val="000000"/>
          <w:sz w:val="20"/>
          <w:szCs w:val="20"/>
          <w:lang w:eastAsia="en-US"/>
        </w:rPr>
      </w:pPr>
      <w:r w:rsidRPr="00093F74">
        <w:rPr>
          <w:rFonts w:ascii="Segoe UI" w:eastAsiaTheme="minorHAnsi" w:hAnsi="Segoe UI" w:cs="Segoe UI"/>
          <w:color w:val="000000"/>
          <w:sz w:val="20"/>
          <w:szCs w:val="20"/>
          <w:lang w:eastAsia="en-US"/>
        </w:rPr>
        <w:t xml:space="preserve">- </w:t>
      </w:r>
      <w:r w:rsidRPr="00093F74">
        <w:rPr>
          <w:rFonts w:ascii="Cambria" w:eastAsiaTheme="minorHAnsi" w:hAnsi="Cambria" w:cs="Cambria"/>
          <w:color w:val="000000"/>
          <w:sz w:val="20"/>
          <w:szCs w:val="20"/>
          <w:lang w:eastAsia="en-US"/>
        </w:rPr>
        <w:t xml:space="preserve">виды их использования не входят в перечень видов разрешенного использования;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Segoe UI" w:eastAsiaTheme="minorHAnsi" w:hAnsi="Segoe UI" w:cs="Segoe UI"/>
          <w:color w:val="000000"/>
          <w:sz w:val="20"/>
          <w:szCs w:val="20"/>
          <w:lang w:eastAsia="en-US"/>
        </w:rPr>
        <w:t xml:space="preserve">- </w:t>
      </w:r>
      <w:r w:rsidRPr="00093F74">
        <w:rPr>
          <w:rFonts w:ascii="Cambria" w:eastAsiaTheme="minorHAnsi" w:hAnsi="Cambria" w:cs="Cambria"/>
          <w:color w:val="000000"/>
          <w:sz w:val="20"/>
          <w:szCs w:val="20"/>
          <w:lang w:eastAsia="en-US"/>
        </w:rPr>
        <w:t xml:space="preserve">их размеры не соответствуют предельным значениям, установленным градостроительным регламентом.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Существующая практика делового оборота допускает возможность изменения целевого назначения земельного участка, однако при строительстве возможны ограничения на строительство того или иного типа объектов недвижимости, что следует рассматривать как дополнительный сервитут. Более того, правом изменения основных и вспомогательных видов разрешенного использования земельных участков и объектов капитального строительства обладают согласно п.4 ст. 37 ГК РФ, правообладатели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 Кроме того, с учетом размещения на ЗУ объектов капитального строительства, обороноспособность их ограничена законодательством в рамках Гражданского и Земельного Кодекса. </w:t>
      </w:r>
    </w:p>
    <w:p w:rsid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Юридическая допустимость использования земельного участка целесообразно рассматривать с учетом разрешённого использования.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b/>
          <w:bCs/>
          <w:color w:val="000000"/>
          <w:sz w:val="20"/>
          <w:szCs w:val="20"/>
          <w:lang w:eastAsia="en-US"/>
        </w:rPr>
        <w:t xml:space="preserve">Физическая осуществимость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Физическая осуществимость использования объекта оценки предусматривает физическую возможность эксплуатации объекта недвижимости.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При этом, следует учитывать следующие существенные факты: нормативы плотности застройки, средняя этажность окружающей застройки, существующие ограничения по высоте, топография земельного участка и пр.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Физическая осуществимость улучшений застроенных участков ничем не ограничена. Проведенный анализ показал, что топография земельного участка, его физическая характеристика и ближайшее окружение - позволяют использовать его под размещение объектов недвижимости </w:t>
      </w:r>
      <w:r w:rsidR="00563A76">
        <w:rPr>
          <w:rFonts w:ascii="Cambria" w:eastAsiaTheme="minorHAnsi" w:hAnsi="Cambria" w:cs="Cambria"/>
          <w:color w:val="000000"/>
          <w:sz w:val="20"/>
          <w:szCs w:val="20"/>
          <w:lang w:eastAsia="en-US"/>
        </w:rPr>
        <w:t xml:space="preserve">любого </w:t>
      </w:r>
      <w:r w:rsidRPr="00093F74">
        <w:rPr>
          <w:rFonts w:ascii="Cambria" w:eastAsiaTheme="minorHAnsi" w:hAnsi="Cambria" w:cs="Cambria"/>
          <w:color w:val="000000"/>
          <w:sz w:val="20"/>
          <w:szCs w:val="20"/>
          <w:lang w:eastAsia="en-US"/>
        </w:rPr>
        <w:t xml:space="preserve">назначения (за исключением связанных с ограничениями экологического, природозащитного и т. п. характера). </w:t>
      </w:r>
    </w:p>
    <w:p w:rsid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Учитывая разрешенное использование земельных участков, Оценщик полагает физически возможным использование земельных участков в соответствии с разрешенным использованием.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b/>
          <w:bCs/>
          <w:color w:val="000000"/>
          <w:sz w:val="20"/>
          <w:szCs w:val="20"/>
          <w:lang w:eastAsia="en-US"/>
        </w:rPr>
        <w:t xml:space="preserve">Финансовая осуществимость </w:t>
      </w:r>
    </w:p>
    <w:p w:rsidR="00093F74" w:rsidRPr="00093F74" w:rsidRDefault="00093F74" w:rsidP="00093F74">
      <w:pPr>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Из физически осуществимых и законодательно разрешённых видов использования давать приемлемый доход владельцу объекта недвижимости будут улучшения, соответствующие, с учетом</w:t>
      </w:r>
      <w:r>
        <w:rPr>
          <w:rFonts w:ascii="Cambria" w:eastAsiaTheme="minorHAnsi" w:hAnsi="Cambria" w:cs="Cambria"/>
          <w:color w:val="000000"/>
          <w:sz w:val="20"/>
          <w:szCs w:val="20"/>
          <w:lang w:eastAsia="en-US"/>
        </w:rPr>
        <w:t xml:space="preserve"> </w:t>
      </w:r>
      <w:r w:rsidRPr="00093F74">
        <w:rPr>
          <w:rFonts w:ascii="Cambria" w:eastAsiaTheme="minorHAnsi" w:hAnsi="Cambria" w:cs="Cambria"/>
          <w:color w:val="000000"/>
          <w:sz w:val="20"/>
          <w:szCs w:val="20"/>
          <w:lang w:eastAsia="en-US"/>
        </w:rPr>
        <w:t xml:space="preserve">физических ограничений на использование земельного участка. При этом, следует учитывать следующие существенные факты: нормативы плотности застройки, средняя этажность окружающей застройки, существующие ограничения по высоте, топография земельного участка и пр. </w:t>
      </w:r>
    </w:p>
    <w:p w:rsid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lastRenderedPageBreak/>
        <w:t xml:space="preserve">Проведенный анализ показал, что использование объекта оценки в соответствии с целевым назначением будет иметь положительный финансовый результат.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b/>
          <w:bCs/>
          <w:color w:val="000000"/>
          <w:sz w:val="20"/>
          <w:szCs w:val="20"/>
          <w:lang w:eastAsia="en-US"/>
        </w:rPr>
        <w:t xml:space="preserve">Максимальная эффективность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Данный критерий, обуславливающий - какое из финансово осуществимых использований будет приносить максимальный чистый доход или максимальную текущую стоимость объекта недвижимости, в связи с ограничениями в проектировании и сооружении объектов и рассматривается в тесной зависимости от возможных вариантов его использования.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Основываясь на проведенном анализе и принимая во внимание расположение объекта, его правовой режим, физические характеристики, текущее состояние и возможности коммерческого использования, мы пришли к выводу, что наилучшим и наиболее эффективным вариантом использования оцениваемого объекта является использование его с целью размещения на нем объектов </w:t>
      </w:r>
      <w:r>
        <w:rPr>
          <w:rFonts w:ascii="Cambria" w:eastAsiaTheme="minorHAnsi" w:hAnsi="Cambria" w:cs="Cambria"/>
          <w:color w:val="000000"/>
          <w:sz w:val="20"/>
          <w:szCs w:val="20"/>
          <w:lang w:eastAsia="en-US"/>
        </w:rPr>
        <w:t xml:space="preserve">промышленного </w:t>
      </w:r>
      <w:r w:rsidRPr="00093F74">
        <w:rPr>
          <w:rFonts w:ascii="Cambria" w:eastAsiaTheme="minorHAnsi" w:hAnsi="Cambria" w:cs="Cambria"/>
          <w:color w:val="000000"/>
          <w:sz w:val="20"/>
          <w:szCs w:val="20"/>
          <w:lang w:eastAsia="en-US"/>
        </w:rPr>
        <w:t xml:space="preserve">назначения. </w:t>
      </w:r>
      <w:r>
        <w:rPr>
          <w:rFonts w:ascii="Cambria" w:eastAsiaTheme="minorHAnsi" w:hAnsi="Cambria" w:cs="Cambria"/>
          <w:color w:val="000000"/>
          <w:sz w:val="20"/>
          <w:szCs w:val="20"/>
          <w:lang w:eastAsia="en-US"/>
        </w:rPr>
        <w:t>Объект капитального строительства, расположенный на земельном участке в настоящее время целесообразно использовать в качестве производственно-складской недвижимости (текущее состояние торгового помещения, входящего в состав оцениваемого объекта недвижимости не позволяет использовать его по прямому назначению, наибольшую эффективность обеспечит использование в качестве складского помещения)</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В соответствии с ФСО № 7, анализ наиболее эффективного использования объекта оценки проводится, как правило, по объемно-планировочным и конструктивным решениям путем проведения необходимых для этого вычислений либо без них, если представлены обоснования, не требующие расчетов. </w:t>
      </w:r>
    </w:p>
    <w:p w:rsidR="00093F74" w:rsidRPr="00093F74" w:rsidRDefault="00093F74" w:rsidP="00093F74">
      <w:pPr>
        <w:autoSpaceDE w:val="0"/>
        <w:autoSpaceDN w:val="0"/>
        <w:adjustRightInd w:val="0"/>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 xml:space="preserve">В настоящем Отчете такой анализ выполнен с учетом необходимых для этого расчетов, проведенных в соответствующих разделах Отчета, позволяющих определить предполагаемое использование объекта оценки с учетом максимизации его продуктивности (соответствует ее наибольшей стоимости) и которое физически возможно, юридически разрешено (на дату определения стоимости объекта оценки) и финансово </w:t>
      </w:r>
      <w:r w:rsidRPr="00093F74">
        <w:rPr>
          <w:rFonts w:eastAsiaTheme="minorHAnsi"/>
          <w:color w:val="000000"/>
          <w:sz w:val="23"/>
          <w:szCs w:val="23"/>
          <w:lang w:eastAsia="en-US"/>
        </w:rPr>
        <w:t>оправдано</w:t>
      </w:r>
      <w:r w:rsidRPr="00093F74">
        <w:rPr>
          <w:rFonts w:ascii="Cambria" w:eastAsiaTheme="minorHAnsi" w:hAnsi="Cambria" w:cs="Cambria"/>
          <w:color w:val="000000"/>
          <w:sz w:val="20"/>
          <w:szCs w:val="20"/>
          <w:lang w:eastAsia="en-US"/>
        </w:rPr>
        <w:t xml:space="preserve">, дополнительные расчеты не требуются. </w:t>
      </w:r>
    </w:p>
    <w:p w:rsidR="007C7DFD" w:rsidRDefault="00093F74" w:rsidP="00093F74">
      <w:pPr>
        <w:ind w:firstLine="709"/>
        <w:jc w:val="both"/>
        <w:rPr>
          <w:rFonts w:ascii="Cambria" w:eastAsiaTheme="minorHAnsi" w:hAnsi="Cambria" w:cs="Cambria"/>
          <w:color w:val="000000"/>
          <w:sz w:val="20"/>
          <w:szCs w:val="20"/>
          <w:lang w:eastAsia="en-US"/>
        </w:rPr>
      </w:pPr>
      <w:r w:rsidRPr="00093F74">
        <w:rPr>
          <w:rFonts w:ascii="Cambria" w:eastAsiaTheme="minorHAnsi" w:hAnsi="Cambria" w:cs="Cambria"/>
          <w:color w:val="000000"/>
          <w:sz w:val="20"/>
          <w:szCs w:val="20"/>
          <w:lang w:eastAsia="en-US"/>
        </w:rPr>
        <w:t>При этом рыночная стоимость земельного участка, застроенного объектами капитального строительства для внесения этой стоимости в государственный кадастр недвижимости оценивается исходя из вида фактического использования оцениваемого объекта. Застроенные земельные участки и объекты капитального строительства оцениваются в соответствии с видом их фактического использования.</w:t>
      </w:r>
    </w:p>
    <w:p w:rsidR="00093F74" w:rsidRPr="00093F74" w:rsidRDefault="00093F74" w:rsidP="00093F74">
      <w:pPr>
        <w:ind w:firstLine="709"/>
        <w:jc w:val="both"/>
        <w:rPr>
          <w:rFonts w:ascii="Cambria" w:eastAsiaTheme="minorHAnsi" w:hAnsi="Cambria" w:cs="Cambria"/>
          <w:color w:val="000000"/>
          <w:sz w:val="20"/>
          <w:szCs w:val="20"/>
          <w:lang w:eastAsia="en-US"/>
        </w:rPr>
      </w:pPr>
    </w:p>
    <w:p w:rsidR="00855FAA" w:rsidRPr="00E03510" w:rsidRDefault="00855FAA" w:rsidP="0090764B">
      <w:pPr>
        <w:pStyle w:val="20"/>
        <w:numPr>
          <w:ilvl w:val="1"/>
          <w:numId w:val="11"/>
        </w:numPr>
        <w:spacing w:before="0" w:beforeAutospacing="0" w:after="0" w:afterAutospacing="0"/>
        <w:ind w:left="1418"/>
        <w:jc w:val="both"/>
        <w:rPr>
          <w:sz w:val="20"/>
          <w:szCs w:val="20"/>
        </w:rPr>
      </w:pPr>
      <w:bookmarkStart w:id="48" w:name="_Toc491763297"/>
      <w:r w:rsidRPr="00E03510">
        <w:rPr>
          <w:sz w:val="20"/>
          <w:szCs w:val="20"/>
        </w:rPr>
        <w:t>Перечень документов, используемых оценщиком и устанавливающих количественные и качественные характеристики объекта оценки</w:t>
      </w:r>
      <w:bookmarkEnd w:id="43"/>
      <w:bookmarkEnd w:id="48"/>
    </w:p>
    <w:p w:rsidR="00855FAA" w:rsidRPr="00E03510" w:rsidRDefault="00855FAA" w:rsidP="00855FAA">
      <w:pPr>
        <w:ind w:firstLine="708"/>
        <w:jc w:val="both"/>
        <w:rPr>
          <w:rFonts w:asciiTheme="majorHAnsi" w:hAnsiTheme="majorHAnsi"/>
          <w:sz w:val="20"/>
          <w:szCs w:val="20"/>
        </w:rPr>
      </w:pPr>
      <w:r w:rsidRPr="00E03510">
        <w:rPr>
          <w:rFonts w:asciiTheme="majorHAnsi" w:hAnsiTheme="majorHAnsi"/>
          <w:sz w:val="20"/>
          <w:szCs w:val="20"/>
        </w:rPr>
        <w:t>Внешняя информация характеризуется данными, представленными открытыми источниками – сайтами сети Интернет (наименования сайтов приведены по тексту в виде ссылок, в случае если информация при опубликовании на сайте в информационно-коммуникационной сети Интернет не обеспечена свободным доступом на дату проведения оценки или после даты проведения оценки либо в будущем возможно изменение этой информации или адреса страницы, на которой она опубликована,  или используется информация, опубликованная не в общедоступном печатном издании, то к отчету об оценке должны быть приложены копии соответствующих материалов).</w:t>
      </w:r>
    </w:p>
    <w:p w:rsidR="00855FAA" w:rsidRPr="00E03510" w:rsidRDefault="00855FAA" w:rsidP="00855FAA">
      <w:pPr>
        <w:ind w:firstLine="708"/>
        <w:jc w:val="both"/>
        <w:rPr>
          <w:rFonts w:asciiTheme="majorHAnsi" w:hAnsiTheme="majorHAnsi"/>
          <w:sz w:val="20"/>
          <w:szCs w:val="20"/>
        </w:rPr>
      </w:pPr>
      <w:r w:rsidRPr="00E03510">
        <w:rPr>
          <w:rFonts w:asciiTheme="majorHAnsi" w:hAnsiTheme="majorHAnsi"/>
          <w:sz w:val="20"/>
          <w:szCs w:val="20"/>
        </w:rPr>
        <w:t>Внутренняя информация (информация, предоставленная заказчиком, полученная при осмотре объекта оценки) предоставлена следующими источниками (копии):</w:t>
      </w:r>
    </w:p>
    <w:p w:rsidR="00855FAA" w:rsidRPr="00E03510" w:rsidRDefault="003D3BC9" w:rsidP="00BF694E">
      <w:pPr>
        <w:ind w:firstLine="708"/>
        <w:jc w:val="both"/>
        <w:rPr>
          <w:rFonts w:asciiTheme="majorHAnsi" w:hAnsiTheme="majorHAnsi"/>
          <w:b/>
          <w:sz w:val="20"/>
          <w:szCs w:val="20"/>
        </w:rPr>
      </w:pPr>
      <w:r>
        <w:rPr>
          <w:rFonts w:asciiTheme="majorHAnsi" w:hAnsiTheme="majorHAnsi"/>
          <w:b/>
          <w:sz w:val="20"/>
          <w:szCs w:val="20"/>
        </w:rPr>
        <w:t xml:space="preserve"> -</w:t>
      </w:r>
      <w:r w:rsidR="00BF694E" w:rsidRPr="00BF694E">
        <w:t xml:space="preserve"> </w:t>
      </w:r>
      <w:r w:rsidR="00BF694E">
        <w:rPr>
          <w:rFonts w:asciiTheme="majorHAnsi" w:hAnsiTheme="majorHAnsi"/>
          <w:b/>
          <w:sz w:val="20"/>
          <w:szCs w:val="20"/>
        </w:rPr>
        <w:t xml:space="preserve">Определение Арбитражного суда Белгородской области </w:t>
      </w:r>
      <w:r w:rsidR="00BF694E" w:rsidRPr="00BF694E">
        <w:rPr>
          <w:rFonts w:asciiTheme="majorHAnsi" w:hAnsiTheme="majorHAnsi"/>
          <w:b/>
          <w:sz w:val="20"/>
          <w:szCs w:val="20"/>
        </w:rPr>
        <w:t>о включении требований в реестр требований кредиторов</w:t>
      </w:r>
      <w:r w:rsidR="00BF694E">
        <w:rPr>
          <w:rFonts w:asciiTheme="majorHAnsi" w:hAnsiTheme="majorHAnsi"/>
          <w:b/>
          <w:sz w:val="20"/>
          <w:szCs w:val="20"/>
        </w:rPr>
        <w:t xml:space="preserve">, </w:t>
      </w:r>
      <w:r w:rsidR="00BF694E" w:rsidRPr="00BF694E">
        <w:rPr>
          <w:rFonts w:asciiTheme="majorHAnsi" w:hAnsiTheme="majorHAnsi"/>
          <w:b/>
          <w:sz w:val="20"/>
          <w:szCs w:val="20"/>
        </w:rPr>
        <w:t>Дело № А08-9325/2015</w:t>
      </w:r>
      <w:r w:rsidR="00BF694E">
        <w:rPr>
          <w:rFonts w:asciiTheme="majorHAnsi" w:hAnsiTheme="majorHAnsi"/>
          <w:b/>
          <w:sz w:val="20"/>
          <w:szCs w:val="20"/>
        </w:rPr>
        <w:t xml:space="preserve"> от </w:t>
      </w:r>
      <w:r w:rsidR="00BF694E" w:rsidRPr="00BF694E">
        <w:rPr>
          <w:rFonts w:asciiTheme="majorHAnsi" w:hAnsiTheme="majorHAnsi"/>
          <w:b/>
          <w:sz w:val="20"/>
          <w:szCs w:val="20"/>
        </w:rPr>
        <w:t>08 сентября 2016 года</w:t>
      </w:r>
      <w:r w:rsidR="00D0628B" w:rsidRPr="00E03510">
        <w:rPr>
          <w:rFonts w:asciiTheme="majorHAnsi" w:hAnsiTheme="majorHAnsi"/>
          <w:b/>
          <w:sz w:val="20"/>
          <w:szCs w:val="20"/>
        </w:rPr>
        <w:t>;</w:t>
      </w:r>
    </w:p>
    <w:p w:rsidR="00D0628B" w:rsidRDefault="002F4E0F" w:rsidP="00D0628B">
      <w:pPr>
        <w:ind w:firstLine="708"/>
        <w:jc w:val="both"/>
        <w:rPr>
          <w:rFonts w:asciiTheme="majorHAnsi" w:hAnsiTheme="majorHAnsi"/>
          <w:b/>
          <w:sz w:val="20"/>
          <w:szCs w:val="20"/>
        </w:rPr>
      </w:pPr>
      <w:r w:rsidRPr="00E03510">
        <w:rPr>
          <w:rFonts w:asciiTheme="majorHAnsi" w:hAnsiTheme="majorHAnsi"/>
          <w:b/>
          <w:sz w:val="20"/>
          <w:szCs w:val="20"/>
        </w:rPr>
        <w:t xml:space="preserve">- </w:t>
      </w:r>
      <w:r w:rsidR="00BF694E" w:rsidRPr="00BF694E">
        <w:rPr>
          <w:rFonts w:asciiTheme="majorHAnsi" w:hAnsiTheme="majorHAnsi"/>
          <w:b/>
          <w:sz w:val="20"/>
          <w:szCs w:val="20"/>
        </w:rPr>
        <w:t>Определение Арбитражного суда Белгородской области о включении требований в реестр требований кредиторов, Дело № А08-9325/2015 от 08 сентября 2016 года;</w:t>
      </w:r>
      <w:r w:rsidR="00234315">
        <w:rPr>
          <w:rFonts w:asciiTheme="majorHAnsi" w:hAnsiTheme="majorHAnsi"/>
          <w:b/>
          <w:sz w:val="20"/>
          <w:szCs w:val="20"/>
        </w:rPr>
        <w:t>;</w:t>
      </w:r>
    </w:p>
    <w:p w:rsidR="00234315" w:rsidRDefault="00234315" w:rsidP="00D0628B">
      <w:pPr>
        <w:ind w:firstLine="708"/>
        <w:jc w:val="both"/>
        <w:rPr>
          <w:rFonts w:asciiTheme="majorHAnsi" w:hAnsiTheme="majorHAnsi"/>
          <w:b/>
          <w:sz w:val="20"/>
          <w:szCs w:val="20"/>
        </w:rPr>
      </w:pPr>
      <w:r>
        <w:rPr>
          <w:rFonts w:asciiTheme="majorHAnsi" w:hAnsiTheme="majorHAnsi"/>
          <w:b/>
          <w:sz w:val="20"/>
          <w:szCs w:val="20"/>
        </w:rPr>
        <w:t xml:space="preserve">- </w:t>
      </w:r>
      <w:r w:rsidR="00BF694E">
        <w:rPr>
          <w:rFonts w:asciiTheme="majorHAnsi" w:hAnsiTheme="majorHAnsi"/>
          <w:b/>
          <w:sz w:val="20"/>
          <w:szCs w:val="20"/>
        </w:rPr>
        <w:t xml:space="preserve">Договор ипотеки </w:t>
      </w:r>
      <w:r w:rsidR="00197FA8">
        <w:rPr>
          <w:rFonts w:asciiTheme="majorHAnsi" w:hAnsiTheme="majorHAnsi"/>
          <w:b/>
          <w:sz w:val="20"/>
          <w:szCs w:val="20"/>
        </w:rPr>
        <w:t>между ПАО ВТБ и Лаута И.В. от 08.05.2008</w:t>
      </w:r>
      <w:r>
        <w:rPr>
          <w:rFonts w:asciiTheme="majorHAnsi" w:hAnsiTheme="majorHAnsi"/>
          <w:b/>
          <w:sz w:val="20"/>
          <w:szCs w:val="20"/>
        </w:rPr>
        <w:t xml:space="preserve"> г.;</w:t>
      </w:r>
    </w:p>
    <w:p w:rsidR="00234315" w:rsidRDefault="00234315" w:rsidP="00D0628B">
      <w:pPr>
        <w:ind w:firstLine="708"/>
        <w:jc w:val="both"/>
        <w:rPr>
          <w:rFonts w:asciiTheme="majorHAnsi" w:hAnsiTheme="majorHAnsi"/>
          <w:b/>
          <w:sz w:val="20"/>
          <w:szCs w:val="20"/>
        </w:rPr>
      </w:pPr>
      <w:r>
        <w:rPr>
          <w:rFonts w:asciiTheme="majorHAnsi" w:hAnsiTheme="majorHAnsi"/>
          <w:b/>
          <w:sz w:val="20"/>
          <w:szCs w:val="20"/>
        </w:rPr>
        <w:t xml:space="preserve">- </w:t>
      </w:r>
      <w:r w:rsidR="00197FA8" w:rsidRPr="00197FA8">
        <w:rPr>
          <w:rFonts w:asciiTheme="majorHAnsi" w:hAnsiTheme="majorHAnsi"/>
          <w:b/>
          <w:sz w:val="20"/>
          <w:szCs w:val="20"/>
        </w:rPr>
        <w:t xml:space="preserve">Договор ипотеки между ПАО ВТБ и Лаута И.В. от </w:t>
      </w:r>
      <w:r w:rsidR="00197FA8">
        <w:rPr>
          <w:rFonts w:asciiTheme="majorHAnsi" w:hAnsiTheme="majorHAnsi"/>
          <w:b/>
          <w:sz w:val="20"/>
          <w:szCs w:val="20"/>
        </w:rPr>
        <w:t>11</w:t>
      </w:r>
      <w:r w:rsidR="00197FA8" w:rsidRPr="00197FA8">
        <w:rPr>
          <w:rFonts w:asciiTheme="majorHAnsi" w:hAnsiTheme="majorHAnsi"/>
          <w:b/>
          <w:sz w:val="20"/>
          <w:szCs w:val="20"/>
        </w:rPr>
        <w:t>.0</w:t>
      </w:r>
      <w:r w:rsidR="00197FA8">
        <w:rPr>
          <w:rFonts w:asciiTheme="majorHAnsi" w:hAnsiTheme="majorHAnsi"/>
          <w:b/>
          <w:sz w:val="20"/>
          <w:szCs w:val="20"/>
        </w:rPr>
        <w:t>1</w:t>
      </w:r>
      <w:r w:rsidR="00197FA8" w:rsidRPr="00197FA8">
        <w:rPr>
          <w:rFonts w:asciiTheme="majorHAnsi" w:hAnsiTheme="majorHAnsi"/>
          <w:b/>
          <w:sz w:val="20"/>
          <w:szCs w:val="20"/>
        </w:rPr>
        <w:t>.200</w:t>
      </w:r>
      <w:r w:rsidR="00197FA8">
        <w:rPr>
          <w:rFonts w:asciiTheme="majorHAnsi" w:hAnsiTheme="majorHAnsi"/>
          <w:b/>
          <w:sz w:val="20"/>
          <w:szCs w:val="20"/>
        </w:rPr>
        <w:t>9</w:t>
      </w:r>
      <w:r w:rsidR="00197FA8" w:rsidRPr="00197FA8">
        <w:rPr>
          <w:rFonts w:asciiTheme="majorHAnsi" w:hAnsiTheme="majorHAnsi"/>
          <w:b/>
          <w:sz w:val="20"/>
          <w:szCs w:val="20"/>
        </w:rPr>
        <w:t xml:space="preserve"> г.</w:t>
      </w:r>
      <w:r>
        <w:rPr>
          <w:rFonts w:asciiTheme="majorHAnsi" w:hAnsiTheme="majorHAnsi"/>
          <w:b/>
          <w:sz w:val="20"/>
          <w:szCs w:val="20"/>
        </w:rPr>
        <w:t>.;</w:t>
      </w:r>
    </w:p>
    <w:p w:rsidR="00234315" w:rsidRDefault="00234315" w:rsidP="00234315">
      <w:pPr>
        <w:ind w:firstLine="708"/>
        <w:jc w:val="both"/>
        <w:rPr>
          <w:rFonts w:asciiTheme="majorHAnsi" w:hAnsiTheme="majorHAnsi"/>
          <w:b/>
          <w:sz w:val="20"/>
          <w:szCs w:val="20"/>
        </w:rPr>
      </w:pPr>
      <w:r>
        <w:rPr>
          <w:rFonts w:asciiTheme="majorHAnsi" w:hAnsiTheme="majorHAnsi"/>
          <w:b/>
          <w:sz w:val="20"/>
          <w:szCs w:val="20"/>
        </w:rPr>
        <w:t xml:space="preserve">- </w:t>
      </w:r>
      <w:r w:rsidR="00197FA8">
        <w:rPr>
          <w:rFonts w:asciiTheme="majorHAnsi" w:hAnsiTheme="majorHAnsi"/>
          <w:b/>
          <w:sz w:val="20"/>
          <w:szCs w:val="20"/>
        </w:rPr>
        <w:t>Технический паспорт нежилых помещений производственного комплекса, Лит. Б,б</w:t>
      </w:r>
      <w:r>
        <w:rPr>
          <w:rFonts w:asciiTheme="majorHAnsi" w:hAnsiTheme="majorHAnsi"/>
          <w:b/>
          <w:sz w:val="20"/>
          <w:szCs w:val="20"/>
        </w:rPr>
        <w:t>.</w:t>
      </w:r>
      <w:r w:rsidR="00197FA8">
        <w:rPr>
          <w:rFonts w:asciiTheme="majorHAnsi" w:hAnsiTheme="majorHAnsi"/>
          <w:b/>
          <w:sz w:val="20"/>
          <w:szCs w:val="20"/>
        </w:rPr>
        <w:t>;</w:t>
      </w:r>
    </w:p>
    <w:p w:rsidR="00197FA8" w:rsidRPr="00E03510" w:rsidRDefault="00197FA8" w:rsidP="00234315">
      <w:pPr>
        <w:ind w:firstLine="708"/>
        <w:jc w:val="both"/>
        <w:rPr>
          <w:rFonts w:asciiTheme="majorHAnsi" w:hAnsiTheme="majorHAnsi"/>
          <w:b/>
          <w:sz w:val="20"/>
          <w:szCs w:val="20"/>
        </w:rPr>
      </w:pPr>
      <w:r>
        <w:rPr>
          <w:rFonts w:asciiTheme="majorHAnsi" w:hAnsiTheme="majorHAnsi"/>
          <w:b/>
          <w:sz w:val="20"/>
          <w:szCs w:val="20"/>
        </w:rPr>
        <w:t xml:space="preserve">- </w:t>
      </w:r>
      <w:r w:rsidRPr="00197FA8">
        <w:rPr>
          <w:rFonts w:asciiTheme="majorHAnsi" w:hAnsiTheme="majorHAnsi"/>
          <w:b/>
          <w:sz w:val="20"/>
          <w:szCs w:val="20"/>
        </w:rPr>
        <w:t xml:space="preserve">Технический паспорт </w:t>
      </w:r>
      <w:r>
        <w:rPr>
          <w:rFonts w:asciiTheme="majorHAnsi" w:hAnsiTheme="majorHAnsi"/>
          <w:b/>
          <w:sz w:val="20"/>
          <w:szCs w:val="20"/>
        </w:rPr>
        <w:t>административно-бытового</w:t>
      </w:r>
      <w:r w:rsidRPr="00197FA8">
        <w:rPr>
          <w:rFonts w:asciiTheme="majorHAnsi" w:hAnsiTheme="majorHAnsi"/>
          <w:b/>
          <w:sz w:val="20"/>
          <w:szCs w:val="20"/>
        </w:rPr>
        <w:t xml:space="preserve"> комплекса, Лит. </w:t>
      </w:r>
      <w:r>
        <w:rPr>
          <w:rFonts w:asciiTheme="majorHAnsi" w:hAnsiTheme="majorHAnsi"/>
          <w:b/>
          <w:sz w:val="20"/>
          <w:szCs w:val="20"/>
        </w:rPr>
        <w:t>А</w:t>
      </w:r>
      <w:r w:rsidRPr="00197FA8">
        <w:rPr>
          <w:rFonts w:asciiTheme="majorHAnsi" w:hAnsiTheme="majorHAnsi"/>
          <w:b/>
          <w:sz w:val="20"/>
          <w:szCs w:val="20"/>
        </w:rPr>
        <w:t>.</w:t>
      </w:r>
    </w:p>
    <w:p w:rsidR="00D0628B" w:rsidRPr="00E03510" w:rsidRDefault="00D0628B" w:rsidP="00855FAA">
      <w:pPr>
        <w:jc w:val="both"/>
        <w:rPr>
          <w:rFonts w:asciiTheme="majorHAnsi" w:hAnsiTheme="majorHAnsi"/>
          <w:b/>
          <w:sz w:val="20"/>
          <w:szCs w:val="20"/>
          <w:u w:val="single"/>
        </w:rPr>
      </w:pPr>
    </w:p>
    <w:p w:rsidR="00855FAA" w:rsidRPr="00E03510" w:rsidRDefault="00855FAA" w:rsidP="00D0628B">
      <w:pPr>
        <w:ind w:firstLine="708"/>
        <w:jc w:val="both"/>
        <w:rPr>
          <w:rFonts w:asciiTheme="majorHAnsi" w:hAnsiTheme="majorHAnsi"/>
          <w:sz w:val="20"/>
          <w:szCs w:val="20"/>
          <w:u w:val="single"/>
        </w:rPr>
      </w:pPr>
      <w:r w:rsidRPr="00E03510">
        <w:rPr>
          <w:rFonts w:asciiTheme="majorHAnsi" w:hAnsiTheme="majorHAnsi"/>
          <w:sz w:val="20"/>
          <w:szCs w:val="20"/>
          <w:u w:val="single"/>
        </w:rPr>
        <w:t>Информация, использованная в настоящем Отчете достаточна для проведения оценки в соответствии с Заданием на оценку и достоверна с учетом допущений и ограничивающих условий, применяемых в настоящем отчете. У Оценщика нет оснований считать иначе</w:t>
      </w:r>
      <w:r w:rsidR="00A94986" w:rsidRPr="00E03510">
        <w:rPr>
          <w:rFonts w:asciiTheme="majorHAnsi" w:hAnsiTheme="majorHAnsi"/>
          <w:sz w:val="20"/>
          <w:szCs w:val="20"/>
          <w:u w:val="single"/>
        </w:rPr>
        <w:t>.</w:t>
      </w:r>
    </w:p>
    <w:p w:rsidR="00D0628B" w:rsidRPr="00E03510" w:rsidRDefault="00D0628B" w:rsidP="00D0628B">
      <w:pPr>
        <w:ind w:firstLine="708"/>
        <w:jc w:val="both"/>
        <w:rPr>
          <w:rFonts w:asciiTheme="majorHAnsi" w:hAnsiTheme="majorHAnsi"/>
          <w:b/>
          <w:sz w:val="20"/>
          <w:szCs w:val="20"/>
          <w:u w:val="single"/>
        </w:rPr>
      </w:pPr>
    </w:p>
    <w:p w:rsidR="007236E4" w:rsidRDefault="007236E4" w:rsidP="00341263">
      <w:pPr>
        <w:jc w:val="both"/>
        <w:rPr>
          <w:rFonts w:asciiTheme="majorHAnsi" w:hAnsiTheme="majorHAnsi"/>
          <w:sz w:val="20"/>
          <w:szCs w:val="20"/>
        </w:rPr>
      </w:pPr>
    </w:p>
    <w:p w:rsidR="00A94986" w:rsidRPr="00E03510" w:rsidRDefault="003262B9" w:rsidP="0090764B">
      <w:pPr>
        <w:pStyle w:val="af3"/>
        <w:keepNext/>
        <w:keepLines/>
        <w:numPr>
          <w:ilvl w:val="0"/>
          <w:numId w:val="11"/>
        </w:numPr>
        <w:spacing w:before="100" w:beforeAutospacing="1" w:after="100" w:afterAutospacing="1"/>
        <w:ind w:left="0" w:right="-2" w:firstLine="0"/>
        <w:jc w:val="center"/>
        <w:outlineLvl w:val="1"/>
        <w:rPr>
          <w:rFonts w:asciiTheme="majorHAnsi" w:eastAsiaTheme="majorEastAsia" w:hAnsiTheme="majorHAnsi" w:cstheme="majorBidi"/>
          <w:b/>
          <w:bCs/>
          <w:sz w:val="20"/>
          <w:szCs w:val="20"/>
          <w:lang w:val="ru-RU"/>
        </w:rPr>
      </w:pPr>
      <w:r w:rsidRPr="00D0628B">
        <w:rPr>
          <w:rFonts w:eastAsiaTheme="majorEastAsia" w:cstheme="majorBidi"/>
          <w:b/>
          <w:bCs/>
          <w:sz w:val="26"/>
          <w:szCs w:val="26"/>
          <w:lang w:val="ru-RU"/>
        </w:rPr>
        <w:lastRenderedPageBreak/>
        <w:t xml:space="preserve"> </w:t>
      </w:r>
      <w:bookmarkStart w:id="49" w:name="_Toc491763298"/>
      <w:r w:rsidRPr="00A94986">
        <w:rPr>
          <w:rFonts w:asciiTheme="majorHAnsi" w:eastAsiaTheme="majorEastAsia" w:hAnsiTheme="majorHAnsi" w:cstheme="majorBidi"/>
          <w:b/>
          <w:bCs/>
          <w:sz w:val="28"/>
          <w:szCs w:val="28"/>
          <w:lang w:val="ru-RU" w:bidi="ar-SA"/>
        </w:rPr>
        <w:t>Анализ рынка объекта оценки, а также анализ других внешних факторов, не относящихся непосредственно к объекту оценки, но влияющих на его стоимость.</w:t>
      </w:r>
      <w:bookmarkStart w:id="50" w:name="_Toc451953126"/>
      <w:r w:rsidR="00D0628B" w:rsidRPr="00A94986">
        <w:rPr>
          <w:rFonts w:asciiTheme="majorHAnsi" w:eastAsiaTheme="majorEastAsia" w:hAnsiTheme="majorHAnsi" w:cstheme="majorBidi"/>
          <w:b/>
          <w:bCs/>
          <w:sz w:val="28"/>
          <w:szCs w:val="28"/>
          <w:lang w:val="ru-RU" w:bidi="ar-SA"/>
        </w:rPr>
        <w:t xml:space="preserve"> Информация по всем ценообразующим факторам, влияющих на стоимость объекта оценки</w:t>
      </w:r>
      <w:bookmarkEnd w:id="49"/>
      <w:bookmarkEnd w:id="50"/>
    </w:p>
    <w:p w:rsidR="00E03510" w:rsidRPr="00E03510" w:rsidRDefault="00E03510" w:rsidP="00E03510">
      <w:pPr>
        <w:pStyle w:val="af3"/>
        <w:keepNext/>
        <w:keepLines/>
        <w:spacing w:before="100" w:beforeAutospacing="1" w:after="100" w:afterAutospacing="1"/>
        <w:ind w:left="0" w:right="-2" w:firstLine="0"/>
        <w:outlineLvl w:val="1"/>
        <w:rPr>
          <w:rFonts w:asciiTheme="majorHAnsi" w:eastAsiaTheme="majorEastAsia" w:hAnsiTheme="majorHAnsi" w:cstheme="majorBidi"/>
          <w:b/>
          <w:bCs/>
          <w:sz w:val="20"/>
          <w:szCs w:val="20"/>
          <w:lang w:val="ru-RU"/>
        </w:rPr>
      </w:pPr>
    </w:p>
    <w:p w:rsidR="00A94986" w:rsidRPr="00E03510" w:rsidRDefault="00A94986" w:rsidP="00A94986">
      <w:pPr>
        <w:pStyle w:val="af3"/>
        <w:keepNext/>
        <w:keepLines/>
        <w:spacing w:before="100" w:beforeAutospacing="1" w:after="100" w:afterAutospacing="1"/>
        <w:ind w:left="0" w:right="-2" w:firstLine="0"/>
        <w:outlineLvl w:val="1"/>
        <w:rPr>
          <w:rFonts w:asciiTheme="majorHAnsi" w:eastAsiaTheme="majorEastAsia" w:hAnsiTheme="majorHAnsi" w:cstheme="majorBidi"/>
          <w:b/>
          <w:bCs/>
          <w:sz w:val="20"/>
          <w:szCs w:val="20"/>
          <w:lang w:val="ru-RU"/>
        </w:rPr>
      </w:pPr>
    </w:p>
    <w:p w:rsidR="00283495" w:rsidRPr="00E03510" w:rsidRDefault="00283495" w:rsidP="0090764B">
      <w:pPr>
        <w:pStyle w:val="af3"/>
        <w:numPr>
          <w:ilvl w:val="1"/>
          <w:numId w:val="11"/>
        </w:numPr>
        <w:ind w:left="709"/>
        <w:rPr>
          <w:rFonts w:asciiTheme="majorHAnsi" w:eastAsiaTheme="majorEastAsia" w:hAnsiTheme="majorHAnsi" w:cstheme="majorBidi"/>
          <w:b/>
          <w:bCs/>
          <w:sz w:val="20"/>
          <w:szCs w:val="20"/>
          <w:lang w:val="ru-RU" w:bidi="ar-SA"/>
        </w:rPr>
      </w:pPr>
      <w:r w:rsidRPr="00E03510">
        <w:rPr>
          <w:rFonts w:asciiTheme="majorHAnsi" w:eastAsiaTheme="majorEastAsia" w:hAnsiTheme="majorHAnsi" w:cstheme="majorBidi"/>
          <w:b/>
          <w:bCs/>
          <w:sz w:val="20"/>
          <w:szCs w:val="20"/>
          <w:lang w:val="ru-RU" w:bidi="ar-SA"/>
        </w:rPr>
        <w:t>Информация по всем ценообразующим факторам, влияющих на стоимость объекта оценки</w:t>
      </w:r>
    </w:p>
    <w:p w:rsidR="00D0628B" w:rsidRPr="00E03510" w:rsidRDefault="00D0628B" w:rsidP="006358BA">
      <w:pPr>
        <w:ind w:firstLine="708"/>
        <w:jc w:val="both"/>
        <w:rPr>
          <w:rFonts w:asciiTheme="majorHAnsi" w:hAnsiTheme="majorHAnsi"/>
          <w:sz w:val="20"/>
          <w:szCs w:val="20"/>
        </w:rPr>
      </w:pPr>
      <w:r w:rsidRPr="00E03510">
        <w:rPr>
          <w:rFonts w:asciiTheme="majorHAnsi" w:hAnsiTheme="majorHAnsi"/>
          <w:sz w:val="20"/>
          <w:szCs w:val="20"/>
        </w:rPr>
        <w:t>Под ценообразующими факторами понимаются такие обстоятельства или условия, которые являются непосредственной причиной изменения уровня и структуры цен. В условиях свободного ценообразования выделяются следующие ценообразующие факторы.   </w:t>
      </w:r>
    </w:p>
    <w:p w:rsidR="00D0628B" w:rsidRPr="00E03510" w:rsidRDefault="00D0628B" w:rsidP="006358BA">
      <w:pPr>
        <w:ind w:firstLine="708"/>
        <w:jc w:val="both"/>
        <w:rPr>
          <w:rFonts w:asciiTheme="majorHAnsi" w:hAnsiTheme="majorHAnsi"/>
          <w:sz w:val="20"/>
          <w:szCs w:val="20"/>
        </w:rPr>
      </w:pPr>
      <w:r w:rsidRPr="00E03510">
        <w:rPr>
          <w:rFonts w:asciiTheme="majorHAnsi" w:hAnsiTheme="majorHAnsi"/>
          <w:sz w:val="20"/>
          <w:szCs w:val="20"/>
        </w:rPr>
        <w:t>Факторы спроса. Данные факторы формируют цену спроса, т. е. максимальную цену, которую покупатели согласны заплатить при покупке данного количества товара. Именно желание и способность заплатить за данное количество товара определенную сумму денег отличает спрос от простого желания заполучить то или иное благо, чем бы это желание ни диктовалось. Следовательно, среди факторов спроса выделяют вкусы и предпочтения потребителей, размеры их денежных доходов и накоплений, потребительские свойства товара, его качественные характеристики.</w:t>
      </w:r>
    </w:p>
    <w:p w:rsidR="00D0628B" w:rsidRPr="00E03510" w:rsidRDefault="00D0628B" w:rsidP="006358BA">
      <w:pPr>
        <w:ind w:firstLine="708"/>
        <w:jc w:val="both"/>
        <w:rPr>
          <w:rFonts w:asciiTheme="majorHAnsi" w:hAnsiTheme="majorHAnsi"/>
          <w:sz w:val="20"/>
          <w:szCs w:val="20"/>
        </w:rPr>
      </w:pPr>
      <w:r w:rsidRPr="00E03510">
        <w:rPr>
          <w:rFonts w:asciiTheme="majorHAnsi" w:hAnsiTheme="majorHAnsi"/>
          <w:sz w:val="20"/>
          <w:szCs w:val="20"/>
        </w:rPr>
        <w:t>Наиболее многочисленной является группа факторов предложения, определяющих цену предложения. Цена предложения — это Минимальная цена, по которой продавцы согласны предложить на рынке данное количество товара.</w:t>
      </w:r>
    </w:p>
    <w:p w:rsidR="00D0628B" w:rsidRPr="00E03510" w:rsidRDefault="00D0628B" w:rsidP="006358BA">
      <w:pPr>
        <w:ind w:firstLine="708"/>
        <w:jc w:val="both"/>
        <w:rPr>
          <w:rFonts w:asciiTheme="majorHAnsi" w:hAnsiTheme="majorHAnsi"/>
          <w:sz w:val="20"/>
          <w:szCs w:val="20"/>
        </w:rPr>
      </w:pPr>
      <w:r w:rsidRPr="00E03510">
        <w:rPr>
          <w:rFonts w:asciiTheme="majorHAnsi" w:hAnsiTheme="majorHAnsi"/>
          <w:sz w:val="20"/>
          <w:szCs w:val="20"/>
        </w:rPr>
        <w:t>Соотношение спроса и предложения товаров как основной ценообразующий фактор по-разному проявляет себя на каждой стадии жизненного цикла товара, вызывая повышение цен при переходе от депрессии к оживлению и снижение — при наступлении кризиса.</w:t>
      </w:r>
    </w:p>
    <w:p w:rsidR="00D0628B" w:rsidRPr="00E03510" w:rsidRDefault="00D0628B" w:rsidP="006358BA">
      <w:pPr>
        <w:ind w:firstLine="708"/>
        <w:jc w:val="both"/>
        <w:rPr>
          <w:rFonts w:asciiTheme="majorHAnsi" w:hAnsiTheme="majorHAnsi"/>
          <w:sz w:val="20"/>
          <w:szCs w:val="20"/>
        </w:rPr>
      </w:pPr>
      <w:r w:rsidRPr="00E03510">
        <w:rPr>
          <w:rFonts w:asciiTheme="majorHAnsi" w:hAnsiTheme="majorHAnsi"/>
          <w:sz w:val="20"/>
          <w:szCs w:val="20"/>
        </w:rPr>
        <w:t>Кроме названного, величина колебаний цен на какой-либо товар зависит от специфики его, производства и потребления также от длительности периода изготовления. Наиболее резко и быстро реагируют на изменение общехозяйственной и мировой конъюнктуры цены на сырье и товары длительного пользования потребительского назначения, менее резко — цены на полуфабрикаты и еще меньше — цены на продукцию машиностроения производственного назначения.</w:t>
      </w:r>
    </w:p>
    <w:p w:rsidR="00D0628B" w:rsidRPr="00E03510" w:rsidRDefault="00D0628B" w:rsidP="006358BA">
      <w:pPr>
        <w:ind w:firstLine="708"/>
        <w:jc w:val="both"/>
        <w:rPr>
          <w:rFonts w:asciiTheme="majorHAnsi" w:hAnsiTheme="majorHAnsi"/>
          <w:sz w:val="20"/>
          <w:szCs w:val="20"/>
        </w:rPr>
      </w:pPr>
      <w:r w:rsidRPr="00E03510">
        <w:rPr>
          <w:rFonts w:asciiTheme="majorHAnsi" w:hAnsiTheme="majorHAnsi"/>
          <w:sz w:val="20"/>
          <w:szCs w:val="20"/>
        </w:rPr>
        <w:t>Целевое назначение продукции также сказывается на амплитуде колебаний цен. Поскольку сырье (например, каучук, олово, медь, сталь и т. п.) имеет более широкий круг потребителей, чем какое-либо оборудование, то в отраслях сырьевого комплекса происходит более быстрый рост цен при оживлении конъюнктуры, чем цен на оборудование.</w:t>
      </w:r>
    </w:p>
    <w:p w:rsidR="00D0628B" w:rsidRPr="00E03510" w:rsidRDefault="00D0628B" w:rsidP="006358BA">
      <w:pPr>
        <w:ind w:firstLine="708"/>
        <w:jc w:val="both"/>
        <w:rPr>
          <w:rFonts w:asciiTheme="majorHAnsi" w:hAnsiTheme="majorHAnsi"/>
          <w:sz w:val="20"/>
          <w:szCs w:val="20"/>
        </w:rPr>
      </w:pPr>
      <w:r w:rsidRPr="00E03510">
        <w:rPr>
          <w:rFonts w:asciiTheme="majorHAnsi" w:hAnsiTheme="majorHAnsi"/>
          <w:sz w:val="20"/>
          <w:szCs w:val="20"/>
        </w:rPr>
        <w:t>Еще один важный ценообразующий фактор — степень монополизации рынка. Чем выше степень монополизации рынка, тем выше уровень цен и меньше их колебания.</w:t>
      </w:r>
    </w:p>
    <w:p w:rsidR="00D0628B" w:rsidRPr="00E03510" w:rsidRDefault="00D0628B" w:rsidP="006358BA">
      <w:pPr>
        <w:ind w:firstLine="708"/>
        <w:jc w:val="both"/>
        <w:rPr>
          <w:rFonts w:asciiTheme="majorHAnsi" w:hAnsiTheme="majorHAnsi"/>
          <w:sz w:val="20"/>
          <w:szCs w:val="20"/>
        </w:rPr>
      </w:pPr>
      <w:r w:rsidRPr="00E03510">
        <w:rPr>
          <w:rFonts w:asciiTheme="majorHAnsi" w:hAnsiTheme="majorHAnsi"/>
          <w:sz w:val="20"/>
          <w:szCs w:val="20"/>
        </w:rPr>
        <w:t xml:space="preserve">И наконец, еще одним ценообразующим фактором является инфляция, оказывающая дополнительное воздействие на цены в сторону их повышения. Наряду с рассмотренными ценообразующими факторами, которые можно отнести к долговременным, существуют факторы, воздействующие на цены в течение сравнительно непродолжительного периода, после чего цены возвращаются к прежнему Уровню. Примером таких краткосрочных изменений могут </w:t>
      </w:r>
      <w:r w:rsidR="006358BA" w:rsidRPr="00E03510">
        <w:rPr>
          <w:rFonts w:asciiTheme="majorHAnsi" w:hAnsiTheme="majorHAnsi"/>
          <w:sz w:val="20"/>
          <w:szCs w:val="20"/>
        </w:rPr>
        <w:t>служить сезонные колебания цен.</w:t>
      </w:r>
    </w:p>
    <w:p w:rsidR="00D0628B" w:rsidRPr="00E03510" w:rsidRDefault="00D0628B" w:rsidP="0090764B">
      <w:pPr>
        <w:keepNext/>
        <w:keepLines/>
        <w:numPr>
          <w:ilvl w:val="2"/>
          <w:numId w:val="6"/>
        </w:numPr>
        <w:spacing w:before="360"/>
        <w:ind w:left="1077" w:hanging="357"/>
        <w:jc w:val="both"/>
        <w:outlineLvl w:val="2"/>
        <w:rPr>
          <w:rFonts w:asciiTheme="majorHAnsi" w:hAnsiTheme="majorHAnsi" w:cstheme="majorBidi"/>
          <w:b/>
          <w:bCs/>
          <w:sz w:val="20"/>
          <w:szCs w:val="20"/>
        </w:rPr>
      </w:pPr>
      <w:bookmarkStart w:id="51" w:name="_Toc451953127"/>
      <w:bookmarkStart w:id="52" w:name="_Toc462040074"/>
      <w:bookmarkStart w:id="53" w:name="_Toc491763299"/>
      <w:r w:rsidRPr="00E03510">
        <w:rPr>
          <w:rFonts w:asciiTheme="majorHAnsi" w:hAnsiTheme="majorHAnsi" w:cstheme="majorBidi"/>
          <w:b/>
          <w:bCs/>
          <w:sz w:val="20"/>
          <w:szCs w:val="20"/>
        </w:rPr>
        <w:t>Анализ внешних факторов, в том числе общей политической и социально-экономической обстановки в стране и регионе расположения объекта оценки на рынок оцениваемого объекта</w:t>
      </w:r>
      <w:bookmarkEnd w:id="51"/>
      <w:bookmarkEnd w:id="52"/>
      <w:bookmarkEnd w:id="53"/>
    </w:p>
    <w:p w:rsidR="000A7C2B" w:rsidRPr="002F7B91" w:rsidRDefault="000A7C2B" w:rsidP="000A7C2B">
      <w:pPr>
        <w:ind w:firstLine="708"/>
        <w:jc w:val="both"/>
        <w:rPr>
          <w:rFonts w:asciiTheme="majorHAnsi" w:hAnsiTheme="majorHAnsi"/>
          <w:sz w:val="20"/>
          <w:szCs w:val="20"/>
        </w:rPr>
      </w:pPr>
      <w:bookmarkStart w:id="54" w:name="_Toc462040075"/>
      <w:r w:rsidRPr="002F7B91">
        <w:rPr>
          <w:rFonts w:asciiTheme="majorHAnsi" w:hAnsiTheme="majorHAnsi"/>
          <w:sz w:val="20"/>
          <w:szCs w:val="20"/>
        </w:rPr>
        <w:t>Формирование массива экономической информации целесообразно начать со сбора макроэкономических данных и исследования общего состояния мировой и национальной экономик.</w:t>
      </w:r>
      <w:r w:rsidRPr="002F7B91">
        <w:rPr>
          <w:rFonts w:asciiTheme="majorHAnsi" w:hAnsiTheme="majorHAnsi"/>
          <w:sz w:val="20"/>
          <w:szCs w:val="20"/>
        </w:rPr>
        <w:footnoteReference w:id="3"/>
      </w:r>
    </w:p>
    <w:p w:rsidR="000A7C2B" w:rsidRPr="00D01185" w:rsidRDefault="000A7C2B" w:rsidP="000A7C2B">
      <w:pPr>
        <w:ind w:firstLine="708"/>
        <w:jc w:val="both"/>
        <w:rPr>
          <w:rFonts w:asciiTheme="majorHAnsi" w:hAnsiTheme="majorHAnsi"/>
          <w:sz w:val="20"/>
          <w:szCs w:val="20"/>
        </w:rPr>
      </w:pPr>
      <w:r w:rsidRPr="002F7B91">
        <w:rPr>
          <w:rFonts w:asciiTheme="majorHAnsi" w:hAnsiTheme="majorHAnsi"/>
          <w:sz w:val="20"/>
          <w:szCs w:val="20"/>
        </w:rPr>
        <w:t xml:space="preserve">По данным </w:t>
      </w:r>
      <w:hyperlink r:id="rId61" w:history="1">
        <w:r w:rsidRPr="002F7B91">
          <w:rPr>
            <w:rFonts w:asciiTheme="majorHAnsi" w:hAnsiTheme="majorHAnsi"/>
            <w:sz w:val="20"/>
            <w:szCs w:val="20"/>
          </w:rPr>
          <w:t>www.ereport.ru</w:t>
        </w:r>
      </w:hyperlink>
      <w:r w:rsidRPr="002F7B91">
        <w:rPr>
          <w:rFonts w:asciiTheme="majorHAnsi" w:hAnsiTheme="majorHAnsi"/>
          <w:sz w:val="20"/>
          <w:szCs w:val="20"/>
        </w:rPr>
        <w:t xml:space="preserve"> на дату оценки </w:t>
      </w:r>
      <w:r w:rsidRPr="00D01185">
        <w:rPr>
          <w:rFonts w:asciiTheme="majorHAnsi" w:hAnsiTheme="majorHAnsi"/>
          <w:sz w:val="20"/>
          <w:szCs w:val="20"/>
        </w:rPr>
        <w:t>Всемирный банк прогнозирует, что глобальный экономический рост укрепится до 2,7 процента в 2017 году из-за улучшения ситуации в обрабатывающей промышленности и торговле, растущего доверия на рынке и стабилизации цен на сырьевые товары, что позволит возобновить рост в странах с формирующимся рынком и развивающихся странах.</w:t>
      </w:r>
    </w:p>
    <w:p w:rsidR="000A7C2B" w:rsidRPr="00D01185" w:rsidRDefault="000A7C2B" w:rsidP="000A7C2B">
      <w:pPr>
        <w:ind w:firstLine="708"/>
        <w:jc w:val="both"/>
        <w:rPr>
          <w:rFonts w:asciiTheme="majorHAnsi" w:hAnsiTheme="majorHAnsi"/>
          <w:sz w:val="20"/>
          <w:szCs w:val="20"/>
        </w:rPr>
      </w:pPr>
      <w:r w:rsidRPr="00D01185">
        <w:rPr>
          <w:rFonts w:asciiTheme="majorHAnsi" w:hAnsiTheme="majorHAnsi"/>
          <w:sz w:val="20"/>
          <w:szCs w:val="20"/>
        </w:rPr>
        <w:t>Согласно докладу Всемирного банка «Глобальные экономические перспективы», опубликованному в начале июня 2017 года, в странах с развитой экономикой ожидается рост в 2017 году на 1,9 процента, что также принесет пользу торговым партнерам этих стран. Глобальные условия финансирования остаются благоприятными, а цены на сырьевые товары стабилизируются. Благодаря улучшающемуся международному фону, рост в странах с формирующимся рынком и развивающейся экономикой в целом в этом году достигнет 4,1 процента по сравнению с 3,5 процента в 2016 году.</w:t>
      </w:r>
    </w:p>
    <w:p w:rsidR="000A7C2B" w:rsidRPr="00D01185" w:rsidRDefault="000A7C2B" w:rsidP="000A7C2B">
      <w:pPr>
        <w:ind w:firstLine="708"/>
        <w:jc w:val="both"/>
        <w:rPr>
          <w:rFonts w:asciiTheme="majorHAnsi" w:hAnsiTheme="majorHAnsi"/>
          <w:sz w:val="20"/>
          <w:szCs w:val="20"/>
        </w:rPr>
      </w:pPr>
      <w:r w:rsidRPr="00D01185">
        <w:rPr>
          <w:rFonts w:asciiTheme="majorHAnsi" w:hAnsiTheme="majorHAnsi"/>
          <w:sz w:val="20"/>
          <w:szCs w:val="20"/>
        </w:rPr>
        <w:t xml:space="preserve">По прогнозам, рост семи крупнейших в мире развивающихся странах и странах с формирующимся рынком увеличится и превысит долгосрочный средний показатель к 2018 году. Восстановление активности </w:t>
      </w:r>
      <w:r w:rsidRPr="00D01185">
        <w:rPr>
          <w:rFonts w:asciiTheme="majorHAnsi" w:hAnsiTheme="majorHAnsi"/>
          <w:sz w:val="20"/>
          <w:szCs w:val="20"/>
        </w:rPr>
        <w:lastRenderedPageBreak/>
        <w:t>в этих странах должно иметь значительные положительные последствия для роста в других подобных странах и во всем мире.</w:t>
      </w:r>
    </w:p>
    <w:p w:rsidR="000A7C2B" w:rsidRPr="00D01185" w:rsidRDefault="000A7C2B" w:rsidP="000A7C2B">
      <w:pPr>
        <w:ind w:firstLine="708"/>
        <w:jc w:val="both"/>
        <w:rPr>
          <w:rFonts w:asciiTheme="majorHAnsi" w:hAnsiTheme="majorHAnsi"/>
          <w:sz w:val="20"/>
          <w:szCs w:val="20"/>
        </w:rPr>
      </w:pPr>
      <w:r w:rsidRPr="00D01185">
        <w:rPr>
          <w:rFonts w:asciiTheme="majorHAnsi" w:hAnsiTheme="majorHAnsi"/>
          <w:sz w:val="20"/>
          <w:szCs w:val="20"/>
        </w:rPr>
        <w:t>Тем не менее, существенные риски снижают перспективы. Новые торговые ограничения могут подорвать долгожданный отскок в мировой торговле. Постоянная неопределенность в политике может ослабить доверие и инвестиции. В условиях исключительно низкой волатильности финансового рынка внезапная переоценка рынком рисков, связанных с политикой, или темпов нормализации денежно-кредитной политики в развитых экономиках, может спровоцировать финансовые потрясения. В долгосрочном плане неуклонно слабая производительность и недостаточный рост инвестиций могут подорвать перспективы долгосрочного роста в странах с формирующимся рынком и развивающихся странах, который является ключевым фактором сокращения масштабов нищеты.</w:t>
      </w:r>
    </w:p>
    <w:p w:rsidR="000A7C2B" w:rsidRPr="00D01185" w:rsidRDefault="000A7C2B" w:rsidP="000A7C2B">
      <w:pPr>
        <w:ind w:firstLine="708"/>
        <w:jc w:val="both"/>
        <w:rPr>
          <w:rFonts w:asciiTheme="majorHAnsi" w:hAnsiTheme="majorHAnsi"/>
          <w:sz w:val="20"/>
          <w:szCs w:val="20"/>
        </w:rPr>
      </w:pPr>
      <w:r w:rsidRPr="00D01185">
        <w:rPr>
          <w:rFonts w:asciiTheme="majorHAnsi" w:hAnsiTheme="majorHAnsi"/>
          <w:sz w:val="20"/>
          <w:szCs w:val="20"/>
        </w:rPr>
        <w:t>«Слишком долго мы видели, как низкий рост сдерживает прогресс в борьбе с бедностью, поэтому обнадеживает видеть признаки того, что глобальная экономика набирает силу», - сказал президент Группы Всемирного банка Джим Ен Ким. «В связи с тем, что хрупкое, но реальное восстановление сейчас продолжается, странам следует воспользоваться этим моментом для проведения институциональных и рыночных реформ, которые могут привлечь частные инвестиции, чтобы помочь поддерживать рост в долгосрочной перспективе. Страны также должны продолжать инвестировать в людей и наращивать устойчивость к дублирующим вызовам, включая изменение климата, конфликты, насильственные перемещения, голод и болезни».</w:t>
      </w:r>
    </w:p>
    <w:p w:rsidR="000A7C2B" w:rsidRPr="00D01185" w:rsidRDefault="000A7C2B" w:rsidP="000A7C2B">
      <w:pPr>
        <w:ind w:firstLine="708"/>
        <w:jc w:val="both"/>
        <w:rPr>
          <w:rFonts w:asciiTheme="majorHAnsi" w:hAnsiTheme="majorHAnsi"/>
          <w:sz w:val="20"/>
          <w:szCs w:val="20"/>
        </w:rPr>
      </w:pPr>
      <w:r w:rsidRPr="00D01185">
        <w:rPr>
          <w:rFonts w:asciiTheme="majorHAnsi" w:hAnsiTheme="majorHAnsi"/>
          <w:sz w:val="20"/>
          <w:szCs w:val="20"/>
        </w:rPr>
        <w:t>В докладе подчеркивается обеспокоенность по поводу увеличения задолженности и дефицитов на формирующихся рынках и в развивающихся странах, что повышает вероятность резкого повышения процентных ставок или ужесточения условий заимствований. В конце 2016 года государственный долг превысил уровень 2007 года более чем на 10 процентов от ВВП более чем на половине развивающихся рынков, а экономики и бюджетные балансы ухудшились с уровня 2007 года более чем на 5 процентов от ВВП в одной трети этих стран.</w:t>
      </w:r>
    </w:p>
    <w:p w:rsidR="000A7C2B" w:rsidRPr="00D01185" w:rsidRDefault="000A7C2B" w:rsidP="000A7C2B">
      <w:pPr>
        <w:ind w:firstLine="708"/>
        <w:jc w:val="both"/>
        <w:rPr>
          <w:rFonts w:asciiTheme="majorHAnsi" w:hAnsiTheme="majorHAnsi"/>
          <w:sz w:val="20"/>
          <w:szCs w:val="20"/>
        </w:rPr>
      </w:pPr>
      <w:r w:rsidRPr="00D01185">
        <w:rPr>
          <w:rFonts w:asciiTheme="majorHAnsi" w:hAnsiTheme="majorHAnsi"/>
          <w:sz w:val="20"/>
          <w:szCs w:val="20"/>
        </w:rPr>
        <w:t>«Ободряющая новость заключается в том, что торговля восстанавливается», - сказал главный экономист Всемирного банка Пол Ромер. «Проблема заключается в том, что инвестиции остаются слабыми. В ответ мы перекладываем наши приоритеты на кредитование проектов, которые могут стимулировать последующие инвестиции частного сектора».</w:t>
      </w:r>
    </w:p>
    <w:p w:rsidR="000A7C2B" w:rsidRPr="00D01185" w:rsidRDefault="000A7C2B" w:rsidP="000A7C2B">
      <w:pPr>
        <w:ind w:firstLine="708"/>
        <w:jc w:val="both"/>
        <w:rPr>
          <w:rFonts w:asciiTheme="majorHAnsi" w:hAnsiTheme="majorHAnsi"/>
          <w:sz w:val="20"/>
          <w:szCs w:val="20"/>
        </w:rPr>
      </w:pPr>
      <w:r w:rsidRPr="00D01185">
        <w:rPr>
          <w:rFonts w:asciiTheme="majorHAnsi" w:hAnsiTheme="majorHAnsi"/>
          <w:sz w:val="20"/>
          <w:szCs w:val="20"/>
        </w:rPr>
        <w:t>Яркое пятно в перспективе - это восстановление роста торговли до 4 процентов после того, как в прошлом году был зафиксирован минимум после финансового кризиса в 2,5 процента. В докладе подчеркивается слабость глобальной торговли, особенно торговли между фирмами, не связанными одним владением. Такая торговля через каналы аутсорсинга замедлилась гораздо более резко, чем внутрифирменная торговля в последние годы. Это напоминание о важности здоровой глобальной торговой сети для менее интегрированных фирм, на долю которых приходится большинство предприятий.</w:t>
      </w:r>
    </w:p>
    <w:p w:rsidR="000A7C2B" w:rsidRDefault="000A7C2B" w:rsidP="000A7C2B">
      <w:pPr>
        <w:ind w:firstLine="708"/>
        <w:jc w:val="both"/>
        <w:rPr>
          <w:rFonts w:asciiTheme="majorHAnsi" w:hAnsiTheme="majorHAnsi"/>
          <w:sz w:val="20"/>
          <w:szCs w:val="20"/>
        </w:rPr>
      </w:pPr>
      <w:r w:rsidRPr="00D01185">
        <w:rPr>
          <w:rFonts w:asciiTheme="majorHAnsi" w:hAnsiTheme="majorHAnsi"/>
          <w:sz w:val="20"/>
          <w:szCs w:val="20"/>
        </w:rPr>
        <w:t>«После продолжительного замедления недавнее ускорение активности на некоторых из крупнейших развивающихся рынках является долгожданным продолжением роста в их регионах и мировой экономике», - сказал директор по перспективам развития экономики Всемирного банка Айхан Косе. «Настало время для стран с формирующимся рынком и развивающихся стран оценить их уязвимость и усилить политические буферы против неблагоприятных потрясений».</w:t>
      </w:r>
    </w:p>
    <w:p w:rsidR="000A7C2B" w:rsidRPr="002F7B91" w:rsidRDefault="000A7C2B" w:rsidP="000A7C2B">
      <w:pPr>
        <w:ind w:firstLine="708"/>
        <w:jc w:val="both"/>
        <w:rPr>
          <w:rFonts w:asciiTheme="majorHAnsi" w:hAnsiTheme="majorHAnsi"/>
          <w:b/>
          <w:sz w:val="20"/>
          <w:szCs w:val="20"/>
        </w:rPr>
      </w:pPr>
      <w:r w:rsidRPr="002F7B91">
        <w:rPr>
          <w:rFonts w:asciiTheme="majorHAnsi" w:hAnsiTheme="majorHAnsi"/>
          <w:b/>
          <w:sz w:val="20"/>
          <w:szCs w:val="20"/>
        </w:rPr>
        <w:t>Экономика России</w:t>
      </w:r>
    </w:p>
    <w:p w:rsidR="000A7C2B" w:rsidRDefault="000A7C2B" w:rsidP="000A7C2B">
      <w:pPr>
        <w:ind w:firstLine="709"/>
        <w:jc w:val="both"/>
        <w:rPr>
          <w:rFonts w:asciiTheme="majorHAnsi" w:hAnsiTheme="majorHAnsi"/>
          <w:sz w:val="20"/>
          <w:szCs w:val="20"/>
        </w:rPr>
      </w:pPr>
      <w:r w:rsidRPr="00D01185">
        <w:rPr>
          <w:rFonts w:asciiTheme="majorHAnsi" w:hAnsiTheme="majorHAnsi"/>
          <w:sz w:val="20"/>
          <w:szCs w:val="20"/>
        </w:rPr>
        <w:t>В первом квартале 2017 года российская экономика продолжала расти скромно, увеличившись на 0,5 процента в годовом исчислении, сообщило Федеральная служба государственной статистики (Росстат). Неясно, что привело к экономическому росту в период с января по март, поскольку Росстат показывает разбивку данных с временной задержкой.</w:t>
      </w:r>
    </w:p>
    <w:p w:rsidR="000A7C2B" w:rsidRPr="00D01185" w:rsidRDefault="000A7C2B" w:rsidP="000A7C2B">
      <w:pPr>
        <w:ind w:firstLine="709"/>
        <w:jc w:val="both"/>
        <w:rPr>
          <w:rFonts w:asciiTheme="majorHAnsi" w:hAnsiTheme="majorHAnsi"/>
          <w:sz w:val="20"/>
          <w:szCs w:val="20"/>
        </w:rPr>
      </w:pPr>
    </w:p>
    <w:p w:rsidR="000A7C2B" w:rsidRPr="00D01185" w:rsidRDefault="000A7C2B" w:rsidP="000A7C2B">
      <w:pPr>
        <w:jc w:val="center"/>
        <w:rPr>
          <w:rFonts w:asciiTheme="majorHAnsi" w:hAnsiTheme="majorHAnsi"/>
          <w:sz w:val="20"/>
          <w:szCs w:val="20"/>
        </w:rPr>
      </w:pPr>
      <w:r w:rsidRPr="00D01185">
        <w:rPr>
          <w:rFonts w:asciiTheme="majorHAnsi" w:hAnsiTheme="majorHAnsi"/>
          <w:b/>
          <w:sz w:val="20"/>
          <w:szCs w:val="20"/>
        </w:rPr>
        <w:t>Темпы роста ВВП России,% к аналогичному кварталу предыдущего года</w:t>
      </w:r>
      <w:r w:rsidRPr="00D01185">
        <w:rPr>
          <w:b/>
        </w:rPr>
        <w:t xml:space="preserve"> </w:t>
      </w:r>
      <w:r w:rsidRPr="00D01185">
        <w:rPr>
          <w:rFonts w:asciiTheme="majorHAnsi" w:hAnsiTheme="majorHAnsi"/>
          <w:noProof/>
          <w:sz w:val="20"/>
          <w:szCs w:val="20"/>
        </w:rPr>
        <w:drawing>
          <wp:inline distT="0" distB="0" distL="0" distR="0" wp14:anchorId="078DC10F" wp14:editId="6434208F">
            <wp:extent cx="3806140" cy="2371061"/>
            <wp:effectExtent l="0" t="0" r="0" b="0"/>
            <wp:docPr id="49" name="Рисунок 49" descr=" &amp;Tcy;&amp;iecy;&amp;mcy;&amp;pcy;&amp;ycy; &amp;rcy;&amp;ocy;&amp;scy;&amp;tcy;&amp;acy; &amp;Vcy;&amp;Vcy;&amp;Pcy; &amp;Rcy;&amp;ocy;&amp;scy;&amp;s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amp;Tcy;&amp;iecy;&amp;mcy;&amp;pcy;&amp;ycy; &amp;rcy;&amp;ocy;&amp;scy;&amp;tcy;&amp;acy; &amp;Vcy;&amp;Vcy;&amp;Pcy; &amp;Rcy;&amp;ocy;&amp;scy;&amp;scy;&amp;icy;&amp;icy;"/>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24438" cy="2382460"/>
                    </a:xfrm>
                    <a:prstGeom prst="rect">
                      <a:avLst/>
                    </a:prstGeom>
                    <a:noFill/>
                    <a:ln>
                      <a:noFill/>
                    </a:ln>
                  </pic:spPr>
                </pic:pic>
              </a:graphicData>
            </a:graphic>
          </wp:inline>
        </w:drawing>
      </w:r>
    </w:p>
    <w:p w:rsidR="000A7C2B" w:rsidRPr="00D01185" w:rsidRDefault="000A7C2B" w:rsidP="000A7C2B">
      <w:pPr>
        <w:ind w:firstLine="709"/>
        <w:jc w:val="center"/>
        <w:rPr>
          <w:rFonts w:asciiTheme="majorHAnsi" w:hAnsiTheme="majorHAnsi"/>
          <w:b/>
          <w:i/>
          <w:sz w:val="20"/>
          <w:szCs w:val="20"/>
        </w:rPr>
      </w:pPr>
      <w:r w:rsidRPr="00D01185">
        <w:rPr>
          <w:rFonts w:asciiTheme="majorHAnsi" w:hAnsiTheme="majorHAnsi"/>
          <w:b/>
          <w:i/>
          <w:sz w:val="20"/>
          <w:szCs w:val="20"/>
        </w:rPr>
        <w:t>Источник - Росстат</w:t>
      </w:r>
    </w:p>
    <w:p w:rsidR="000A7C2B" w:rsidRPr="00D01185" w:rsidRDefault="000A7C2B" w:rsidP="000A7C2B">
      <w:pPr>
        <w:ind w:firstLine="709"/>
        <w:jc w:val="both"/>
        <w:rPr>
          <w:rFonts w:asciiTheme="majorHAnsi" w:hAnsiTheme="majorHAnsi"/>
          <w:b/>
          <w:sz w:val="20"/>
          <w:szCs w:val="20"/>
        </w:rPr>
      </w:pPr>
      <w:r w:rsidRPr="00D01185">
        <w:rPr>
          <w:rFonts w:asciiTheme="majorHAnsi" w:hAnsiTheme="majorHAnsi"/>
          <w:b/>
          <w:sz w:val="20"/>
          <w:szCs w:val="20"/>
        </w:rPr>
        <w:lastRenderedPageBreak/>
        <w:t>Другие показатели экономики России</w:t>
      </w:r>
    </w:p>
    <w:p w:rsidR="000A7C2B" w:rsidRPr="00D01185" w:rsidRDefault="000A7C2B" w:rsidP="000A7C2B">
      <w:pPr>
        <w:ind w:firstLine="709"/>
        <w:jc w:val="both"/>
        <w:rPr>
          <w:rFonts w:asciiTheme="majorHAnsi" w:hAnsiTheme="majorHAnsi"/>
          <w:sz w:val="20"/>
          <w:szCs w:val="20"/>
        </w:rPr>
      </w:pPr>
      <w:r w:rsidRPr="00D01185">
        <w:rPr>
          <w:rFonts w:asciiTheme="majorHAnsi" w:hAnsiTheme="majorHAnsi"/>
          <w:sz w:val="20"/>
          <w:szCs w:val="20"/>
        </w:rPr>
        <w:t>ВВП вернулся к росту в четвертом квартале, увеличившись на 0,3 процента после семи кварталов сокращения, которое было вызвано главным образом падением цен на нефть и западными санкциями из-за роли России в украинском кризисе.</w:t>
      </w:r>
    </w:p>
    <w:p w:rsidR="000A7C2B" w:rsidRPr="00D01185" w:rsidRDefault="000A7C2B" w:rsidP="000A7C2B">
      <w:pPr>
        <w:ind w:firstLine="709"/>
        <w:jc w:val="both"/>
        <w:rPr>
          <w:rFonts w:asciiTheme="majorHAnsi" w:hAnsiTheme="majorHAnsi"/>
          <w:sz w:val="20"/>
          <w:szCs w:val="20"/>
        </w:rPr>
      </w:pPr>
      <w:r w:rsidRPr="00D01185">
        <w:rPr>
          <w:rFonts w:asciiTheme="majorHAnsi" w:hAnsiTheme="majorHAnsi"/>
          <w:sz w:val="20"/>
          <w:szCs w:val="20"/>
        </w:rPr>
        <w:t>Промышленное производство в России в апреле 2017 года увеличилось на 2,3 процента, после роста на 0,8 процента в предыдущем месяце и превысив ожидания рынка – рост на 0,6 процента. Это был самый сильный рост с января, так как более быстрыми темпами увеличивалась добыча полезных ископаемых (4,2 процента от 0,2 процента в марте) и производство электроэнергии и газа (5,5 процента от 0,4 процента). Напротив, замедлился рост обрабатывающего производства (0,6 процента от 1 процента) и производства воды (2,1 процента с 3,4 процента). На ежемесячной основе промышленное производство снизилось на 2,3 процента.</w:t>
      </w:r>
    </w:p>
    <w:p w:rsidR="000A7C2B" w:rsidRPr="00D01185" w:rsidRDefault="000A7C2B" w:rsidP="000A7C2B">
      <w:pPr>
        <w:ind w:firstLine="709"/>
        <w:jc w:val="both"/>
        <w:rPr>
          <w:rFonts w:asciiTheme="majorHAnsi" w:hAnsiTheme="majorHAnsi"/>
          <w:sz w:val="20"/>
          <w:szCs w:val="20"/>
        </w:rPr>
      </w:pPr>
      <w:r w:rsidRPr="00D01185">
        <w:rPr>
          <w:rFonts w:asciiTheme="majorHAnsi" w:hAnsiTheme="majorHAnsi"/>
          <w:sz w:val="20"/>
          <w:szCs w:val="20"/>
        </w:rPr>
        <w:t>Сальдо торгового баланса России увеличилось на 61,7 процента до $12,6 млрд. в марте 2017 года по сравнению с $7,8 млрд. в том же месяце годом ранее и выше рыночных ожиданий в размере $11,9 млрд. Это было самое большое положительное сальдо торгового баланса с июня 2015 года, поскольку экспорт вырос на 35,2 процента до $31,3 млрд., а импорт увеличился на 21,8 процента до $18,7 млрд.</w:t>
      </w:r>
    </w:p>
    <w:p w:rsidR="000A7C2B" w:rsidRPr="00D01185" w:rsidRDefault="000A7C2B" w:rsidP="000A7C2B">
      <w:pPr>
        <w:ind w:firstLine="709"/>
        <w:jc w:val="both"/>
        <w:rPr>
          <w:rFonts w:asciiTheme="majorHAnsi" w:hAnsiTheme="majorHAnsi"/>
          <w:sz w:val="20"/>
          <w:szCs w:val="20"/>
        </w:rPr>
      </w:pPr>
      <w:r w:rsidRPr="00D01185">
        <w:rPr>
          <w:rFonts w:asciiTheme="majorHAnsi" w:hAnsiTheme="majorHAnsi"/>
          <w:sz w:val="20"/>
          <w:szCs w:val="20"/>
        </w:rPr>
        <w:t>Потребительские цены в России в апреле 2017 года выросли на 4,1 процента по сравнению с аналогичным периодом прошлого года, снизившись с 4,3 процента в предыдущем месяце и ниже ожиданий рынка в 4,2 процента. Это был самый низкий уровень инфляции с мая 2012 года, поскольку рост цен на жилье и коммунальные услуги, одежду и обувь, а также транспорт происходил более медленными темпами. На ежемесячной основе цены выросли на 0,3 процента, после роста на 0,1 процента в марте.</w:t>
      </w:r>
    </w:p>
    <w:p w:rsidR="000A7C2B" w:rsidRDefault="000A7C2B" w:rsidP="000A7C2B">
      <w:pPr>
        <w:ind w:firstLine="709"/>
        <w:jc w:val="both"/>
        <w:rPr>
          <w:rFonts w:asciiTheme="majorHAnsi" w:hAnsiTheme="majorHAnsi"/>
          <w:sz w:val="20"/>
          <w:szCs w:val="20"/>
        </w:rPr>
      </w:pPr>
      <w:r w:rsidRPr="00D01185">
        <w:rPr>
          <w:rFonts w:asciiTheme="majorHAnsi" w:hAnsiTheme="majorHAnsi"/>
          <w:sz w:val="20"/>
          <w:szCs w:val="20"/>
        </w:rPr>
        <w:t>Уровень безработицы в России снизился до 5,3 процента в апреле 2017 года с 5,9 процента в том же месяце год назад и значительно ниже рыночных ожиданий в 5,5 процента. Это был самый низкий уровень безработицы с декабря прошлого года. Число безработных сократилось на 470 тыс. человек до 4,050 млн. человек, а число экономически активных людей сократилось на 400 тыс. до 75,9 млн. человек, что составляет 52% от общей численности населения.</w:t>
      </w:r>
    </w:p>
    <w:p w:rsidR="005144A4" w:rsidRPr="00E03510" w:rsidRDefault="005144A4" w:rsidP="005144A4">
      <w:pPr>
        <w:pStyle w:val="af6"/>
        <w:spacing w:before="0" w:after="0"/>
        <w:rPr>
          <w:rFonts w:asciiTheme="majorHAnsi" w:eastAsiaTheme="minorHAnsi" w:hAnsiTheme="majorHAnsi"/>
          <w:spacing w:val="-6"/>
          <w:sz w:val="20"/>
          <w:szCs w:val="20"/>
          <w:lang w:eastAsia="en-US"/>
        </w:rPr>
      </w:pPr>
      <w:r w:rsidRPr="00E03510">
        <w:rPr>
          <w:rFonts w:asciiTheme="majorHAnsi" w:hAnsiTheme="majorHAnsi"/>
          <w:b/>
          <w:bCs/>
          <w:sz w:val="20"/>
          <w:szCs w:val="20"/>
        </w:rPr>
        <w:t>Белгородская область</w:t>
      </w:r>
      <w:r w:rsidRPr="00E03510">
        <w:rPr>
          <w:rFonts w:asciiTheme="majorHAnsi" w:hAnsiTheme="majorHAnsi"/>
          <w:sz w:val="20"/>
          <w:szCs w:val="20"/>
        </w:rPr>
        <w:t> </w:t>
      </w:r>
      <w:r w:rsidRPr="00E03510">
        <w:rPr>
          <w:rFonts w:asciiTheme="majorHAnsi" w:eastAsiaTheme="minorHAnsi" w:hAnsiTheme="majorHAnsi"/>
          <w:spacing w:val="-6"/>
          <w:sz w:val="20"/>
          <w:szCs w:val="20"/>
          <w:lang w:eastAsia="en-US"/>
        </w:rPr>
        <w:t xml:space="preserve">(неофиц. Белогорье, Святое Белогорье, Белгородчина, Белгородщина) — </w:t>
      </w:r>
      <w:hyperlink r:id="rId63" w:tooltip="Административно-территориальное деление России" w:history="1">
        <w:r w:rsidRPr="00E03510">
          <w:rPr>
            <w:rFonts w:asciiTheme="majorHAnsi" w:eastAsiaTheme="minorHAnsi" w:hAnsiTheme="majorHAnsi"/>
            <w:spacing w:val="-6"/>
            <w:sz w:val="20"/>
            <w:szCs w:val="20"/>
            <w:lang w:eastAsia="en-US"/>
          </w:rPr>
          <w:t>субъект</w:t>
        </w:r>
      </w:hyperlink>
      <w:r w:rsidRPr="00E03510">
        <w:rPr>
          <w:rFonts w:asciiTheme="majorHAnsi" w:eastAsiaTheme="minorHAnsi" w:hAnsiTheme="majorHAnsi"/>
          <w:spacing w:val="-6"/>
          <w:sz w:val="20"/>
          <w:szCs w:val="20"/>
          <w:lang w:eastAsia="en-US"/>
        </w:rPr>
        <w:t xml:space="preserve"> </w:t>
      </w:r>
      <w:hyperlink r:id="rId64" w:tooltip="Российская Федерация" w:history="1">
        <w:r w:rsidRPr="00E03510">
          <w:rPr>
            <w:rFonts w:asciiTheme="majorHAnsi" w:eastAsiaTheme="minorHAnsi" w:hAnsiTheme="majorHAnsi"/>
            <w:spacing w:val="-6"/>
            <w:sz w:val="20"/>
            <w:szCs w:val="20"/>
            <w:lang w:eastAsia="en-US"/>
          </w:rPr>
          <w:t>Российской Федерации</w:t>
        </w:r>
      </w:hyperlink>
      <w:r w:rsidRPr="00E03510">
        <w:rPr>
          <w:rFonts w:asciiTheme="majorHAnsi" w:eastAsiaTheme="minorHAnsi" w:hAnsiTheme="majorHAnsi"/>
          <w:spacing w:val="-6"/>
          <w:sz w:val="20"/>
          <w:szCs w:val="20"/>
          <w:lang w:eastAsia="en-US"/>
        </w:rPr>
        <w:t xml:space="preserve">, расположен в юго-западной части России в 500—700 км к югу от </w:t>
      </w:r>
      <w:hyperlink r:id="rId65" w:tooltip="Москва" w:history="1">
        <w:r w:rsidRPr="00E03510">
          <w:rPr>
            <w:rFonts w:asciiTheme="majorHAnsi" w:eastAsiaTheme="minorHAnsi" w:hAnsiTheme="majorHAnsi"/>
            <w:spacing w:val="-6"/>
            <w:sz w:val="20"/>
            <w:szCs w:val="20"/>
            <w:lang w:eastAsia="en-US"/>
          </w:rPr>
          <w:t>Москвы</w:t>
        </w:r>
      </w:hyperlink>
      <w:r w:rsidRPr="00E03510">
        <w:rPr>
          <w:rFonts w:asciiTheme="majorHAnsi" w:eastAsiaTheme="minorHAnsi" w:hAnsiTheme="majorHAnsi"/>
          <w:spacing w:val="-6"/>
          <w:sz w:val="20"/>
          <w:szCs w:val="20"/>
          <w:lang w:eastAsia="en-US"/>
        </w:rPr>
        <w:t xml:space="preserve">, на границе с </w:t>
      </w:r>
      <w:hyperlink r:id="rId66" w:tooltip="Украина" w:history="1">
        <w:r w:rsidRPr="00E03510">
          <w:rPr>
            <w:rFonts w:asciiTheme="majorHAnsi" w:eastAsiaTheme="minorHAnsi" w:hAnsiTheme="majorHAnsi"/>
            <w:spacing w:val="-6"/>
            <w:sz w:val="20"/>
            <w:szCs w:val="20"/>
            <w:lang w:eastAsia="en-US"/>
          </w:rPr>
          <w:t>Украиной</w:t>
        </w:r>
      </w:hyperlink>
      <w:r w:rsidRPr="00E03510">
        <w:rPr>
          <w:rFonts w:asciiTheme="majorHAnsi" w:eastAsiaTheme="minorHAnsi" w:hAnsiTheme="majorHAnsi"/>
          <w:spacing w:val="-6"/>
          <w:sz w:val="20"/>
          <w:szCs w:val="20"/>
          <w:lang w:eastAsia="en-US"/>
        </w:rPr>
        <w:t xml:space="preserve">. Крупнейшие города: </w:t>
      </w:r>
      <w:hyperlink r:id="rId67" w:tooltip="Белгород" w:history="1">
        <w:r w:rsidRPr="00E03510">
          <w:rPr>
            <w:rFonts w:asciiTheme="majorHAnsi" w:eastAsiaTheme="minorHAnsi" w:hAnsiTheme="majorHAnsi"/>
            <w:spacing w:val="-6"/>
            <w:sz w:val="20"/>
            <w:szCs w:val="20"/>
            <w:lang w:eastAsia="en-US"/>
          </w:rPr>
          <w:t>Белгород</w:t>
        </w:r>
      </w:hyperlink>
      <w:r w:rsidRPr="00E03510">
        <w:rPr>
          <w:rFonts w:asciiTheme="majorHAnsi" w:eastAsiaTheme="minorHAnsi" w:hAnsiTheme="majorHAnsi"/>
          <w:spacing w:val="-6"/>
          <w:sz w:val="20"/>
          <w:szCs w:val="20"/>
          <w:lang w:eastAsia="en-US"/>
        </w:rPr>
        <w:t xml:space="preserve"> — 387 090 чел., </w:t>
      </w:r>
      <w:hyperlink r:id="rId68" w:tooltip="Старый Оскол" w:history="1">
        <w:r w:rsidRPr="00E03510">
          <w:rPr>
            <w:rFonts w:asciiTheme="majorHAnsi" w:eastAsiaTheme="minorHAnsi" w:hAnsiTheme="majorHAnsi"/>
            <w:spacing w:val="-6"/>
            <w:sz w:val="20"/>
            <w:szCs w:val="20"/>
            <w:lang w:eastAsia="en-US"/>
          </w:rPr>
          <w:t>Старый Оскол</w:t>
        </w:r>
      </w:hyperlink>
      <w:r w:rsidRPr="00E03510">
        <w:rPr>
          <w:rFonts w:asciiTheme="majorHAnsi" w:eastAsiaTheme="minorHAnsi" w:hAnsiTheme="majorHAnsi"/>
          <w:spacing w:val="-6"/>
          <w:sz w:val="20"/>
          <w:szCs w:val="20"/>
          <w:lang w:eastAsia="en-US"/>
        </w:rPr>
        <w:t xml:space="preserve"> — 222 125 чел., </w:t>
      </w:r>
      <w:hyperlink r:id="rId69" w:tooltip="Губкин (город)" w:history="1">
        <w:r w:rsidRPr="00E03510">
          <w:rPr>
            <w:rFonts w:asciiTheme="majorHAnsi" w:eastAsiaTheme="minorHAnsi" w:hAnsiTheme="majorHAnsi"/>
            <w:spacing w:val="-6"/>
            <w:sz w:val="20"/>
            <w:szCs w:val="20"/>
            <w:lang w:eastAsia="en-US"/>
          </w:rPr>
          <w:t>Губкин</w:t>
        </w:r>
      </w:hyperlink>
      <w:r w:rsidRPr="00E03510">
        <w:rPr>
          <w:rFonts w:asciiTheme="majorHAnsi" w:eastAsiaTheme="minorHAnsi" w:hAnsiTheme="majorHAnsi"/>
          <w:spacing w:val="-6"/>
          <w:sz w:val="20"/>
          <w:szCs w:val="20"/>
          <w:lang w:eastAsia="en-US"/>
        </w:rPr>
        <w:t> — 87 083 чел.</w:t>
      </w:r>
    </w:p>
    <w:p w:rsidR="005144A4" w:rsidRPr="00E03510" w:rsidRDefault="005144A4" w:rsidP="005144A4">
      <w:pPr>
        <w:pStyle w:val="af6"/>
        <w:spacing w:before="0" w:after="0"/>
        <w:rPr>
          <w:rFonts w:asciiTheme="majorHAnsi" w:eastAsiaTheme="minorHAnsi" w:hAnsiTheme="majorHAnsi"/>
          <w:spacing w:val="-6"/>
          <w:sz w:val="20"/>
          <w:szCs w:val="20"/>
          <w:lang w:eastAsia="en-US"/>
        </w:rPr>
      </w:pPr>
      <w:r w:rsidRPr="00E03510">
        <w:rPr>
          <w:rFonts w:asciiTheme="majorHAnsi" w:eastAsiaTheme="minorHAnsi" w:hAnsiTheme="majorHAnsi"/>
          <w:spacing w:val="-6"/>
          <w:sz w:val="20"/>
          <w:szCs w:val="20"/>
          <w:lang w:eastAsia="en-US"/>
        </w:rPr>
        <w:t xml:space="preserve">Белгородская область образована </w:t>
      </w:r>
      <w:hyperlink r:id="rId70" w:tooltip="6 января" w:history="1">
        <w:r w:rsidRPr="00E03510">
          <w:rPr>
            <w:rFonts w:asciiTheme="majorHAnsi" w:eastAsiaTheme="minorHAnsi" w:hAnsiTheme="majorHAnsi"/>
            <w:spacing w:val="-6"/>
            <w:sz w:val="20"/>
            <w:szCs w:val="20"/>
            <w:lang w:eastAsia="en-US"/>
          </w:rPr>
          <w:t>6 января</w:t>
        </w:r>
      </w:hyperlink>
      <w:r w:rsidRPr="00E03510">
        <w:rPr>
          <w:rFonts w:asciiTheme="majorHAnsi" w:eastAsiaTheme="minorHAnsi" w:hAnsiTheme="majorHAnsi"/>
          <w:spacing w:val="-6"/>
          <w:sz w:val="20"/>
          <w:szCs w:val="20"/>
          <w:lang w:eastAsia="en-US"/>
        </w:rPr>
        <w:t xml:space="preserve"> </w:t>
      </w:r>
      <w:hyperlink r:id="rId71" w:tooltip="1954 год" w:history="1">
        <w:r w:rsidRPr="00E03510">
          <w:rPr>
            <w:rFonts w:asciiTheme="majorHAnsi" w:eastAsiaTheme="minorHAnsi" w:hAnsiTheme="majorHAnsi"/>
            <w:spacing w:val="-6"/>
            <w:sz w:val="20"/>
            <w:szCs w:val="20"/>
            <w:lang w:eastAsia="en-US"/>
          </w:rPr>
          <w:t>1954 года</w:t>
        </w:r>
      </w:hyperlink>
      <w:r w:rsidRPr="00E03510">
        <w:rPr>
          <w:rFonts w:asciiTheme="majorHAnsi" w:eastAsiaTheme="minorHAnsi" w:hAnsiTheme="majorHAnsi"/>
          <w:spacing w:val="-6"/>
          <w:sz w:val="20"/>
          <w:szCs w:val="20"/>
          <w:lang w:eastAsia="en-US"/>
        </w:rPr>
        <w:t>. С этого момента её границы не изменялись.</w:t>
      </w:r>
    </w:p>
    <w:p w:rsidR="003A0AB0" w:rsidRDefault="005144A4" w:rsidP="005144A4">
      <w:pPr>
        <w:pStyle w:val="af6"/>
        <w:spacing w:before="0" w:after="0"/>
        <w:rPr>
          <w:rFonts w:asciiTheme="majorHAnsi" w:eastAsiaTheme="minorHAnsi" w:hAnsiTheme="majorHAnsi"/>
          <w:spacing w:val="-6"/>
          <w:sz w:val="20"/>
          <w:szCs w:val="20"/>
          <w:lang w:eastAsia="en-US"/>
        </w:rPr>
      </w:pPr>
      <w:r w:rsidRPr="00E03510">
        <w:rPr>
          <w:rFonts w:asciiTheme="majorHAnsi" w:hAnsiTheme="majorHAnsi"/>
          <w:b/>
          <w:bCs/>
          <w:spacing w:val="-6"/>
          <w:sz w:val="20"/>
          <w:szCs w:val="20"/>
        </w:rPr>
        <w:t>Белгородская область</w:t>
      </w:r>
      <w:r w:rsidRPr="00E03510">
        <w:rPr>
          <w:rFonts w:asciiTheme="majorHAnsi" w:hAnsiTheme="majorHAnsi"/>
          <w:spacing w:val="-6"/>
          <w:sz w:val="20"/>
          <w:szCs w:val="20"/>
        </w:rPr>
        <w:t xml:space="preserve"> </w:t>
      </w:r>
      <w:r w:rsidRPr="00E03510">
        <w:rPr>
          <w:rFonts w:asciiTheme="majorHAnsi" w:eastAsiaTheme="minorHAnsi" w:hAnsiTheme="majorHAnsi"/>
          <w:spacing w:val="-6"/>
          <w:sz w:val="20"/>
          <w:szCs w:val="20"/>
          <w:lang w:eastAsia="en-US"/>
        </w:rPr>
        <w:t>образована 6 января 1954 года. Она расположена в пределах юго - западной части Центрально - Черноземного района. Протяженность территории с запа-да на восток – 250 км, с севера на юг-170 км. Площадь области 27100 км2. В южной части и на западе область граничит с Луганской, Харьковской и Сумской областями Украины, на севере и северо-западе-с Курской областью, на востоке – с Воронежской областью. Общая протяженность границ составляет около 1150 км, в том числе с Украиной-540 км. Областной центр г. Белгород распо</w:t>
      </w:r>
      <w:r w:rsidR="003A0AB0">
        <w:rPr>
          <w:rFonts w:asciiTheme="majorHAnsi" w:eastAsiaTheme="minorHAnsi" w:hAnsiTheme="majorHAnsi"/>
          <w:spacing w:val="-6"/>
          <w:sz w:val="20"/>
          <w:szCs w:val="20"/>
          <w:lang w:eastAsia="en-US"/>
        </w:rPr>
        <w:t>ложен в 695 км к югу от Москвы.</w:t>
      </w:r>
    </w:p>
    <w:p w:rsidR="003A0AB0" w:rsidRDefault="005144A4" w:rsidP="005144A4">
      <w:pPr>
        <w:pStyle w:val="af6"/>
        <w:spacing w:before="0" w:after="0"/>
        <w:rPr>
          <w:rFonts w:asciiTheme="majorHAnsi" w:eastAsiaTheme="minorHAnsi" w:hAnsiTheme="majorHAnsi"/>
          <w:spacing w:val="-6"/>
          <w:sz w:val="20"/>
          <w:szCs w:val="20"/>
          <w:lang w:eastAsia="en-US"/>
        </w:rPr>
      </w:pPr>
      <w:r w:rsidRPr="00E03510">
        <w:rPr>
          <w:rFonts w:asciiTheme="majorHAnsi" w:eastAsiaTheme="minorHAnsi" w:hAnsiTheme="majorHAnsi"/>
          <w:spacing w:val="-6"/>
          <w:sz w:val="20"/>
          <w:szCs w:val="20"/>
          <w:lang w:eastAsia="en-US"/>
        </w:rPr>
        <w:t>Согласно административно - территориальному делению по данным на 2008 г., в области насчитывается 21 район с общей численностью населения 1517,1 тыс. человек, в том числе 562,4 тыс. человек в городах с населением свыше 100 тыс. жителей, 443,4 тыс. чел в городах с населением менее 100 тыс. жителей и в поселках городского типа и 511,3 тыс. человек</w:t>
      </w:r>
      <w:r w:rsidR="003A0AB0">
        <w:rPr>
          <w:rFonts w:asciiTheme="majorHAnsi" w:eastAsiaTheme="minorHAnsi" w:hAnsiTheme="majorHAnsi"/>
          <w:spacing w:val="-6"/>
          <w:sz w:val="20"/>
          <w:szCs w:val="20"/>
          <w:lang w:eastAsia="en-US"/>
        </w:rPr>
        <w:t xml:space="preserve"> в сельских населенных пунктах.</w:t>
      </w:r>
    </w:p>
    <w:p w:rsidR="005144A4" w:rsidRPr="00E03510" w:rsidRDefault="005144A4" w:rsidP="005144A4">
      <w:pPr>
        <w:pStyle w:val="af6"/>
        <w:spacing w:before="0" w:after="0"/>
        <w:rPr>
          <w:rFonts w:asciiTheme="majorHAnsi" w:eastAsiaTheme="minorHAnsi" w:hAnsiTheme="majorHAnsi"/>
          <w:spacing w:val="-6"/>
          <w:sz w:val="20"/>
          <w:szCs w:val="20"/>
          <w:lang w:eastAsia="en-US"/>
        </w:rPr>
      </w:pPr>
      <w:r w:rsidRPr="00E03510">
        <w:rPr>
          <w:rFonts w:asciiTheme="majorHAnsi" w:eastAsiaTheme="minorHAnsi" w:hAnsiTheme="majorHAnsi"/>
          <w:spacing w:val="-6"/>
          <w:sz w:val="20"/>
          <w:szCs w:val="20"/>
          <w:lang w:eastAsia="en-US"/>
        </w:rPr>
        <w:t>Наиболее крупными городами является областной центр Белгород – 344,2 тыс. жителей, Старый Оскол-218,2 тыс. жителей и Губкин -87,2 тыс. жителей.</w:t>
      </w:r>
    </w:p>
    <w:p w:rsidR="006358BA" w:rsidRPr="00E03510" w:rsidRDefault="006358BA" w:rsidP="005144A4">
      <w:pPr>
        <w:pStyle w:val="af6"/>
        <w:spacing w:before="0" w:after="0"/>
        <w:rPr>
          <w:rFonts w:asciiTheme="majorHAnsi" w:eastAsiaTheme="minorHAnsi" w:hAnsiTheme="majorHAnsi"/>
          <w:spacing w:val="-6"/>
          <w:sz w:val="20"/>
          <w:szCs w:val="20"/>
          <w:lang w:eastAsia="en-US"/>
        </w:rPr>
      </w:pPr>
    </w:p>
    <w:p w:rsidR="005144A4" w:rsidRPr="00E03510" w:rsidRDefault="005144A4" w:rsidP="005144A4">
      <w:pPr>
        <w:pStyle w:val="af6"/>
        <w:spacing w:before="0" w:after="0"/>
        <w:ind w:firstLine="0"/>
        <w:jc w:val="center"/>
        <w:rPr>
          <w:rFonts w:asciiTheme="majorHAnsi" w:hAnsiTheme="majorHAnsi"/>
          <w:spacing w:val="-6"/>
          <w:sz w:val="20"/>
          <w:szCs w:val="20"/>
        </w:rPr>
      </w:pPr>
      <w:r w:rsidRPr="00E03510">
        <w:rPr>
          <w:rFonts w:asciiTheme="majorHAnsi" w:hAnsiTheme="majorHAnsi"/>
          <w:noProof/>
          <w:spacing w:val="-6"/>
          <w:sz w:val="20"/>
          <w:szCs w:val="20"/>
        </w:rPr>
        <w:drawing>
          <wp:inline distT="0" distB="0" distL="0" distR="0" wp14:anchorId="3ED1EC0F" wp14:editId="1659DAB0">
            <wp:extent cx="4897755" cy="2898476"/>
            <wp:effectExtent l="0" t="0" r="0" b="0"/>
            <wp:docPr id="13" name="Рисунок 13" descr="административная карта  Белгородской области">
              <a:hlinkClick xmlns:a="http://schemas.openxmlformats.org/drawingml/2006/main" r:id="rId72" tooltip="&quot;административная карта  Белгородской област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административная карта  Белгородской области">
                      <a:hlinkClick r:id="rId72" tooltip="&quot;административная карта  Белгородской области&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18275" cy="2910619"/>
                    </a:xfrm>
                    <a:prstGeom prst="rect">
                      <a:avLst/>
                    </a:prstGeom>
                    <a:noFill/>
                    <a:ln>
                      <a:noFill/>
                    </a:ln>
                  </pic:spPr>
                </pic:pic>
              </a:graphicData>
            </a:graphic>
          </wp:inline>
        </w:drawing>
      </w:r>
    </w:p>
    <w:p w:rsidR="005144A4" w:rsidRPr="00E03510" w:rsidRDefault="005144A4" w:rsidP="005144A4">
      <w:pPr>
        <w:pStyle w:val="af6"/>
        <w:spacing w:before="0" w:after="0"/>
        <w:ind w:firstLine="0"/>
        <w:jc w:val="center"/>
        <w:rPr>
          <w:rFonts w:asciiTheme="majorHAnsi" w:hAnsiTheme="majorHAnsi"/>
          <w:bCs/>
          <w:i/>
          <w:iCs/>
          <w:spacing w:val="-6"/>
          <w:sz w:val="20"/>
          <w:szCs w:val="20"/>
        </w:rPr>
      </w:pPr>
      <w:r w:rsidRPr="00E03510">
        <w:rPr>
          <w:rFonts w:asciiTheme="majorHAnsi" w:hAnsiTheme="majorHAnsi"/>
          <w:bCs/>
          <w:i/>
          <w:iCs/>
          <w:spacing w:val="-6"/>
          <w:sz w:val="20"/>
          <w:szCs w:val="20"/>
        </w:rPr>
        <w:t>Административная карта Белгородской области</w:t>
      </w:r>
    </w:p>
    <w:p w:rsidR="005144A4" w:rsidRPr="00E03510" w:rsidRDefault="005144A4" w:rsidP="005144A4">
      <w:pPr>
        <w:pStyle w:val="af6"/>
        <w:spacing w:before="0" w:after="0"/>
        <w:ind w:firstLine="0"/>
        <w:jc w:val="center"/>
        <w:rPr>
          <w:rFonts w:asciiTheme="majorHAnsi" w:hAnsiTheme="majorHAnsi"/>
          <w:i/>
          <w:spacing w:val="-6"/>
          <w:sz w:val="20"/>
          <w:szCs w:val="20"/>
        </w:rPr>
      </w:pPr>
    </w:p>
    <w:p w:rsidR="005144A4" w:rsidRPr="00E03510" w:rsidRDefault="005144A4" w:rsidP="005144A4">
      <w:pPr>
        <w:pStyle w:val="af6"/>
        <w:spacing w:before="0" w:after="0"/>
        <w:rPr>
          <w:rFonts w:asciiTheme="majorHAnsi" w:hAnsiTheme="majorHAnsi"/>
          <w:spacing w:val="-6"/>
          <w:sz w:val="20"/>
          <w:szCs w:val="20"/>
        </w:rPr>
      </w:pPr>
      <w:r w:rsidRPr="00E03510">
        <w:rPr>
          <w:rFonts w:asciiTheme="majorHAnsi" w:hAnsiTheme="majorHAnsi"/>
          <w:b/>
          <w:bCs/>
          <w:spacing w:val="-6"/>
          <w:sz w:val="20"/>
          <w:szCs w:val="20"/>
        </w:rPr>
        <w:t>Промышленность</w:t>
      </w:r>
      <w:r w:rsidRPr="00E03510">
        <w:rPr>
          <w:rFonts w:asciiTheme="majorHAnsi" w:hAnsiTheme="majorHAnsi"/>
          <w:spacing w:val="-6"/>
          <w:sz w:val="20"/>
          <w:szCs w:val="20"/>
        </w:rPr>
        <w:t>. Область имеет развитую промышленность и интенсивно развитое сельское хозяйство. Основные промышленные предприятия, сосредоточенные в городах Алексеевка, Белгород, Губкин, Старый Оскол, Шебекино, относятся к отраслям машино-строительной, металлургической, горнодобывающей, химической, легкой и пищевой про-мышленности. В структуре промышленности две трети составляет обрабатывающее произ-водство и до четверти - добыча полезных ископаемых. Общая добыча полезных ископаемых в области составляет свыше 35,5 млн тонн в год. Ядром промышленности области является горно-металлургическое объединение, территориально расположенное в Старооскольско-Губкинском промышленном регионе на севере области и представленное такими крупными предприятиями, как Лебединский и Стойленский ГОКи, комбинат «КМАруда», осуществ-ляющие добычу железной руды открытым и подземным способами и гигантом черной ме-таллургии – Оскольским электрометаллургическим комбинатом. На долю этого комплекса приходится свыше 36 % общероссийской добычи железной руды, 37 % железорудных ока-тышей и 4,2 % готового проката.</w:t>
      </w:r>
    </w:p>
    <w:p w:rsidR="005144A4" w:rsidRPr="00E03510" w:rsidRDefault="005144A4" w:rsidP="005144A4">
      <w:pPr>
        <w:pStyle w:val="af6"/>
        <w:spacing w:before="0" w:after="0"/>
        <w:rPr>
          <w:rFonts w:asciiTheme="majorHAnsi" w:hAnsiTheme="majorHAnsi"/>
          <w:spacing w:val="-6"/>
          <w:sz w:val="20"/>
          <w:szCs w:val="20"/>
        </w:rPr>
      </w:pPr>
      <w:r w:rsidRPr="00E03510">
        <w:rPr>
          <w:rFonts w:asciiTheme="majorHAnsi" w:hAnsiTheme="majorHAnsi"/>
          <w:spacing w:val="-6"/>
          <w:sz w:val="20"/>
          <w:szCs w:val="20"/>
        </w:rPr>
        <w:t>Большую роль в горнодобывающей отрасли имеет и добыча и переработка мела, а так-же производство цемента, асбоцементных изделий.</w:t>
      </w:r>
    </w:p>
    <w:p w:rsidR="005144A4" w:rsidRPr="00E03510" w:rsidRDefault="005144A4" w:rsidP="005144A4">
      <w:pPr>
        <w:pStyle w:val="af6"/>
        <w:spacing w:before="0" w:after="0"/>
        <w:rPr>
          <w:rFonts w:asciiTheme="majorHAnsi" w:hAnsiTheme="majorHAnsi"/>
          <w:spacing w:val="-6"/>
          <w:sz w:val="20"/>
          <w:szCs w:val="20"/>
        </w:rPr>
      </w:pPr>
      <w:r w:rsidRPr="00E03510">
        <w:rPr>
          <w:rFonts w:asciiTheme="majorHAnsi" w:hAnsiTheme="majorHAnsi"/>
          <w:spacing w:val="-6"/>
          <w:sz w:val="20"/>
          <w:szCs w:val="20"/>
        </w:rPr>
        <w:t xml:space="preserve">Широко развито в области </w:t>
      </w:r>
      <w:r w:rsidRPr="00E03510">
        <w:rPr>
          <w:rFonts w:asciiTheme="majorHAnsi" w:hAnsiTheme="majorHAnsi"/>
          <w:b/>
          <w:bCs/>
          <w:spacing w:val="-6"/>
          <w:sz w:val="20"/>
          <w:szCs w:val="20"/>
        </w:rPr>
        <w:t>сельское хозяйство</w:t>
      </w:r>
      <w:r w:rsidRPr="00E03510">
        <w:rPr>
          <w:rFonts w:asciiTheme="majorHAnsi" w:hAnsiTheme="majorHAnsi"/>
          <w:spacing w:val="-6"/>
          <w:sz w:val="20"/>
          <w:szCs w:val="20"/>
        </w:rPr>
        <w:t>. Наибольшее развитие получило зерно-водство, выращивание пшеницы, кукурузы, подсолнечника, сахарной свеклы. В последние годы бурными темпами развивается животноводство и птицеводство. Уже в настоящее время область занимает первое место в России по производству птицы, второе – по производству свиней.</w:t>
      </w:r>
    </w:p>
    <w:p w:rsidR="008440EF" w:rsidRPr="00E03510" w:rsidRDefault="005144A4" w:rsidP="000A7C2B">
      <w:pPr>
        <w:pStyle w:val="af6"/>
        <w:spacing w:before="0" w:after="0"/>
        <w:rPr>
          <w:rFonts w:asciiTheme="majorHAnsi" w:hAnsiTheme="majorHAnsi"/>
          <w:spacing w:val="-6"/>
          <w:sz w:val="20"/>
          <w:szCs w:val="20"/>
        </w:rPr>
      </w:pPr>
      <w:r w:rsidRPr="00E03510">
        <w:rPr>
          <w:rFonts w:asciiTheme="majorHAnsi" w:hAnsiTheme="majorHAnsi"/>
          <w:spacing w:val="-6"/>
          <w:sz w:val="20"/>
          <w:szCs w:val="20"/>
        </w:rPr>
        <w:t>Транспортные условия на территории области в целом благоприятные. Через террито-рию области проходят железнодорожные магистрали Москва - Крым, Москва - Донбасс, Су-мы – Белгород - Купянск, Купянск – Валуйки -Лиски, Белгород - Губкин и др., а также шос-сейные дороги, в т.ч. общегосударственного значения Москва - Симферополь.</w:t>
      </w:r>
    </w:p>
    <w:p w:rsidR="008440EF" w:rsidRPr="008440EF" w:rsidRDefault="008440EF" w:rsidP="008440EF">
      <w:pPr>
        <w:autoSpaceDE w:val="0"/>
        <w:autoSpaceDN w:val="0"/>
        <w:adjustRightInd w:val="0"/>
        <w:spacing w:before="62" w:line="245" w:lineRule="exact"/>
        <w:ind w:firstLine="709"/>
        <w:jc w:val="both"/>
        <w:rPr>
          <w:rFonts w:ascii="Cambria" w:eastAsiaTheme="minorEastAsia" w:hAnsi="Cambria"/>
          <w:sz w:val="20"/>
          <w:szCs w:val="20"/>
        </w:rPr>
      </w:pPr>
      <w:r w:rsidRPr="008440EF">
        <w:rPr>
          <w:rFonts w:ascii="Cambria" w:eastAsiaTheme="minorEastAsia" w:hAnsi="Cambria"/>
          <w:sz w:val="20"/>
          <w:szCs w:val="20"/>
        </w:rPr>
        <w:t>Рынки недвижимости по своей природе заметно отличаются от тех рынков, которые в экономи</w:t>
      </w:r>
      <w:r w:rsidRPr="008440EF">
        <w:rPr>
          <w:rFonts w:ascii="Cambria" w:eastAsiaTheme="minorEastAsia" w:hAnsi="Cambria"/>
          <w:sz w:val="20"/>
          <w:szCs w:val="20"/>
        </w:rPr>
        <w:softHyphen/>
        <w:t>ческой науке принято называть высокоорганизованными, например, от мировых рынков цветных металлов или ценных бумаг.</w:t>
      </w:r>
    </w:p>
    <w:p w:rsidR="008440EF" w:rsidRDefault="008440EF" w:rsidP="008440EF">
      <w:pPr>
        <w:autoSpaceDE w:val="0"/>
        <w:autoSpaceDN w:val="0"/>
        <w:adjustRightInd w:val="0"/>
        <w:spacing w:line="245" w:lineRule="exact"/>
        <w:ind w:firstLine="709"/>
        <w:jc w:val="both"/>
        <w:rPr>
          <w:rFonts w:ascii="Cambria" w:eastAsiaTheme="minorEastAsia" w:hAnsi="Cambria"/>
          <w:sz w:val="20"/>
          <w:szCs w:val="20"/>
        </w:rPr>
      </w:pPr>
      <w:r w:rsidRPr="008440EF">
        <w:rPr>
          <w:rFonts w:ascii="Cambria" w:eastAsiaTheme="minorEastAsia" w:hAnsi="Cambria"/>
          <w:sz w:val="20"/>
          <w:szCs w:val="20"/>
        </w:rPr>
        <w:t>Прежде всего, особенности рынка недвижимости проистекают от особенностей това</w:t>
      </w:r>
      <w:r w:rsidRPr="008440EF">
        <w:rPr>
          <w:rFonts w:ascii="Cambria" w:eastAsiaTheme="minorEastAsia" w:hAnsi="Cambria"/>
          <w:sz w:val="20"/>
          <w:szCs w:val="20"/>
        </w:rPr>
        <w:softHyphen/>
        <w:t>ра - объектов недвижимости.</w:t>
      </w:r>
    </w:p>
    <w:p w:rsidR="008440EF" w:rsidRPr="008440EF" w:rsidRDefault="008440EF" w:rsidP="008440EF">
      <w:pPr>
        <w:autoSpaceDE w:val="0"/>
        <w:autoSpaceDN w:val="0"/>
        <w:adjustRightInd w:val="0"/>
        <w:spacing w:line="245" w:lineRule="exact"/>
        <w:ind w:firstLine="709"/>
        <w:jc w:val="both"/>
        <w:rPr>
          <w:rFonts w:ascii="Cambria" w:eastAsiaTheme="minorEastAsia" w:hAnsi="Cambria"/>
          <w:sz w:val="20"/>
          <w:szCs w:val="20"/>
        </w:rPr>
      </w:pPr>
    </w:p>
    <w:p w:rsidR="008440EF" w:rsidRPr="008440EF" w:rsidRDefault="0041224F" w:rsidP="0090764B">
      <w:pPr>
        <w:pStyle w:val="20"/>
        <w:numPr>
          <w:ilvl w:val="2"/>
          <w:numId w:val="6"/>
        </w:numPr>
        <w:spacing w:before="0" w:beforeAutospacing="0" w:after="120" w:afterAutospacing="0"/>
        <w:jc w:val="both"/>
        <w:rPr>
          <w:rFonts w:eastAsia="Times New Roman"/>
          <w:sz w:val="20"/>
          <w:szCs w:val="20"/>
        </w:rPr>
      </w:pPr>
      <w:bookmarkStart w:id="55" w:name="_Toc491763300"/>
      <w:r>
        <w:rPr>
          <w:rFonts w:eastAsia="Times New Roman"/>
          <w:sz w:val="20"/>
          <w:szCs w:val="20"/>
        </w:rPr>
        <w:t>Ц</w:t>
      </w:r>
      <w:r w:rsidR="00246E4F" w:rsidRPr="008440EF">
        <w:rPr>
          <w:rFonts w:eastAsia="Times New Roman"/>
          <w:sz w:val="20"/>
          <w:szCs w:val="20"/>
        </w:rPr>
        <w:t>енообразующи</w:t>
      </w:r>
      <w:r>
        <w:rPr>
          <w:rFonts w:eastAsia="Times New Roman"/>
          <w:sz w:val="20"/>
          <w:szCs w:val="20"/>
        </w:rPr>
        <w:t xml:space="preserve">е </w:t>
      </w:r>
      <w:r w:rsidR="00246E4F" w:rsidRPr="008440EF">
        <w:rPr>
          <w:rFonts w:eastAsia="Times New Roman"/>
          <w:sz w:val="20"/>
          <w:szCs w:val="20"/>
        </w:rPr>
        <w:t>фактор</w:t>
      </w:r>
      <w:r>
        <w:rPr>
          <w:rFonts w:eastAsia="Times New Roman"/>
          <w:sz w:val="20"/>
          <w:szCs w:val="20"/>
        </w:rPr>
        <w:t>ы</w:t>
      </w:r>
      <w:r w:rsidR="00246E4F" w:rsidRPr="008440EF">
        <w:rPr>
          <w:rFonts w:eastAsia="Times New Roman"/>
          <w:sz w:val="20"/>
          <w:szCs w:val="20"/>
        </w:rPr>
        <w:t>, влияющи</w:t>
      </w:r>
      <w:r>
        <w:rPr>
          <w:rFonts w:eastAsia="Times New Roman"/>
          <w:sz w:val="20"/>
          <w:szCs w:val="20"/>
        </w:rPr>
        <w:t>е</w:t>
      </w:r>
      <w:r w:rsidR="00246E4F" w:rsidRPr="008440EF">
        <w:rPr>
          <w:rFonts w:eastAsia="Times New Roman"/>
          <w:sz w:val="20"/>
          <w:szCs w:val="20"/>
        </w:rPr>
        <w:t xml:space="preserve"> на стоимость объекта оценки</w:t>
      </w:r>
      <w:bookmarkEnd w:id="54"/>
      <w:bookmarkEnd w:id="55"/>
    </w:p>
    <w:p w:rsidR="008440EF" w:rsidRPr="008440EF" w:rsidRDefault="008440EF" w:rsidP="008440EF">
      <w:pPr>
        <w:spacing w:before="120" w:after="120"/>
        <w:ind w:firstLine="709"/>
        <w:jc w:val="both"/>
        <w:rPr>
          <w:rFonts w:ascii="Cambria" w:eastAsiaTheme="minorHAnsi" w:hAnsi="Cambria" w:cstheme="minorBidi"/>
          <w:sz w:val="20"/>
          <w:szCs w:val="20"/>
        </w:rPr>
      </w:pPr>
      <w:r w:rsidRPr="008440EF">
        <w:rPr>
          <w:rFonts w:ascii="Cambria" w:eastAsiaTheme="minorHAnsi" w:hAnsi="Cambria" w:cstheme="minorBidi"/>
          <w:sz w:val="20"/>
          <w:szCs w:val="20"/>
        </w:rPr>
        <w:t>Все факторы (при фиксированном состоянии рынка, т. е. соотношении совокупного платежеспособного спроса и предложения) можно разделить на три группы:</w:t>
      </w:r>
      <w:r w:rsidRPr="008440EF">
        <w:rPr>
          <w:rFonts w:ascii="Cambria" w:eastAsiaTheme="minorHAnsi" w:hAnsi="Cambria" w:cstheme="minorBidi"/>
          <w:sz w:val="20"/>
          <w:szCs w:val="20"/>
          <w:vertAlign w:val="superscript"/>
        </w:rPr>
        <w:footnoteReference w:id="4"/>
      </w:r>
    </w:p>
    <w:p w:rsidR="008440EF" w:rsidRPr="008440EF" w:rsidRDefault="008440EF" w:rsidP="0090764B">
      <w:pPr>
        <w:numPr>
          <w:ilvl w:val="0"/>
          <w:numId w:val="19"/>
        </w:numPr>
        <w:spacing w:before="120" w:after="120"/>
        <w:contextualSpacing/>
        <w:jc w:val="both"/>
        <w:rPr>
          <w:rFonts w:ascii="Cambria" w:eastAsiaTheme="minorEastAsia" w:hAnsi="Cambria" w:cstheme="minorBidi"/>
          <w:sz w:val="20"/>
          <w:szCs w:val="20"/>
          <w:lang w:val="en-US" w:bidi="en-US"/>
        </w:rPr>
      </w:pPr>
      <w:r w:rsidRPr="008440EF">
        <w:rPr>
          <w:rFonts w:ascii="Cambria" w:eastAsiaTheme="minorEastAsia" w:hAnsi="Cambria" w:cstheme="minorBidi"/>
          <w:sz w:val="20"/>
          <w:szCs w:val="20"/>
          <w:lang w:val="en-US" w:bidi="en-US"/>
        </w:rPr>
        <w:t xml:space="preserve">Свойства места положения    </w:t>
      </w:r>
    </w:p>
    <w:p w:rsidR="008440EF" w:rsidRPr="008440EF" w:rsidRDefault="008440EF" w:rsidP="0090764B">
      <w:pPr>
        <w:numPr>
          <w:ilvl w:val="0"/>
          <w:numId w:val="19"/>
        </w:numPr>
        <w:spacing w:before="120" w:after="120"/>
        <w:contextualSpacing/>
        <w:jc w:val="both"/>
        <w:rPr>
          <w:rFonts w:ascii="Cambria" w:eastAsiaTheme="minorEastAsia" w:hAnsi="Cambria" w:cstheme="minorBidi"/>
          <w:sz w:val="20"/>
          <w:szCs w:val="20"/>
          <w:lang w:val="en-US" w:bidi="en-US"/>
        </w:rPr>
      </w:pPr>
      <w:r w:rsidRPr="008440EF">
        <w:rPr>
          <w:rFonts w:ascii="Cambria" w:eastAsiaTheme="minorEastAsia" w:hAnsi="Cambria" w:cstheme="minorBidi"/>
          <w:sz w:val="20"/>
          <w:szCs w:val="20"/>
          <w:lang w:val="en-US" w:bidi="en-US"/>
        </w:rPr>
        <w:t>Свойства объекта недвижимости</w:t>
      </w:r>
    </w:p>
    <w:p w:rsidR="008440EF" w:rsidRDefault="008440EF" w:rsidP="0090764B">
      <w:pPr>
        <w:numPr>
          <w:ilvl w:val="0"/>
          <w:numId w:val="19"/>
        </w:numPr>
        <w:spacing w:before="120" w:after="120"/>
        <w:contextualSpacing/>
        <w:jc w:val="both"/>
        <w:rPr>
          <w:rFonts w:ascii="Cambria" w:eastAsiaTheme="minorEastAsia" w:hAnsi="Cambria" w:cstheme="minorBidi"/>
          <w:sz w:val="20"/>
          <w:szCs w:val="20"/>
          <w:lang w:val="en-US" w:bidi="en-US"/>
        </w:rPr>
      </w:pPr>
      <w:r w:rsidRPr="008440EF">
        <w:rPr>
          <w:rFonts w:ascii="Cambria" w:eastAsiaTheme="minorEastAsia" w:hAnsi="Cambria" w:cstheme="minorBidi"/>
          <w:sz w:val="20"/>
          <w:szCs w:val="20"/>
          <w:lang w:val="en-US" w:bidi="en-US"/>
        </w:rPr>
        <w:t xml:space="preserve">Свойства субъекта рынка </w:t>
      </w:r>
    </w:p>
    <w:p w:rsidR="008440EF" w:rsidRPr="008440EF" w:rsidRDefault="008440EF" w:rsidP="008440EF">
      <w:pPr>
        <w:spacing w:before="120" w:after="120"/>
        <w:ind w:left="1429"/>
        <w:contextualSpacing/>
        <w:jc w:val="both"/>
        <w:rPr>
          <w:rFonts w:ascii="Cambria" w:eastAsiaTheme="minorEastAsia" w:hAnsi="Cambria" w:cstheme="minorBidi"/>
          <w:sz w:val="20"/>
          <w:szCs w:val="20"/>
          <w:lang w:val="en-US" w:bidi="en-US"/>
        </w:rPr>
      </w:pPr>
    </w:p>
    <w:p w:rsidR="008440EF" w:rsidRPr="008440EF" w:rsidRDefault="008440EF" w:rsidP="008440EF">
      <w:pPr>
        <w:spacing w:before="120" w:after="120"/>
        <w:ind w:firstLine="709"/>
        <w:jc w:val="both"/>
        <w:rPr>
          <w:rFonts w:asciiTheme="majorHAnsi" w:eastAsiaTheme="minorHAnsi" w:hAnsiTheme="majorHAnsi" w:cstheme="minorBidi"/>
          <w:sz w:val="20"/>
          <w:szCs w:val="22"/>
          <w:lang w:eastAsia="en-US"/>
        </w:rPr>
      </w:pPr>
      <w:r w:rsidRPr="008440EF">
        <w:rPr>
          <w:rFonts w:asciiTheme="majorHAnsi" w:eastAsiaTheme="minorHAnsi" w:hAnsiTheme="majorHAnsi" w:cstheme="minorBidi"/>
          <w:noProof/>
          <w:sz w:val="20"/>
          <w:szCs w:val="22"/>
        </w:rPr>
        <w:drawing>
          <wp:inline distT="0" distB="0" distL="0" distR="0" wp14:anchorId="1027403F" wp14:editId="4CD86E1A">
            <wp:extent cx="5031740" cy="31242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74" cstate="print">
                      <a:extLst>
                        <a:ext uri="{28A0092B-C50C-407E-A947-70E740481C1C}">
                          <a14:useLocalDpi xmlns:a14="http://schemas.microsoft.com/office/drawing/2010/main" val="0"/>
                        </a:ext>
                      </a:extLst>
                    </a:blip>
                    <a:srcRect l="43825" t="18364" r="18433" b="8151"/>
                    <a:stretch>
                      <a:fillRect/>
                    </a:stretch>
                  </pic:blipFill>
                  <pic:spPr bwMode="auto">
                    <a:xfrm>
                      <a:off x="0" y="0"/>
                      <a:ext cx="5031740" cy="3124200"/>
                    </a:xfrm>
                    <a:prstGeom prst="rect">
                      <a:avLst/>
                    </a:prstGeom>
                    <a:noFill/>
                    <a:ln>
                      <a:noFill/>
                    </a:ln>
                  </pic:spPr>
                </pic:pic>
              </a:graphicData>
            </a:graphic>
          </wp:inline>
        </w:drawing>
      </w:r>
    </w:p>
    <w:p w:rsidR="008440EF" w:rsidRPr="008440EF" w:rsidRDefault="008440EF" w:rsidP="008440EF">
      <w:pPr>
        <w:spacing w:before="120" w:after="120"/>
        <w:ind w:firstLine="709"/>
        <w:jc w:val="both"/>
        <w:rPr>
          <w:rFonts w:ascii="Cambria" w:eastAsiaTheme="minorHAnsi" w:hAnsi="Cambria" w:cstheme="minorBidi"/>
          <w:i/>
          <w:sz w:val="20"/>
          <w:szCs w:val="20"/>
          <w:lang w:eastAsia="en-US"/>
        </w:rPr>
      </w:pPr>
      <w:r w:rsidRPr="008440EF">
        <w:rPr>
          <w:rFonts w:ascii="Cambria" w:eastAsiaTheme="minorHAnsi" w:hAnsi="Cambria" w:cstheme="minorBidi"/>
          <w:sz w:val="20"/>
          <w:szCs w:val="20"/>
          <w:lang w:eastAsia="en-US"/>
        </w:rPr>
        <w:lastRenderedPageBreak/>
        <w:t>Совокупность свойств место</w:t>
      </w:r>
      <w:r w:rsidRPr="008440EF">
        <w:rPr>
          <w:rFonts w:ascii="Cambria" w:eastAsiaTheme="minorHAnsi" w:hAnsi="Cambria" w:cstheme="minorBidi"/>
          <w:sz w:val="20"/>
          <w:szCs w:val="20"/>
          <w:lang w:eastAsia="en-US"/>
        </w:rPr>
        <w:softHyphen/>
        <w:t>положения определяется его ха</w:t>
      </w:r>
      <w:r w:rsidRPr="008440EF">
        <w:rPr>
          <w:rFonts w:ascii="Cambria" w:eastAsiaTheme="minorHAnsi" w:hAnsi="Cambria" w:cstheme="minorBidi"/>
          <w:sz w:val="20"/>
          <w:szCs w:val="20"/>
          <w:lang w:eastAsia="en-US"/>
        </w:rPr>
        <w:softHyphen/>
        <w:t>рактеристиками (обусловли</w:t>
      </w:r>
      <w:r w:rsidRPr="008440EF">
        <w:rPr>
          <w:rFonts w:ascii="Cambria" w:eastAsiaTheme="minorHAnsi" w:hAnsi="Cambria" w:cstheme="minorBidi"/>
          <w:sz w:val="20"/>
          <w:szCs w:val="20"/>
          <w:lang w:eastAsia="en-US"/>
        </w:rPr>
        <w:softHyphen/>
        <w:t>вающими комфортность пользо</w:t>
      </w:r>
      <w:r w:rsidRPr="008440EF">
        <w:rPr>
          <w:rFonts w:ascii="Cambria" w:eastAsiaTheme="minorHAnsi" w:hAnsi="Cambria" w:cstheme="minorBidi"/>
          <w:sz w:val="20"/>
          <w:szCs w:val="20"/>
          <w:lang w:eastAsia="en-US"/>
        </w:rPr>
        <w:softHyphen/>
        <w:t>вания) и составля</w:t>
      </w:r>
      <w:r w:rsidRPr="008440EF">
        <w:rPr>
          <w:rFonts w:ascii="Cambria" w:eastAsiaTheme="minorHAnsi" w:hAnsi="Cambria" w:cstheme="minorBidi"/>
          <w:sz w:val="20"/>
          <w:szCs w:val="20"/>
          <w:lang w:eastAsia="en-US"/>
        </w:rPr>
        <w:softHyphen/>
        <w:t xml:space="preserve">ет </w:t>
      </w:r>
      <w:r w:rsidRPr="008440EF">
        <w:rPr>
          <w:rFonts w:ascii="Cambria" w:eastAsiaTheme="minorHAnsi" w:hAnsi="Cambria" w:cstheme="minorBidi"/>
          <w:i/>
          <w:sz w:val="20"/>
          <w:szCs w:val="20"/>
          <w:lang w:eastAsia="en-US"/>
        </w:rPr>
        <w:t>«</w:t>
      </w:r>
      <w:r w:rsidRPr="008440EF">
        <w:rPr>
          <w:rFonts w:ascii="Cambria" w:eastAsiaTheme="majorEastAsia" w:hAnsi="Cambria"/>
          <w:i/>
          <w:iCs/>
          <w:color w:val="000000"/>
          <w:spacing w:val="-7"/>
          <w:sz w:val="18"/>
          <w:szCs w:val="20"/>
          <w:shd w:val="clear" w:color="auto" w:fill="FFFFFF"/>
          <w:lang w:bidi="ru-RU"/>
        </w:rPr>
        <w:t>качество местоположения объекта (качество региона)</w:t>
      </w:r>
      <w:r w:rsidRPr="008440EF">
        <w:rPr>
          <w:rFonts w:ascii="Cambria" w:eastAsiaTheme="minorHAnsi" w:hAnsi="Cambria" w:cstheme="minorBidi"/>
          <w:i/>
          <w:sz w:val="20"/>
          <w:szCs w:val="20"/>
          <w:lang w:eastAsia="en-US"/>
        </w:rPr>
        <w:t>».</w:t>
      </w:r>
    </w:p>
    <w:p w:rsidR="008440EF" w:rsidRPr="008440EF" w:rsidRDefault="008440EF" w:rsidP="008440EF">
      <w:pPr>
        <w:spacing w:before="120" w:after="120"/>
        <w:ind w:firstLine="709"/>
        <w:jc w:val="both"/>
        <w:rPr>
          <w:rFonts w:asciiTheme="majorHAnsi" w:eastAsiaTheme="minorHAnsi" w:hAnsiTheme="majorHAnsi" w:cstheme="minorBidi"/>
          <w:sz w:val="20"/>
          <w:szCs w:val="22"/>
        </w:rPr>
      </w:pPr>
      <w:r w:rsidRPr="008440EF">
        <w:rPr>
          <w:rFonts w:asciiTheme="majorHAnsi" w:eastAsiaTheme="minorHAnsi" w:hAnsiTheme="majorHAnsi" w:cstheme="minorBidi"/>
          <w:sz w:val="20"/>
          <w:szCs w:val="22"/>
        </w:rPr>
        <w:t>По характеру воздействия на стоимость любой недвижимости факторы могут быть отнесены к трем различным иерархическим уровням.</w:t>
      </w:r>
    </w:p>
    <w:p w:rsidR="008440EF" w:rsidRPr="008440EF" w:rsidRDefault="008440EF" w:rsidP="008440EF">
      <w:pPr>
        <w:spacing w:before="120" w:after="120"/>
        <w:ind w:firstLine="709"/>
        <w:jc w:val="both"/>
        <w:rPr>
          <w:rFonts w:asciiTheme="majorHAnsi" w:eastAsiaTheme="minorHAnsi" w:hAnsiTheme="majorHAnsi" w:cstheme="minorBidi"/>
          <w:sz w:val="20"/>
          <w:szCs w:val="22"/>
        </w:rPr>
      </w:pPr>
      <w:r w:rsidRPr="008440EF">
        <w:rPr>
          <w:rFonts w:asciiTheme="majorHAnsi" w:eastAsiaTheme="minorHAnsi" w:hAnsiTheme="majorHAnsi" w:cstheme="minorBidi"/>
          <w:sz w:val="20"/>
          <w:szCs w:val="22"/>
        </w:rPr>
        <w:t xml:space="preserve">1-й уровень -  влияние результатов взаимодействия четырех основных факторов: социальных, экономических, физических (в том числе экологических)  и политических. На этом уровне анализу и оценке подлежат факторы, носящие общий характер не связанные с конкретным объектом недвижимости и не зависящие непосредственно от него, но опосредованно влияющие на процессы, происходящие с недвижимостью на рынке, и, следовательно, на оцениваемый объект. </w:t>
      </w:r>
    </w:p>
    <w:p w:rsidR="008440EF" w:rsidRPr="008440EF" w:rsidRDefault="008440EF" w:rsidP="008440EF">
      <w:pPr>
        <w:spacing w:before="120" w:after="120"/>
        <w:ind w:firstLine="709"/>
        <w:jc w:val="both"/>
        <w:rPr>
          <w:rFonts w:asciiTheme="majorHAnsi" w:eastAsiaTheme="minorHAnsi" w:hAnsiTheme="majorHAnsi" w:cstheme="minorBidi"/>
          <w:sz w:val="20"/>
          <w:szCs w:val="22"/>
        </w:rPr>
      </w:pPr>
      <w:r w:rsidRPr="008440EF">
        <w:rPr>
          <w:rFonts w:asciiTheme="majorHAnsi" w:eastAsiaTheme="minorHAnsi" w:hAnsiTheme="majorHAnsi" w:cstheme="minorBidi"/>
          <w:sz w:val="20"/>
          <w:szCs w:val="22"/>
        </w:rPr>
        <w:t>Недвижимое имущество находится под влиянием окружающей его среды, и само влияет на эту среду. Поэтому при оценке определяют факторы среды и недвижимости, влияющие на стоимость недвижимости.</w:t>
      </w:r>
    </w:p>
    <w:p w:rsidR="008440EF" w:rsidRPr="008440EF" w:rsidRDefault="008440EF" w:rsidP="008440EF">
      <w:pPr>
        <w:spacing w:before="120" w:after="120"/>
        <w:ind w:firstLine="709"/>
        <w:jc w:val="both"/>
        <w:rPr>
          <w:rFonts w:asciiTheme="majorHAnsi" w:eastAsiaTheme="minorHAnsi" w:hAnsiTheme="majorHAnsi" w:cstheme="minorBidi"/>
          <w:sz w:val="20"/>
          <w:szCs w:val="22"/>
        </w:rPr>
      </w:pPr>
      <w:r w:rsidRPr="008440EF">
        <w:rPr>
          <w:rFonts w:asciiTheme="majorHAnsi" w:eastAsiaTheme="minorHAnsi" w:hAnsiTheme="majorHAnsi" w:cstheme="minorBidi"/>
          <w:sz w:val="20"/>
          <w:szCs w:val="22"/>
        </w:rPr>
        <w:t>2-й уровень - влияние локальных факторов, в основном в масштабе города или городского района. На этом уровне исследуются такие факторы, как местоположение объекта, его физические характеристики, условия продаж, временные факторы, условия финансирования. Эти факторы непосредственно связаны с оцениваемым объектом и анализом аналогичных объектов недвижимости и сделок по ним.</w:t>
      </w:r>
    </w:p>
    <w:p w:rsidR="008440EF" w:rsidRPr="008440EF" w:rsidRDefault="008440EF" w:rsidP="008440EF">
      <w:pPr>
        <w:spacing w:before="120" w:after="120"/>
        <w:ind w:firstLine="709"/>
        <w:jc w:val="both"/>
        <w:rPr>
          <w:rFonts w:asciiTheme="majorHAnsi" w:eastAsiaTheme="minorHAnsi" w:hAnsiTheme="majorHAnsi" w:cstheme="minorBidi"/>
          <w:sz w:val="20"/>
          <w:szCs w:val="22"/>
        </w:rPr>
      </w:pPr>
      <w:r w:rsidRPr="008440EF">
        <w:rPr>
          <w:rFonts w:asciiTheme="majorHAnsi" w:eastAsiaTheme="minorHAnsi" w:hAnsiTheme="majorHAnsi" w:cstheme="minorBidi"/>
          <w:sz w:val="20"/>
          <w:szCs w:val="22"/>
        </w:rPr>
        <w:t>3-й уровень -  влияние факторов, связанных с объектом недвижимости и во многом обусловленных его характеристиками. На этом уровне оцениваются следующие факторы:</w:t>
      </w:r>
    </w:p>
    <w:p w:rsidR="008440EF" w:rsidRPr="008440EF" w:rsidRDefault="008440EF" w:rsidP="0090764B">
      <w:pPr>
        <w:numPr>
          <w:ilvl w:val="0"/>
          <w:numId w:val="20"/>
        </w:numPr>
        <w:spacing w:before="120" w:after="120"/>
        <w:contextualSpacing/>
        <w:jc w:val="both"/>
        <w:rPr>
          <w:sz w:val="20"/>
          <w:szCs w:val="20"/>
          <w:lang w:val="en-US" w:bidi="en-US"/>
        </w:rPr>
      </w:pPr>
      <w:r w:rsidRPr="008440EF">
        <w:rPr>
          <w:sz w:val="20"/>
          <w:szCs w:val="20"/>
          <w:lang w:val="en-US" w:bidi="en-US"/>
        </w:rPr>
        <w:t>архитектурно-строительные;</w:t>
      </w:r>
    </w:p>
    <w:p w:rsidR="008440EF" w:rsidRPr="008440EF" w:rsidRDefault="008440EF" w:rsidP="0090764B">
      <w:pPr>
        <w:numPr>
          <w:ilvl w:val="0"/>
          <w:numId w:val="20"/>
        </w:numPr>
        <w:spacing w:before="120" w:after="120"/>
        <w:ind w:left="0" w:firstLine="1069"/>
        <w:contextualSpacing/>
        <w:jc w:val="both"/>
        <w:rPr>
          <w:rFonts w:asciiTheme="majorHAnsi" w:hAnsiTheme="majorHAnsi" w:cstheme="minorBidi"/>
          <w:sz w:val="20"/>
          <w:szCs w:val="20"/>
          <w:lang w:bidi="en-US"/>
        </w:rPr>
      </w:pPr>
      <w:r w:rsidRPr="008440EF">
        <w:rPr>
          <w:sz w:val="20"/>
          <w:szCs w:val="20"/>
          <w:lang w:bidi="en-US"/>
        </w:rPr>
        <w:t>финансово-эксплуатационные.</w:t>
      </w:r>
    </w:p>
    <w:p w:rsidR="008440EF" w:rsidRPr="008440EF" w:rsidRDefault="008440EF" w:rsidP="008440EF">
      <w:pPr>
        <w:spacing w:before="120" w:after="120"/>
        <w:ind w:firstLine="709"/>
        <w:jc w:val="both"/>
        <w:rPr>
          <w:rFonts w:asciiTheme="majorHAnsi" w:eastAsiaTheme="minorHAnsi" w:hAnsiTheme="majorHAnsi" w:cstheme="minorBidi"/>
          <w:sz w:val="20"/>
          <w:szCs w:val="22"/>
        </w:rPr>
      </w:pPr>
      <w:r w:rsidRPr="008440EF">
        <w:rPr>
          <w:rFonts w:asciiTheme="majorHAnsi" w:eastAsiaTheme="minorHAnsi" w:hAnsiTheme="majorHAnsi" w:cstheme="minorBidi"/>
          <w:sz w:val="20"/>
          <w:szCs w:val="22"/>
        </w:rPr>
        <w:t>Влияние факторов может происходить одновременно на различных уровнях, а учитываться последовательно, в зависимости от степени детализации оценки и вида оцениваемой стоимости.</w:t>
      </w:r>
    </w:p>
    <w:p w:rsidR="008440EF" w:rsidRPr="008440EF" w:rsidRDefault="008440EF" w:rsidP="0090764B">
      <w:pPr>
        <w:pStyle w:val="af3"/>
        <w:numPr>
          <w:ilvl w:val="2"/>
          <w:numId w:val="6"/>
        </w:numPr>
        <w:rPr>
          <w:rFonts w:asciiTheme="majorHAnsi" w:hAnsiTheme="majorHAnsi" w:cstheme="majorBidi"/>
          <w:b/>
          <w:bCs/>
          <w:sz w:val="20"/>
          <w:szCs w:val="20"/>
          <w:lang w:val="ru-RU"/>
        </w:rPr>
      </w:pPr>
      <w:r w:rsidRPr="008440EF">
        <w:rPr>
          <w:rFonts w:asciiTheme="majorHAnsi" w:hAnsiTheme="majorHAnsi" w:cstheme="majorBidi"/>
          <w:b/>
          <w:bCs/>
          <w:sz w:val="20"/>
          <w:szCs w:val="20"/>
          <w:lang w:val="ru-RU"/>
        </w:rPr>
        <w:t>Анализ тенденций, наметившихся на рынке, в период, предшествующий дате оценки</w:t>
      </w:r>
    </w:p>
    <w:p w:rsidR="008440EF" w:rsidRPr="003A1B07" w:rsidRDefault="008440EF" w:rsidP="008440EF">
      <w:pPr>
        <w:pStyle w:val="af3"/>
        <w:spacing w:before="0" w:after="0"/>
        <w:ind w:left="1080" w:firstLine="0"/>
        <w:rPr>
          <w:lang w:val="ru-RU"/>
        </w:rPr>
      </w:pPr>
    </w:p>
    <w:p w:rsidR="008440EF" w:rsidRPr="008440EF" w:rsidRDefault="008440EF" w:rsidP="008440EF">
      <w:pPr>
        <w:autoSpaceDE w:val="0"/>
        <w:autoSpaceDN w:val="0"/>
        <w:adjustRightInd w:val="0"/>
        <w:spacing w:line="245" w:lineRule="exact"/>
        <w:ind w:firstLine="709"/>
        <w:jc w:val="both"/>
        <w:rPr>
          <w:rFonts w:asciiTheme="majorHAnsi" w:eastAsiaTheme="minorEastAsia" w:hAnsiTheme="majorHAnsi"/>
          <w:sz w:val="20"/>
          <w:szCs w:val="22"/>
        </w:rPr>
      </w:pPr>
      <w:r w:rsidRPr="008440EF">
        <w:rPr>
          <w:rFonts w:asciiTheme="majorHAnsi" w:eastAsiaTheme="minorEastAsia" w:hAnsiTheme="majorHAnsi"/>
          <w:sz w:val="20"/>
          <w:szCs w:val="22"/>
        </w:rPr>
        <w:t>Рынки недвижимости по своей природе заметно отличаются от тех рынков, которые в экономи</w:t>
      </w:r>
      <w:r w:rsidRPr="008440EF">
        <w:rPr>
          <w:rFonts w:asciiTheme="majorHAnsi" w:eastAsiaTheme="minorEastAsia" w:hAnsiTheme="majorHAnsi"/>
          <w:sz w:val="20"/>
          <w:szCs w:val="22"/>
        </w:rPr>
        <w:softHyphen/>
        <w:t>ческой науке принято называть высокоорганизованными, например, от мировых рынков цветных металлов или ценных бумаг</w:t>
      </w:r>
      <w:r w:rsidRPr="008440EF">
        <w:rPr>
          <w:rFonts w:asciiTheme="majorHAnsi" w:eastAsiaTheme="minorEastAsia" w:hAnsiTheme="majorHAnsi"/>
          <w:sz w:val="20"/>
          <w:szCs w:val="22"/>
          <w:vertAlign w:val="superscript"/>
        </w:rPr>
        <w:t>1</w:t>
      </w:r>
      <w:r w:rsidRPr="008440EF">
        <w:rPr>
          <w:rFonts w:asciiTheme="majorHAnsi" w:eastAsiaTheme="minorEastAsia" w:hAnsiTheme="majorHAnsi"/>
          <w:sz w:val="20"/>
          <w:szCs w:val="22"/>
        </w:rPr>
        <w:t>.</w:t>
      </w:r>
    </w:p>
    <w:p w:rsidR="008440EF" w:rsidRPr="008440EF" w:rsidRDefault="008440EF" w:rsidP="008440EF">
      <w:pPr>
        <w:autoSpaceDE w:val="0"/>
        <w:autoSpaceDN w:val="0"/>
        <w:adjustRightInd w:val="0"/>
        <w:spacing w:before="5" w:line="245" w:lineRule="exact"/>
        <w:ind w:firstLine="709"/>
        <w:jc w:val="both"/>
        <w:rPr>
          <w:rFonts w:asciiTheme="majorHAnsi" w:eastAsiaTheme="minorEastAsia" w:hAnsiTheme="majorHAnsi"/>
          <w:sz w:val="20"/>
          <w:szCs w:val="22"/>
        </w:rPr>
      </w:pPr>
      <w:r w:rsidRPr="008440EF">
        <w:rPr>
          <w:rFonts w:asciiTheme="majorHAnsi" w:eastAsiaTheme="minorEastAsia" w:hAnsiTheme="majorHAnsi"/>
          <w:sz w:val="20"/>
          <w:szCs w:val="22"/>
        </w:rPr>
        <w:t>Прежде всего, особенности рынка недвижимости (табл. 3) проистекают от особенностей това</w:t>
      </w:r>
      <w:r w:rsidRPr="008440EF">
        <w:rPr>
          <w:rFonts w:asciiTheme="majorHAnsi" w:eastAsiaTheme="minorEastAsia" w:hAnsiTheme="majorHAnsi"/>
          <w:sz w:val="20"/>
          <w:szCs w:val="22"/>
        </w:rPr>
        <w:softHyphen/>
        <w:t>ра - объектов недвижимости.</w:t>
      </w:r>
    </w:p>
    <w:p w:rsidR="008440EF" w:rsidRPr="008440EF" w:rsidRDefault="008440EF" w:rsidP="008440EF">
      <w:pPr>
        <w:autoSpaceDE w:val="0"/>
        <w:autoSpaceDN w:val="0"/>
        <w:adjustRightInd w:val="0"/>
        <w:spacing w:before="100" w:beforeAutospacing="1" w:after="100" w:afterAutospacing="1"/>
        <w:ind w:firstLine="709"/>
        <w:jc w:val="center"/>
        <w:rPr>
          <w:rFonts w:asciiTheme="majorHAnsi" w:eastAsiaTheme="minorEastAsia" w:hAnsiTheme="majorHAnsi"/>
          <w:b/>
          <w:bCs/>
          <w:sz w:val="20"/>
          <w:szCs w:val="22"/>
        </w:rPr>
      </w:pPr>
      <w:r w:rsidRPr="008440EF">
        <w:rPr>
          <w:rFonts w:asciiTheme="majorHAnsi" w:eastAsiaTheme="minorEastAsia" w:hAnsiTheme="majorHAnsi"/>
          <w:b/>
          <w:bCs/>
          <w:sz w:val="20"/>
          <w:szCs w:val="22"/>
        </w:rPr>
        <w:t>Особенности рынка недвижимости по сравнению с высокоорганизованными рынками стандартизированных товаров</w:t>
      </w:r>
    </w:p>
    <w:tbl>
      <w:tblPr>
        <w:tblStyle w:val="82"/>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3190"/>
        <w:gridCol w:w="3190"/>
        <w:gridCol w:w="3191"/>
      </w:tblGrid>
      <w:tr w:rsidR="008440EF" w:rsidTr="008440EF">
        <w:trPr>
          <w:jc w:val="center"/>
        </w:trPr>
        <w:tc>
          <w:tcPr>
            <w:tcW w:w="3190" w:type="dxa"/>
            <w:vMerge w:val="restart"/>
            <w:tcBorders>
              <w:top w:val="double" w:sz="4" w:space="0" w:color="auto"/>
              <w:left w:val="double" w:sz="4" w:space="0" w:color="auto"/>
              <w:bottom w:val="double" w:sz="4" w:space="0" w:color="auto"/>
              <w:right w:val="single" w:sz="6" w:space="0" w:color="auto"/>
            </w:tcBorders>
            <w:shd w:val="clear" w:color="auto" w:fill="F2F2F2" w:themeFill="background1" w:themeFillShade="F2"/>
            <w:vAlign w:val="center"/>
            <w:hideMark/>
          </w:tcPr>
          <w:p w:rsidR="008440EF" w:rsidRDefault="008440EF">
            <w:pPr>
              <w:spacing w:line="276" w:lineRule="auto"/>
              <w:jc w:val="center"/>
              <w:rPr>
                <w:rFonts w:asciiTheme="majorHAnsi" w:eastAsiaTheme="minorHAnsi" w:hAnsiTheme="majorHAnsi"/>
                <w:b/>
                <w:sz w:val="18"/>
                <w:szCs w:val="18"/>
                <w:lang w:eastAsia="en-US"/>
              </w:rPr>
            </w:pPr>
            <w:r>
              <w:rPr>
                <w:rFonts w:asciiTheme="majorHAnsi" w:eastAsiaTheme="minorHAnsi" w:hAnsiTheme="majorHAnsi"/>
                <w:b/>
                <w:bCs/>
                <w:spacing w:val="-10"/>
                <w:sz w:val="18"/>
                <w:szCs w:val="18"/>
                <w:lang w:eastAsia="en-US"/>
              </w:rPr>
              <w:t>Характерные черты</w:t>
            </w:r>
          </w:p>
        </w:tc>
        <w:tc>
          <w:tcPr>
            <w:tcW w:w="6381" w:type="dxa"/>
            <w:gridSpan w:val="2"/>
            <w:tcBorders>
              <w:top w:val="double" w:sz="4" w:space="0" w:color="auto"/>
              <w:left w:val="single" w:sz="6" w:space="0" w:color="auto"/>
              <w:bottom w:val="single" w:sz="6" w:space="0" w:color="auto"/>
              <w:right w:val="double" w:sz="4" w:space="0" w:color="auto"/>
            </w:tcBorders>
            <w:shd w:val="clear" w:color="auto" w:fill="F2F2F2" w:themeFill="background1" w:themeFillShade="F2"/>
            <w:vAlign w:val="center"/>
            <w:hideMark/>
          </w:tcPr>
          <w:p w:rsidR="008440EF" w:rsidRDefault="008440EF">
            <w:pPr>
              <w:spacing w:line="276" w:lineRule="auto"/>
              <w:jc w:val="center"/>
              <w:rPr>
                <w:rFonts w:asciiTheme="majorHAnsi" w:eastAsiaTheme="minorHAnsi" w:hAnsiTheme="majorHAnsi"/>
                <w:b/>
                <w:sz w:val="18"/>
                <w:szCs w:val="18"/>
                <w:lang w:eastAsia="en-US"/>
              </w:rPr>
            </w:pPr>
            <w:r>
              <w:rPr>
                <w:rFonts w:asciiTheme="majorHAnsi" w:eastAsiaTheme="minorHAnsi" w:hAnsiTheme="majorHAnsi"/>
                <w:b/>
                <w:bCs/>
                <w:spacing w:val="-10"/>
                <w:sz w:val="18"/>
                <w:szCs w:val="18"/>
                <w:lang w:eastAsia="en-US"/>
              </w:rPr>
              <w:t>Типы рынков</w:t>
            </w:r>
          </w:p>
        </w:tc>
      </w:tr>
      <w:tr w:rsidR="008440EF" w:rsidTr="008440EF">
        <w:trPr>
          <w:jc w:val="center"/>
        </w:trPr>
        <w:tc>
          <w:tcPr>
            <w:tcW w:w="0" w:type="auto"/>
            <w:vMerge/>
            <w:tcBorders>
              <w:top w:val="double" w:sz="4" w:space="0" w:color="auto"/>
              <w:left w:val="double" w:sz="4" w:space="0" w:color="auto"/>
              <w:bottom w:val="double" w:sz="4" w:space="0" w:color="auto"/>
              <w:right w:val="single" w:sz="6" w:space="0" w:color="auto"/>
            </w:tcBorders>
            <w:vAlign w:val="center"/>
            <w:hideMark/>
          </w:tcPr>
          <w:p w:rsidR="008440EF" w:rsidRDefault="008440EF">
            <w:pPr>
              <w:rPr>
                <w:rFonts w:asciiTheme="majorHAnsi" w:eastAsiaTheme="minorHAnsi" w:hAnsiTheme="majorHAnsi"/>
                <w:b/>
                <w:sz w:val="18"/>
                <w:szCs w:val="18"/>
                <w:lang w:eastAsia="en-US"/>
              </w:rPr>
            </w:pPr>
          </w:p>
        </w:tc>
        <w:tc>
          <w:tcPr>
            <w:tcW w:w="3190" w:type="dxa"/>
            <w:tcBorders>
              <w:top w:val="single" w:sz="6" w:space="0" w:color="auto"/>
              <w:left w:val="single" w:sz="6" w:space="0" w:color="auto"/>
              <w:bottom w:val="double" w:sz="4" w:space="0" w:color="auto"/>
              <w:right w:val="single" w:sz="6" w:space="0" w:color="auto"/>
            </w:tcBorders>
            <w:shd w:val="clear" w:color="auto" w:fill="F2F2F2" w:themeFill="background1" w:themeFillShade="F2"/>
            <w:vAlign w:val="center"/>
            <w:hideMark/>
          </w:tcPr>
          <w:p w:rsidR="008440EF" w:rsidRDefault="008440EF">
            <w:pPr>
              <w:spacing w:line="276" w:lineRule="auto"/>
              <w:jc w:val="center"/>
              <w:rPr>
                <w:rFonts w:asciiTheme="majorHAnsi" w:eastAsiaTheme="minorHAnsi" w:hAnsiTheme="majorHAnsi"/>
                <w:b/>
                <w:sz w:val="18"/>
                <w:szCs w:val="18"/>
                <w:lang w:eastAsia="en-US"/>
              </w:rPr>
            </w:pPr>
            <w:r>
              <w:rPr>
                <w:rFonts w:asciiTheme="majorHAnsi" w:eastAsiaTheme="minorHAnsi" w:hAnsiTheme="majorHAnsi"/>
                <w:b/>
                <w:bCs/>
                <w:spacing w:val="-10"/>
                <w:sz w:val="18"/>
                <w:szCs w:val="18"/>
                <w:lang w:eastAsia="en-US"/>
              </w:rPr>
              <w:t>высокоорганизованные рынки</w:t>
            </w:r>
          </w:p>
        </w:tc>
        <w:tc>
          <w:tcPr>
            <w:tcW w:w="3191" w:type="dxa"/>
            <w:tcBorders>
              <w:top w:val="single" w:sz="6" w:space="0" w:color="auto"/>
              <w:left w:val="single" w:sz="6" w:space="0" w:color="auto"/>
              <w:bottom w:val="double" w:sz="4" w:space="0" w:color="auto"/>
              <w:right w:val="double" w:sz="4" w:space="0" w:color="auto"/>
            </w:tcBorders>
            <w:shd w:val="clear" w:color="auto" w:fill="F2F2F2" w:themeFill="background1" w:themeFillShade="F2"/>
            <w:vAlign w:val="center"/>
            <w:hideMark/>
          </w:tcPr>
          <w:p w:rsidR="008440EF" w:rsidRDefault="008440EF">
            <w:pPr>
              <w:spacing w:line="276" w:lineRule="auto"/>
              <w:jc w:val="center"/>
              <w:rPr>
                <w:rFonts w:asciiTheme="majorHAnsi" w:eastAsiaTheme="minorHAnsi" w:hAnsiTheme="majorHAnsi"/>
                <w:b/>
                <w:sz w:val="18"/>
                <w:szCs w:val="18"/>
                <w:lang w:eastAsia="en-US"/>
              </w:rPr>
            </w:pPr>
            <w:r>
              <w:rPr>
                <w:rFonts w:asciiTheme="majorHAnsi" w:eastAsiaTheme="minorHAnsi" w:hAnsiTheme="majorHAnsi"/>
                <w:b/>
                <w:bCs/>
                <w:spacing w:val="-10"/>
                <w:sz w:val="18"/>
                <w:szCs w:val="18"/>
                <w:lang w:eastAsia="en-US"/>
              </w:rPr>
              <w:t>рынки недвижимости</w:t>
            </w:r>
          </w:p>
        </w:tc>
      </w:tr>
      <w:tr w:rsidR="008440EF" w:rsidTr="008440EF">
        <w:trPr>
          <w:jc w:val="center"/>
        </w:trPr>
        <w:tc>
          <w:tcPr>
            <w:tcW w:w="3190" w:type="dxa"/>
            <w:tcBorders>
              <w:top w:val="double" w:sz="4" w:space="0" w:color="auto"/>
              <w:left w:val="double" w:sz="4" w:space="0" w:color="auto"/>
              <w:bottom w:val="single" w:sz="6" w:space="0" w:color="auto"/>
              <w:right w:val="single" w:sz="6" w:space="0" w:color="auto"/>
            </w:tcBorders>
            <w:vAlign w:val="center"/>
            <w:hideMark/>
          </w:tcPr>
          <w:p w:rsidR="008440EF" w:rsidRDefault="008440EF">
            <w:pPr>
              <w:widowControl w:val="0"/>
              <w:autoSpaceDE w:val="0"/>
              <w:autoSpaceDN w:val="0"/>
              <w:adjustRightInd w:val="0"/>
              <w:spacing w:line="276" w:lineRule="auto"/>
              <w:ind w:left="5"/>
              <w:jc w:val="center"/>
              <w:rPr>
                <w:rFonts w:asciiTheme="majorHAnsi" w:hAnsiTheme="majorHAnsi"/>
                <w:sz w:val="18"/>
                <w:szCs w:val="18"/>
                <w:lang w:eastAsia="en-US"/>
              </w:rPr>
            </w:pPr>
            <w:r>
              <w:rPr>
                <w:rFonts w:asciiTheme="majorHAnsi" w:eastAsiaTheme="majorEastAsia" w:hAnsiTheme="majorHAnsi"/>
                <w:sz w:val="18"/>
                <w:szCs w:val="18"/>
                <w:lang w:eastAsia="en-US"/>
              </w:rPr>
              <w:t>Типичные территориальные грани</w:t>
            </w:r>
            <w:r>
              <w:rPr>
                <w:rFonts w:asciiTheme="majorHAnsi" w:eastAsiaTheme="majorEastAsia" w:hAnsiTheme="majorHAnsi"/>
                <w:sz w:val="18"/>
                <w:szCs w:val="18"/>
                <w:lang w:eastAsia="en-US"/>
              </w:rPr>
              <w:softHyphen/>
              <w:t>цы рынка</w:t>
            </w:r>
          </w:p>
        </w:tc>
        <w:tc>
          <w:tcPr>
            <w:tcW w:w="3190" w:type="dxa"/>
            <w:tcBorders>
              <w:top w:val="double" w:sz="4" w:space="0" w:color="auto"/>
              <w:left w:val="single" w:sz="6"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Регион, группа регионов, страна, группа стран, все страны мира</w:t>
            </w:r>
          </w:p>
        </w:tc>
        <w:tc>
          <w:tcPr>
            <w:tcW w:w="3191" w:type="dxa"/>
            <w:tcBorders>
              <w:top w:val="double" w:sz="4" w:space="0" w:color="auto"/>
              <w:left w:val="single" w:sz="6" w:space="0" w:color="auto"/>
              <w:bottom w:val="single" w:sz="6" w:space="0" w:color="auto"/>
              <w:right w:val="double" w:sz="4" w:space="0" w:color="auto"/>
            </w:tcBorders>
            <w:vAlign w:val="center"/>
            <w:hideMark/>
          </w:tcPr>
          <w:p w:rsidR="008440EF" w:rsidRDefault="008440EF">
            <w:pPr>
              <w:widowControl w:val="0"/>
              <w:autoSpaceDE w:val="0"/>
              <w:autoSpaceDN w:val="0"/>
              <w:adjustRightInd w:val="0"/>
              <w:spacing w:line="276" w:lineRule="auto"/>
              <w:jc w:val="center"/>
              <w:rPr>
                <w:rFonts w:asciiTheme="majorHAnsi" w:hAnsiTheme="majorHAnsi"/>
                <w:sz w:val="18"/>
                <w:szCs w:val="18"/>
                <w:lang w:eastAsia="en-US"/>
              </w:rPr>
            </w:pPr>
            <w:r>
              <w:rPr>
                <w:rFonts w:asciiTheme="majorHAnsi" w:eastAsiaTheme="majorEastAsia" w:hAnsiTheme="majorHAnsi"/>
                <w:sz w:val="18"/>
                <w:szCs w:val="18"/>
                <w:lang w:eastAsia="en-US"/>
              </w:rPr>
              <w:t>Район, город, регион</w:t>
            </w:r>
          </w:p>
        </w:tc>
      </w:tr>
      <w:tr w:rsidR="008440EF" w:rsidTr="008440EF">
        <w:trPr>
          <w:jc w:val="center"/>
        </w:trPr>
        <w:tc>
          <w:tcPr>
            <w:tcW w:w="3190" w:type="dxa"/>
            <w:tcBorders>
              <w:top w:val="single" w:sz="6" w:space="0" w:color="auto"/>
              <w:left w:val="double" w:sz="4"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Транспортабельность товара</w:t>
            </w:r>
          </w:p>
        </w:tc>
        <w:tc>
          <w:tcPr>
            <w:tcW w:w="3190" w:type="dxa"/>
            <w:tcBorders>
              <w:top w:val="single" w:sz="6" w:space="0" w:color="auto"/>
              <w:left w:val="single" w:sz="6"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Очень высокая</w:t>
            </w:r>
          </w:p>
        </w:tc>
        <w:tc>
          <w:tcPr>
            <w:tcW w:w="3191" w:type="dxa"/>
            <w:tcBorders>
              <w:top w:val="single" w:sz="6" w:space="0" w:color="auto"/>
              <w:left w:val="single" w:sz="6" w:space="0" w:color="auto"/>
              <w:bottom w:val="single" w:sz="6" w:space="0" w:color="auto"/>
              <w:right w:val="double" w:sz="4" w:space="0" w:color="auto"/>
            </w:tcBorders>
            <w:vAlign w:val="center"/>
            <w:hideMark/>
          </w:tcPr>
          <w:p w:rsidR="008440EF" w:rsidRDefault="008440EF">
            <w:pPr>
              <w:widowControl w:val="0"/>
              <w:autoSpaceDE w:val="0"/>
              <w:autoSpaceDN w:val="0"/>
              <w:adjustRightInd w:val="0"/>
              <w:spacing w:line="276" w:lineRule="auto"/>
              <w:jc w:val="center"/>
              <w:rPr>
                <w:rFonts w:asciiTheme="majorHAnsi" w:hAnsiTheme="majorHAnsi"/>
                <w:sz w:val="18"/>
                <w:szCs w:val="18"/>
                <w:lang w:eastAsia="en-US"/>
              </w:rPr>
            </w:pPr>
            <w:r>
              <w:rPr>
                <w:rFonts w:asciiTheme="majorHAnsi" w:eastAsiaTheme="majorEastAsia" w:hAnsiTheme="majorHAnsi"/>
                <w:sz w:val="18"/>
                <w:szCs w:val="18"/>
                <w:lang w:eastAsia="en-US"/>
              </w:rPr>
              <w:t>Полностью отсутствует</w:t>
            </w:r>
          </w:p>
        </w:tc>
      </w:tr>
      <w:tr w:rsidR="008440EF" w:rsidTr="008440EF">
        <w:trPr>
          <w:jc w:val="center"/>
        </w:trPr>
        <w:tc>
          <w:tcPr>
            <w:tcW w:w="3190" w:type="dxa"/>
            <w:tcBorders>
              <w:top w:val="single" w:sz="6" w:space="0" w:color="auto"/>
              <w:left w:val="double" w:sz="4" w:space="0" w:color="auto"/>
              <w:bottom w:val="single" w:sz="6" w:space="0" w:color="auto"/>
              <w:right w:val="single" w:sz="6" w:space="0" w:color="auto"/>
            </w:tcBorders>
            <w:vAlign w:val="center"/>
            <w:hideMark/>
          </w:tcPr>
          <w:p w:rsidR="008440EF" w:rsidRDefault="008440EF">
            <w:pPr>
              <w:widowControl w:val="0"/>
              <w:autoSpaceDE w:val="0"/>
              <w:autoSpaceDN w:val="0"/>
              <w:adjustRightInd w:val="0"/>
              <w:spacing w:line="276" w:lineRule="auto"/>
              <w:jc w:val="center"/>
              <w:rPr>
                <w:rFonts w:asciiTheme="majorHAnsi" w:hAnsiTheme="majorHAnsi"/>
                <w:sz w:val="18"/>
                <w:szCs w:val="18"/>
                <w:lang w:eastAsia="en-US"/>
              </w:rPr>
            </w:pPr>
            <w:r>
              <w:rPr>
                <w:rFonts w:asciiTheme="majorHAnsi" w:eastAsiaTheme="majorEastAsia" w:hAnsiTheme="majorHAnsi"/>
                <w:sz w:val="18"/>
                <w:szCs w:val="18"/>
                <w:lang w:eastAsia="en-US"/>
              </w:rPr>
              <w:t>Влияние реального местонахожде</w:t>
            </w:r>
            <w:r>
              <w:rPr>
                <w:rFonts w:asciiTheme="majorHAnsi" w:eastAsiaTheme="majorEastAsia" w:hAnsiTheme="majorHAnsi"/>
                <w:sz w:val="18"/>
                <w:szCs w:val="18"/>
                <w:lang w:eastAsia="en-US"/>
              </w:rPr>
              <w:softHyphen/>
              <w:t>ния товара на цены</w:t>
            </w:r>
          </w:p>
        </w:tc>
        <w:tc>
          <w:tcPr>
            <w:tcW w:w="3190" w:type="dxa"/>
            <w:tcBorders>
              <w:top w:val="single" w:sz="6" w:space="0" w:color="auto"/>
              <w:left w:val="single" w:sz="6"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Очень незначительное</w:t>
            </w:r>
          </w:p>
        </w:tc>
        <w:tc>
          <w:tcPr>
            <w:tcW w:w="3191" w:type="dxa"/>
            <w:tcBorders>
              <w:top w:val="single" w:sz="6" w:space="0" w:color="auto"/>
              <w:left w:val="single" w:sz="6" w:space="0" w:color="auto"/>
              <w:bottom w:val="single" w:sz="6" w:space="0" w:color="auto"/>
              <w:right w:val="double" w:sz="4" w:space="0" w:color="auto"/>
            </w:tcBorders>
            <w:vAlign w:val="center"/>
            <w:hideMark/>
          </w:tcPr>
          <w:p w:rsidR="008440EF" w:rsidRDefault="008440EF">
            <w:pPr>
              <w:widowControl w:val="0"/>
              <w:autoSpaceDE w:val="0"/>
              <w:autoSpaceDN w:val="0"/>
              <w:adjustRightInd w:val="0"/>
              <w:spacing w:line="211" w:lineRule="exact"/>
              <w:jc w:val="center"/>
              <w:rPr>
                <w:rFonts w:asciiTheme="majorHAnsi" w:hAnsiTheme="majorHAnsi"/>
                <w:sz w:val="18"/>
                <w:szCs w:val="18"/>
                <w:lang w:eastAsia="en-US"/>
              </w:rPr>
            </w:pPr>
            <w:r>
              <w:rPr>
                <w:rFonts w:asciiTheme="majorHAnsi" w:eastAsiaTheme="majorEastAsia" w:hAnsiTheme="majorHAnsi"/>
                <w:sz w:val="18"/>
                <w:szCs w:val="18"/>
                <w:lang w:eastAsia="en-US"/>
              </w:rPr>
              <w:t>Местонахождение — один из важ</w:t>
            </w:r>
            <w:r>
              <w:rPr>
                <w:rFonts w:asciiTheme="majorHAnsi" w:eastAsiaTheme="majorEastAsia" w:hAnsiTheme="majorHAnsi"/>
                <w:sz w:val="18"/>
                <w:szCs w:val="18"/>
                <w:lang w:eastAsia="en-US"/>
              </w:rPr>
              <w:softHyphen/>
              <w:t>нейших факторов, формирующих цены</w:t>
            </w:r>
          </w:p>
        </w:tc>
      </w:tr>
      <w:tr w:rsidR="008440EF" w:rsidTr="008440EF">
        <w:trPr>
          <w:jc w:val="center"/>
        </w:trPr>
        <w:tc>
          <w:tcPr>
            <w:tcW w:w="3190" w:type="dxa"/>
            <w:tcBorders>
              <w:top w:val="single" w:sz="6" w:space="0" w:color="auto"/>
              <w:left w:val="double" w:sz="4" w:space="0" w:color="auto"/>
              <w:bottom w:val="single" w:sz="6" w:space="0" w:color="auto"/>
              <w:right w:val="single" w:sz="6" w:space="0" w:color="auto"/>
            </w:tcBorders>
            <w:vAlign w:val="center"/>
            <w:hideMark/>
          </w:tcPr>
          <w:p w:rsidR="008440EF" w:rsidRDefault="008440EF">
            <w:pPr>
              <w:widowControl w:val="0"/>
              <w:autoSpaceDE w:val="0"/>
              <w:autoSpaceDN w:val="0"/>
              <w:adjustRightInd w:val="0"/>
              <w:spacing w:line="276" w:lineRule="auto"/>
              <w:jc w:val="center"/>
              <w:rPr>
                <w:rFonts w:asciiTheme="majorHAnsi" w:hAnsiTheme="majorHAnsi"/>
                <w:sz w:val="18"/>
                <w:szCs w:val="18"/>
                <w:lang w:eastAsia="en-US"/>
              </w:rPr>
            </w:pPr>
            <w:r>
              <w:rPr>
                <w:rFonts w:asciiTheme="majorHAnsi" w:eastAsiaTheme="majorEastAsia" w:hAnsiTheme="majorHAnsi"/>
                <w:sz w:val="18"/>
                <w:szCs w:val="18"/>
                <w:lang w:eastAsia="en-US"/>
              </w:rPr>
              <w:t>Взаимозаменяемость единиц товара</w:t>
            </w:r>
          </w:p>
        </w:tc>
        <w:tc>
          <w:tcPr>
            <w:tcW w:w="3190" w:type="dxa"/>
            <w:tcBorders>
              <w:top w:val="single" w:sz="6" w:space="0" w:color="auto"/>
              <w:left w:val="single" w:sz="6"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Абсолютная</w:t>
            </w:r>
          </w:p>
        </w:tc>
        <w:tc>
          <w:tcPr>
            <w:tcW w:w="3191" w:type="dxa"/>
            <w:tcBorders>
              <w:top w:val="single" w:sz="6" w:space="0" w:color="auto"/>
              <w:left w:val="single" w:sz="6" w:space="0" w:color="auto"/>
              <w:bottom w:val="single" w:sz="6" w:space="0" w:color="auto"/>
              <w:right w:val="double" w:sz="4" w:space="0" w:color="auto"/>
            </w:tcBorders>
            <w:vAlign w:val="center"/>
            <w:hideMark/>
          </w:tcPr>
          <w:p w:rsidR="008440EF" w:rsidRDefault="008440EF">
            <w:pPr>
              <w:widowControl w:val="0"/>
              <w:autoSpaceDE w:val="0"/>
              <w:autoSpaceDN w:val="0"/>
              <w:adjustRightInd w:val="0"/>
              <w:spacing w:line="211" w:lineRule="exact"/>
              <w:ind w:left="5"/>
              <w:jc w:val="center"/>
              <w:rPr>
                <w:rFonts w:asciiTheme="majorHAnsi" w:hAnsiTheme="majorHAnsi"/>
                <w:sz w:val="18"/>
                <w:szCs w:val="18"/>
                <w:lang w:eastAsia="en-US"/>
              </w:rPr>
            </w:pPr>
            <w:r>
              <w:rPr>
                <w:rFonts w:asciiTheme="majorHAnsi" w:eastAsiaTheme="majorEastAsia" w:hAnsiTheme="majorHAnsi"/>
                <w:sz w:val="18"/>
                <w:szCs w:val="18"/>
                <w:lang w:eastAsia="en-US"/>
              </w:rPr>
              <w:t>Абсолютная не взаимозаменяемость или очень слабая взаимозаменяе</w:t>
            </w:r>
            <w:r>
              <w:rPr>
                <w:rFonts w:asciiTheme="majorHAnsi" w:eastAsiaTheme="majorEastAsia" w:hAnsiTheme="majorHAnsi"/>
                <w:sz w:val="18"/>
                <w:szCs w:val="18"/>
                <w:lang w:eastAsia="en-US"/>
              </w:rPr>
              <w:softHyphen/>
              <w:t>мость</w:t>
            </w:r>
          </w:p>
        </w:tc>
      </w:tr>
      <w:tr w:rsidR="008440EF" w:rsidTr="008440EF">
        <w:trPr>
          <w:jc w:val="center"/>
        </w:trPr>
        <w:tc>
          <w:tcPr>
            <w:tcW w:w="3190" w:type="dxa"/>
            <w:tcBorders>
              <w:top w:val="single" w:sz="6" w:space="0" w:color="auto"/>
              <w:left w:val="double" w:sz="4" w:space="0" w:color="auto"/>
              <w:bottom w:val="single" w:sz="6" w:space="0" w:color="auto"/>
              <w:right w:val="single" w:sz="6" w:space="0" w:color="auto"/>
            </w:tcBorders>
            <w:vAlign w:val="center"/>
            <w:hideMark/>
          </w:tcPr>
          <w:p w:rsidR="008440EF" w:rsidRDefault="008440EF">
            <w:pPr>
              <w:widowControl w:val="0"/>
              <w:autoSpaceDE w:val="0"/>
              <w:autoSpaceDN w:val="0"/>
              <w:adjustRightInd w:val="0"/>
              <w:spacing w:line="276" w:lineRule="auto"/>
              <w:jc w:val="center"/>
              <w:rPr>
                <w:rFonts w:asciiTheme="majorHAnsi" w:hAnsiTheme="majorHAnsi"/>
                <w:sz w:val="18"/>
                <w:szCs w:val="18"/>
                <w:lang w:eastAsia="en-US"/>
              </w:rPr>
            </w:pPr>
            <w:r>
              <w:rPr>
                <w:rFonts w:asciiTheme="majorHAnsi" w:eastAsiaTheme="majorEastAsia" w:hAnsiTheme="majorHAnsi"/>
                <w:sz w:val="18"/>
                <w:szCs w:val="18"/>
                <w:lang w:eastAsia="en-US"/>
              </w:rPr>
              <w:t>Стандартизированность товара</w:t>
            </w:r>
          </w:p>
        </w:tc>
        <w:tc>
          <w:tcPr>
            <w:tcW w:w="3190" w:type="dxa"/>
            <w:tcBorders>
              <w:top w:val="single" w:sz="6" w:space="0" w:color="auto"/>
              <w:left w:val="single" w:sz="6"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Абсолютная или очень высокая</w:t>
            </w:r>
          </w:p>
        </w:tc>
        <w:tc>
          <w:tcPr>
            <w:tcW w:w="3191" w:type="dxa"/>
            <w:tcBorders>
              <w:top w:val="single" w:sz="6" w:space="0" w:color="auto"/>
              <w:left w:val="single" w:sz="6" w:space="0" w:color="auto"/>
              <w:bottom w:val="single" w:sz="6" w:space="0" w:color="auto"/>
              <w:right w:val="double" w:sz="4" w:space="0" w:color="auto"/>
            </w:tcBorders>
            <w:vAlign w:val="center"/>
            <w:hideMark/>
          </w:tcPr>
          <w:p w:rsidR="008440EF" w:rsidRDefault="008440EF">
            <w:pPr>
              <w:widowControl w:val="0"/>
              <w:autoSpaceDE w:val="0"/>
              <w:autoSpaceDN w:val="0"/>
              <w:adjustRightInd w:val="0"/>
              <w:spacing w:line="276" w:lineRule="auto"/>
              <w:jc w:val="center"/>
              <w:rPr>
                <w:rFonts w:asciiTheme="majorHAnsi" w:hAnsiTheme="majorHAnsi"/>
                <w:sz w:val="18"/>
                <w:szCs w:val="18"/>
                <w:lang w:eastAsia="en-US"/>
              </w:rPr>
            </w:pPr>
            <w:r>
              <w:rPr>
                <w:rFonts w:asciiTheme="majorHAnsi" w:eastAsiaTheme="majorEastAsia" w:hAnsiTheme="majorHAnsi"/>
                <w:sz w:val="18"/>
                <w:szCs w:val="18"/>
                <w:lang w:eastAsia="en-US"/>
              </w:rPr>
              <w:t>Отсутствует или низкая</w:t>
            </w:r>
          </w:p>
        </w:tc>
      </w:tr>
      <w:tr w:rsidR="008440EF" w:rsidTr="008440EF">
        <w:trPr>
          <w:jc w:val="center"/>
        </w:trPr>
        <w:tc>
          <w:tcPr>
            <w:tcW w:w="3190" w:type="dxa"/>
            <w:tcBorders>
              <w:top w:val="single" w:sz="6" w:space="0" w:color="auto"/>
              <w:left w:val="double" w:sz="4" w:space="0" w:color="auto"/>
              <w:bottom w:val="single" w:sz="6" w:space="0" w:color="auto"/>
              <w:right w:val="single" w:sz="6" w:space="0" w:color="auto"/>
            </w:tcBorders>
            <w:vAlign w:val="center"/>
            <w:hideMark/>
          </w:tcPr>
          <w:p w:rsidR="008440EF" w:rsidRDefault="008440EF">
            <w:pPr>
              <w:widowControl w:val="0"/>
              <w:autoSpaceDE w:val="0"/>
              <w:autoSpaceDN w:val="0"/>
              <w:adjustRightInd w:val="0"/>
              <w:spacing w:line="276" w:lineRule="auto"/>
              <w:jc w:val="center"/>
              <w:rPr>
                <w:rFonts w:asciiTheme="majorHAnsi" w:hAnsiTheme="majorHAnsi"/>
                <w:sz w:val="18"/>
                <w:szCs w:val="18"/>
                <w:lang w:eastAsia="en-US"/>
              </w:rPr>
            </w:pPr>
            <w:r>
              <w:rPr>
                <w:rFonts w:asciiTheme="majorHAnsi" w:eastAsiaTheme="majorEastAsia" w:hAnsiTheme="majorHAnsi"/>
                <w:sz w:val="18"/>
                <w:szCs w:val="18"/>
                <w:lang w:eastAsia="en-US"/>
              </w:rPr>
              <w:t>Число продавцов и покупателей</w:t>
            </w:r>
          </w:p>
        </w:tc>
        <w:tc>
          <w:tcPr>
            <w:tcW w:w="3190" w:type="dxa"/>
            <w:tcBorders>
              <w:top w:val="single" w:sz="6" w:space="0" w:color="auto"/>
              <w:left w:val="single" w:sz="6"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Большое</w:t>
            </w:r>
          </w:p>
        </w:tc>
        <w:tc>
          <w:tcPr>
            <w:tcW w:w="3191" w:type="dxa"/>
            <w:tcBorders>
              <w:top w:val="single" w:sz="6" w:space="0" w:color="auto"/>
              <w:left w:val="single" w:sz="6" w:space="0" w:color="auto"/>
              <w:bottom w:val="single" w:sz="6" w:space="0" w:color="auto"/>
              <w:right w:val="double" w:sz="4" w:space="0" w:color="auto"/>
            </w:tcBorders>
            <w:vAlign w:val="center"/>
            <w:hideMark/>
          </w:tcPr>
          <w:p w:rsidR="008440EF" w:rsidRDefault="008440EF">
            <w:pPr>
              <w:widowControl w:val="0"/>
              <w:autoSpaceDE w:val="0"/>
              <w:autoSpaceDN w:val="0"/>
              <w:adjustRightInd w:val="0"/>
              <w:spacing w:line="276" w:lineRule="auto"/>
              <w:jc w:val="center"/>
              <w:rPr>
                <w:rFonts w:asciiTheme="majorHAnsi" w:hAnsiTheme="majorHAnsi"/>
                <w:sz w:val="18"/>
                <w:szCs w:val="18"/>
                <w:lang w:eastAsia="en-US"/>
              </w:rPr>
            </w:pPr>
            <w:r>
              <w:rPr>
                <w:rFonts w:asciiTheme="majorHAnsi" w:eastAsiaTheme="majorEastAsia" w:hAnsiTheme="majorHAnsi"/>
                <w:sz w:val="18"/>
                <w:szCs w:val="18"/>
                <w:lang w:eastAsia="en-US"/>
              </w:rPr>
              <w:t>Небольшое</w:t>
            </w:r>
          </w:p>
        </w:tc>
      </w:tr>
      <w:tr w:rsidR="008440EF" w:rsidTr="008440EF">
        <w:trPr>
          <w:jc w:val="center"/>
        </w:trPr>
        <w:tc>
          <w:tcPr>
            <w:tcW w:w="3190" w:type="dxa"/>
            <w:tcBorders>
              <w:top w:val="single" w:sz="6" w:space="0" w:color="auto"/>
              <w:left w:val="double" w:sz="4" w:space="0" w:color="auto"/>
              <w:bottom w:val="single" w:sz="6" w:space="0" w:color="auto"/>
              <w:right w:val="single" w:sz="6" w:space="0" w:color="auto"/>
            </w:tcBorders>
            <w:vAlign w:val="center"/>
            <w:hideMark/>
          </w:tcPr>
          <w:p w:rsidR="008440EF" w:rsidRDefault="008440EF">
            <w:pPr>
              <w:widowControl w:val="0"/>
              <w:autoSpaceDE w:val="0"/>
              <w:autoSpaceDN w:val="0"/>
              <w:adjustRightInd w:val="0"/>
              <w:spacing w:line="276" w:lineRule="auto"/>
              <w:jc w:val="center"/>
              <w:rPr>
                <w:rFonts w:asciiTheme="majorHAnsi" w:hAnsiTheme="majorHAnsi"/>
                <w:sz w:val="18"/>
                <w:szCs w:val="18"/>
                <w:lang w:eastAsia="en-US"/>
              </w:rPr>
            </w:pPr>
            <w:r>
              <w:rPr>
                <w:rFonts w:asciiTheme="majorHAnsi" w:eastAsiaTheme="majorEastAsia" w:hAnsiTheme="majorHAnsi"/>
                <w:sz w:val="18"/>
                <w:szCs w:val="18"/>
                <w:lang w:eastAsia="en-US"/>
              </w:rPr>
              <w:t>Соотношение между числом про</w:t>
            </w:r>
            <w:r>
              <w:rPr>
                <w:rFonts w:asciiTheme="majorHAnsi" w:eastAsiaTheme="majorEastAsia" w:hAnsiTheme="majorHAnsi"/>
                <w:sz w:val="18"/>
                <w:szCs w:val="18"/>
                <w:lang w:eastAsia="en-US"/>
              </w:rPr>
              <w:softHyphen/>
              <w:t>давцов и покупателей</w:t>
            </w:r>
          </w:p>
        </w:tc>
        <w:tc>
          <w:tcPr>
            <w:tcW w:w="3190" w:type="dxa"/>
            <w:tcBorders>
              <w:top w:val="single" w:sz="6" w:space="0" w:color="auto"/>
              <w:left w:val="single" w:sz="6"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Сбалансированно</w:t>
            </w:r>
          </w:p>
        </w:tc>
        <w:tc>
          <w:tcPr>
            <w:tcW w:w="3191" w:type="dxa"/>
            <w:tcBorders>
              <w:top w:val="single" w:sz="6" w:space="0" w:color="auto"/>
              <w:left w:val="single" w:sz="6" w:space="0" w:color="auto"/>
              <w:bottom w:val="single" w:sz="6" w:space="0" w:color="auto"/>
              <w:right w:val="double" w:sz="4" w:space="0" w:color="auto"/>
            </w:tcBorders>
            <w:vAlign w:val="center"/>
            <w:hideMark/>
          </w:tcPr>
          <w:p w:rsidR="008440EF" w:rsidRDefault="008440EF">
            <w:pPr>
              <w:widowControl w:val="0"/>
              <w:autoSpaceDE w:val="0"/>
              <w:autoSpaceDN w:val="0"/>
              <w:adjustRightInd w:val="0"/>
              <w:spacing w:line="276" w:lineRule="auto"/>
              <w:jc w:val="center"/>
              <w:rPr>
                <w:rFonts w:asciiTheme="majorHAnsi" w:hAnsiTheme="majorHAnsi"/>
                <w:sz w:val="18"/>
                <w:szCs w:val="18"/>
                <w:lang w:eastAsia="en-US"/>
              </w:rPr>
            </w:pPr>
            <w:r>
              <w:rPr>
                <w:rFonts w:asciiTheme="majorHAnsi" w:eastAsiaTheme="majorEastAsia" w:hAnsiTheme="majorHAnsi"/>
                <w:sz w:val="18"/>
                <w:szCs w:val="18"/>
                <w:lang w:eastAsia="en-US"/>
              </w:rPr>
              <w:t>Колеблется между сбалансирован</w:t>
            </w:r>
            <w:r>
              <w:rPr>
                <w:rFonts w:asciiTheme="majorHAnsi" w:eastAsiaTheme="majorEastAsia" w:hAnsiTheme="majorHAnsi"/>
                <w:sz w:val="18"/>
                <w:szCs w:val="18"/>
                <w:lang w:eastAsia="en-US"/>
              </w:rPr>
              <w:softHyphen/>
              <w:t>ностью, «рынком покупателя» и «рынком продавца»</w:t>
            </w:r>
          </w:p>
        </w:tc>
      </w:tr>
      <w:tr w:rsidR="008440EF" w:rsidTr="008440EF">
        <w:trPr>
          <w:jc w:val="center"/>
        </w:trPr>
        <w:tc>
          <w:tcPr>
            <w:tcW w:w="3190" w:type="dxa"/>
            <w:tcBorders>
              <w:top w:val="single" w:sz="6" w:space="0" w:color="auto"/>
              <w:left w:val="double" w:sz="4" w:space="0" w:color="auto"/>
              <w:bottom w:val="single" w:sz="6" w:space="0" w:color="auto"/>
              <w:right w:val="single" w:sz="6" w:space="0" w:color="auto"/>
            </w:tcBorders>
            <w:vAlign w:val="center"/>
            <w:hideMark/>
          </w:tcPr>
          <w:p w:rsidR="008440EF" w:rsidRDefault="008440EF">
            <w:pPr>
              <w:widowControl w:val="0"/>
              <w:autoSpaceDE w:val="0"/>
              <w:autoSpaceDN w:val="0"/>
              <w:adjustRightInd w:val="0"/>
              <w:spacing w:line="276" w:lineRule="auto"/>
              <w:jc w:val="center"/>
              <w:rPr>
                <w:rFonts w:asciiTheme="majorHAnsi" w:hAnsiTheme="majorHAnsi"/>
                <w:sz w:val="18"/>
                <w:szCs w:val="18"/>
                <w:lang w:eastAsia="en-US"/>
              </w:rPr>
            </w:pPr>
            <w:r>
              <w:rPr>
                <w:rFonts w:asciiTheme="majorHAnsi" w:eastAsiaTheme="majorEastAsia" w:hAnsiTheme="majorHAnsi"/>
                <w:sz w:val="18"/>
                <w:szCs w:val="18"/>
                <w:lang w:eastAsia="en-US"/>
              </w:rPr>
              <w:t>Возможность относительно быст</w:t>
            </w:r>
            <w:r>
              <w:rPr>
                <w:rFonts w:asciiTheme="majorHAnsi" w:eastAsiaTheme="majorEastAsia" w:hAnsiTheme="majorHAnsi"/>
                <w:sz w:val="18"/>
                <w:szCs w:val="18"/>
                <w:lang w:eastAsia="en-US"/>
              </w:rPr>
              <w:softHyphen/>
              <w:t>рого  заметного  увеличения или уменьшения объема предложения</w:t>
            </w:r>
          </w:p>
        </w:tc>
        <w:tc>
          <w:tcPr>
            <w:tcW w:w="3190" w:type="dxa"/>
            <w:tcBorders>
              <w:top w:val="single" w:sz="6" w:space="0" w:color="auto"/>
              <w:left w:val="single" w:sz="6"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Значительная</w:t>
            </w:r>
          </w:p>
        </w:tc>
        <w:tc>
          <w:tcPr>
            <w:tcW w:w="3191" w:type="dxa"/>
            <w:tcBorders>
              <w:top w:val="single" w:sz="6" w:space="0" w:color="auto"/>
              <w:left w:val="single" w:sz="6" w:space="0" w:color="auto"/>
              <w:bottom w:val="single" w:sz="6" w:space="0" w:color="auto"/>
              <w:right w:val="double" w:sz="4" w:space="0" w:color="auto"/>
            </w:tcBorders>
            <w:vAlign w:val="center"/>
            <w:hideMark/>
          </w:tcPr>
          <w:p w:rsidR="008440EF" w:rsidRDefault="008440EF">
            <w:pPr>
              <w:widowControl w:val="0"/>
              <w:autoSpaceDE w:val="0"/>
              <w:autoSpaceDN w:val="0"/>
              <w:adjustRightInd w:val="0"/>
              <w:spacing w:line="276" w:lineRule="auto"/>
              <w:ind w:right="5"/>
              <w:jc w:val="center"/>
              <w:rPr>
                <w:rFonts w:asciiTheme="majorHAnsi" w:hAnsiTheme="majorHAnsi"/>
                <w:sz w:val="18"/>
                <w:szCs w:val="18"/>
                <w:lang w:eastAsia="en-US"/>
              </w:rPr>
            </w:pPr>
            <w:r>
              <w:rPr>
                <w:rFonts w:asciiTheme="majorHAnsi" w:eastAsiaTheme="majorEastAsia" w:hAnsiTheme="majorHAnsi"/>
                <w:sz w:val="18"/>
                <w:szCs w:val="18"/>
                <w:lang w:eastAsia="en-US"/>
              </w:rPr>
              <w:t>Практически отсутствует в силу длительности строительного цикла</w:t>
            </w:r>
          </w:p>
        </w:tc>
      </w:tr>
      <w:tr w:rsidR="008440EF" w:rsidTr="008440EF">
        <w:trPr>
          <w:jc w:val="center"/>
        </w:trPr>
        <w:tc>
          <w:tcPr>
            <w:tcW w:w="3190" w:type="dxa"/>
            <w:tcBorders>
              <w:top w:val="single" w:sz="6" w:space="0" w:color="auto"/>
              <w:left w:val="double" w:sz="4"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Характер сделок</w:t>
            </w:r>
          </w:p>
        </w:tc>
        <w:tc>
          <w:tcPr>
            <w:tcW w:w="3190" w:type="dxa"/>
            <w:tcBorders>
              <w:top w:val="single" w:sz="6" w:space="0" w:color="auto"/>
              <w:left w:val="single" w:sz="6"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Преобладают публичные (преиму</w:t>
            </w:r>
            <w:r>
              <w:rPr>
                <w:rFonts w:asciiTheme="majorHAnsi" w:eastAsiaTheme="minorHAnsi" w:hAnsiTheme="majorHAnsi"/>
                <w:sz w:val="18"/>
                <w:szCs w:val="18"/>
                <w:lang w:eastAsia="en-US"/>
              </w:rPr>
              <w:softHyphen/>
              <w:t>щественно биржевые) сделки</w:t>
            </w:r>
          </w:p>
        </w:tc>
        <w:tc>
          <w:tcPr>
            <w:tcW w:w="3191" w:type="dxa"/>
            <w:tcBorders>
              <w:top w:val="single" w:sz="6" w:space="0" w:color="auto"/>
              <w:left w:val="single" w:sz="6" w:space="0" w:color="auto"/>
              <w:bottom w:val="single" w:sz="6" w:space="0" w:color="auto"/>
              <w:right w:val="double" w:sz="4" w:space="0" w:color="auto"/>
            </w:tcBorders>
            <w:vAlign w:val="center"/>
            <w:hideMark/>
          </w:tcPr>
          <w:p w:rsidR="008440EF" w:rsidRDefault="008440EF">
            <w:pPr>
              <w:widowControl w:val="0"/>
              <w:autoSpaceDE w:val="0"/>
              <w:autoSpaceDN w:val="0"/>
              <w:adjustRightInd w:val="0"/>
              <w:spacing w:line="276" w:lineRule="auto"/>
              <w:jc w:val="center"/>
              <w:rPr>
                <w:rFonts w:asciiTheme="majorHAnsi" w:hAnsiTheme="majorHAnsi"/>
                <w:sz w:val="18"/>
                <w:szCs w:val="18"/>
                <w:lang w:eastAsia="en-US"/>
              </w:rPr>
            </w:pPr>
            <w:r>
              <w:rPr>
                <w:rFonts w:asciiTheme="majorHAnsi" w:eastAsiaTheme="majorEastAsia" w:hAnsiTheme="majorHAnsi"/>
                <w:sz w:val="18"/>
                <w:szCs w:val="18"/>
                <w:lang w:eastAsia="en-US"/>
              </w:rPr>
              <w:t>Сделки носят частный характер</w:t>
            </w:r>
          </w:p>
        </w:tc>
      </w:tr>
      <w:tr w:rsidR="008440EF" w:rsidTr="008440EF">
        <w:trPr>
          <w:jc w:val="center"/>
        </w:trPr>
        <w:tc>
          <w:tcPr>
            <w:tcW w:w="3190" w:type="dxa"/>
            <w:tcBorders>
              <w:top w:val="single" w:sz="6" w:space="0" w:color="auto"/>
              <w:left w:val="double" w:sz="4"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Доступность информации о товаре и рынке</w:t>
            </w:r>
          </w:p>
        </w:tc>
        <w:tc>
          <w:tcPr>
            <w:tcW w:w="3190" w:type="dxa"/>
            <w:tcBorders>
              <w:top w:val="single" w:sz="6" w:space="0" w:color="auto"/>
              <w:left w:val="single" w:sz="6"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Очень высокая</w:t>
            </w:r>
          </w:p>
        </w:tc>
        <w:tc>
          <w:tcPr>
            <w:tcW w:w="3191" w:type="dxa"/>
            <w:tcBorders>
              <w:top w:val="single" w:sz="6" w:space="0" w:color="auto"/>
              <w:left w:val="single" w:sz="6" w:space="0" w:color="auto"/>
              <w:bottom w:val="single" w:sz="6" w:space="0" w:color="auto"/>
              <w:right w:val="double" w:sz="4" w:space="0" w:color="auto"/>
            </w:tcBorders>
            <w:vAlign w:val="center"/>
            <w:hideMark/>
          </w:tcPr>
          <w:p w:rsidR="008440EF" w:rsidRDefault="008440EF">
            <w:pPr>
              <w:widowControl w:val="0"/>
              <w:autoSpaceDE w:val="0"/>
              <w:autoSpaceDN w:val="0"/>
              <w:adjustRightInd w:val="0"/>
              <w:spacing w:line="276" w:lineRule="auto"/>
              <w:ind w:left="5"/>
              <w:jc w:val="center"/>
              <w:rPr>
                <w:rFonts w:asciiTheme="majorHAnsi" w:hAnsiTheme="majorHAnsi"/>
                <w:sz w:val="18"/>
                <w:szCs w:val="18"/>
                <w:lang w:eastAsia="en-US"/>
              </w:rPr>
            </w:pPr>
            <w:r>
              <w:rPr>
                <w:rFonts w:asciiTheme="majorHAnsi" w:eastAsiaTheme="majorEastAsia" w:hAnsiTheme="majorHAnsi"/>
                <w:sz w:val="18"/>
                <w:szCs w:val="18"/>
                <w:lang w:eastAsia="en-US"/>
              </w:rPr>
              <w:t>Доступ к информации обычно за</w:t>
            </w:r>
            <w:r>
              <w:rPr>
                <w:rFonts w:asciiTheme="majorHAnsi" w:eastAsiaTheme="majorEastAsia" w:hAnsiTheme="majorHAnsi"/>
                <w:sz w:val="18"/>
                <w:szCs w:val="18"/>
                <w:lang w:eastAsia="en-US"/>
              </w:rPr>
              <w:softHyphen/>
              <w:t>труднен</w:t>
            </w:r>
          </w:p>
        </w:tc>
      </w:tr>
      <w:tr w:rsidR="008440EF" w:rsidTr="008440EF">
        <w:trPr>
          <w:jc w:val="center"/>
        </w:trPr>
        <w:tc>
          <w:tcPr>
            <w:tcW w:w="3190" w:type="dxa"/>
            <w:tcBorders>
              <w:top w:val="single" w:sz="6" w:space="0" w:color="auto"/>
              <w:left w:val="double" w:sz="4"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Достоверность и полнота информа</w:t>
            </w:r>
            <w:r>
              <w:rPr>
                <w:rFonts w:asciiTheme="majorHAnsi" w:eastAsiaTheme="minorHAnsi" w:hAnsiTheme="majorHAnsi"/>
                <w:sz w:val="18"/>
                <w:szCs w:val="18"/>
                <w:lang w:eastAsia="en-US"/>
              </w:rPr>
              <w:softHyphen/>
            </w:r>
            <w:r>
              <w:rPr>
                <w:rFonts w:asciiTheme="majorHAnsi" w:eastAsiaTheme="minorHAnsi" w:hAnsiTheme="majorHAnsi"/>
                <w:sz w:val="18"/>
                <w:szCs w:val="18"/>
                <w:lang w:eastAsia="en-US"/>
              </w:rPr>
              <w:lastRenderedPageBreak/>
              <w:t>ции о товаре и рынке</w:t>
            </w:r>
          </w:p>
        </w:tc>
        <w:tc>
          <w:tcPr>
            <w:tcW w:w="3190" w:type="dxa"/>
            <w:tcBorders>
              <w:top w:val="single" w:sz="6" w:space="0" w:color="auto"/>
              <w:left w:val="single" w:sz="6"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lastRenderedPageBreak/>
              <w:t>Очень высокая</w:t>
            </w:r>
          </w:p>
        </w:tc>
        <w:tc>
          <w:tcPr>
            <w:tcW w:w="3191" w:type="dxa"/>
            <w:tcBorders>
              <w:top w:val="single" w:sz="6" w:space="0" w:color="auto"/>
              <w:left w:val="single" w:sz="6" w:space="0" w:color="auto"/>
              <w:bottom w:val="single" w:sz="6" w:space="0" w:color="auto"/>
              <w:right w:val="double" w:sz="4" w:space="0" w:color="auto"/>
            </w:tcBorders>
            <w:vAlign w:val="center"/>
            <w:hideMark/>
          </w:tcPr>
          <w:p w:rsidR="008440EF" w:rsidRDefault="008440EF">
            <w:pPr>
              <w:widowControl w:val="0"/>
              <w:autoSpaceDE w:val="0"/>
              <w:autoSpaceDN w:val="0"/>
              <w:adjustRightInd w:val="0"/>
              <w:spacing w:line="276" w:lineRule="auto"/>
              <w:ind w:left="10" w:right="5"/>
              <w:jc w:val="center"/>
              <w:rPr>
                <w:rFonts w:asciiTheme="majorHAnsi" w:hAnsiTheme="majorHAnsi"/>
                <w:sz w:val="18"/>
                <w:szCs w:val="18"/>
                <w:lang w:eastAsia="en-US"/>
              </w:rPr>
            </w:pPr>
            <w:r>
              <w:rPr>
                <w:rFonts w:asciiTheme="majorHAnsi" w:eastAsiaTheme="majorEastAsia" w:hAnsiTheme="majorHAnsi"/>
                <w:sz w:val="18"/>
                <w:szCs w:val="18"/>
                <w:lang w:eastAsia="en-US"/>
              </w:rPr>
              <w:t>Доступная информация часто не</w:t>
            </w:r>
            <w:r>
              <w:rPr>
                <w:rFonts w:asciiTheme="majorHAnsi" w:eastAsiaTheme="majorEastAsia" w:hAnsiTheme="majorHAnsi"/>
                <w:sz w:val="18"/>
                <w:szCs w:val="18"/>
                <w:lang w:eastAsia="en-US"/>
              </w:rPr>
              <w:softHyphen/>
            </w:r>
            <w:r>
              <w:rPr>
                <w:rFonts w:asciiTheme="majorHAnsi" w:eastAsiaTheme="majorEastAsia" w:hAnsiTheme="majorHAnsi"/>
                <w:sz w:val="18"/>
                <w:szCs w:val="18"/>
                <w:lang w:eastAsia="en-US"/>
              </w:rPr>
              <w:lastRenderedPageBreak/>
              <w:t>достоверна и (или) неполна</w:t>
            </w:r>
          </w:p>
        </w:tc>
      </w:tr>
      <w:tr w:rsidR="008440EF" w:rsidTr="008440EF">
        <w:trPr>
          <w:jc w:val="center"/>
        </w:trPr>
        <w:tc>
          <w:tcPr>
            <w:tcW w:w="3190" w:type="dxa"/>
            <w:tcBorders>
              <w:top w:val="single" w:sz="6" w:space="0" w:color="auto"/>
              <w:left w:val="double" w:sz="4" w:space="0" w:color="auto"/>
              <w:bottom w:val="single" w:sz="6" w:space="0" w:color="auto"/>
              <w:right w:val="single" w:sz="6" w:space="0" w:color="auto"/>
            </w:tcBorders>
            <w:vAlign w:val="center"/>
            <w:hideMark/>
          </w:tcPr>
          <w:p w:rsidR="008440EF" w:rsidRDefault="008440EF">
            <w:pPr>
              <w:widowControl w:val="0"/>
              <w:autoSpaceDE w:val="0"/>
              <w:autoSpaceDN w:val="0"/>
              <w:adjustRightInd w:val="0"/>
              <w:spacing w:line="221" w:lineRule="exact"/>
              <w:ind w:left="14"/>
              <w:jc w:val="center"/>
              <w:rPr>
                <w:rFonts w:asciiTheme="majorHAnsi" w:eastAsiaTheme="minorEastAsia" w:hAnsiTheme="majorHAnsi"/>
                <w:sz w:val="18"/>
                <w:szCs w:val="18"/>
                <w:lang w:eastAsia="en-US"/>
              </w:rPr>
            </w:pPr>
            <w:r>
              <w:rPr>
                <w:rFonts w:asciiTheme="majorHAnsi" w:eastAsiaTheme="minorEastAsia" w:hAnsiTheme="majorHAnsi"/>
                <w:sz w:val="18"/>
                <w:szCs w:val="18"/>
                <w:lang w:eastAsia="en-US"/>
              </w:rPr>
              <w:lastRenderedPageBreak/>
              <w:t>Степень осведомленности продав</w:t>
            </w:r>
            <w:r>
              <w:rPr>
                <w:rFonts w:asciiTheme="majorHAnsi" w:eastAsiaTheme="minorEastAsia" w:hAnsiTheme="majorHAnsi"/>
                <w:sz w:val="18"/>
                <w:szCs w:val="18"/>
                <w:lang w:eastAsia="en-US"/>
              </w:rPr>
              <w:softHyphen/>
              <w:t>цов и покупателей о товаре и ценах</w:t>
            </w:r>
          </w:p>
        </w:tc>
        <w:tc>
          <w:tcPr>
            <w:tcW w:w="3190" w:type="dxa"/>
            <w:tcBorders>
              <w:top w:val="single" w:sz="6" w:space="0" w:color="auto"/>
              <w:left w:val="single" w:sz="6"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Высокая или очень высокая</w:t>
            </w:r>
          </w:p>
        </w:tc>
        <w:tc>
          <w:tcPr>
            <w:tcW w:w="3191" w:type="dxa"/>
            <w:tcBorders>
              <w:top w:val="single" w:sz="6" w:space="0" w:color="auto"/>
              <w:left w:val="single" w:sz="6" w:space="0" w:color="auto"/>
              <w:bottom w:val="single" w:sz="6" w:space="0" w:color="auto"/>
              <w:right w:val="double" w:sz="4" w:space="0" w:color="auto"/>
            </w:tcBorders>
            <w:vAlign w:val="center"/>
            <w:hideMark/>
          </w:tcPr>
          <w:p w:rsidR="008440EF" w:rsidRDefault="008440EF">
            <w:pPr>
              <w:widowControl w:val="0"/>
              <w:autoSpaceDE w:val="0"/>
              <w:autoSpaceDN w:val="0"/>
              <w:adjustRightInd w:val="0"/>
              <w:spacing w:line="276" w:lineRule="auto"/>
              <w:ind w:left="10" w:right="5"/>
              <w:jc w:val="center"/>
              <w:rPr>
                <w:rFonts w:asciiTheme="majorHAnsi" w:eastAsiaTheme="majorEastAsia" w:hAnsiTheme="majorHAnsi"/>
                <w:sz w:val="18"/>
                <w:szCs w:val="18"/>
                <w:lang w:eastAsia="en-US"/>
              </w:rPr>
            </w:pPr>
            <w:r>
              <w:rPr>
                <w:rFonts w:asciiTheme="majorHAnsi" w:hAnsiTheme="majorHAnsi"/>
                <w:sz w:val="18"/>
                <w:szCs w:val="18"/>
                <w:lang w:eastAsia="en-US"/>
              </w:rPr>
              <w:t>Изменяется от очень высокой до очень низкой</w:t>
            </w:r>
          </w:p>
        </w:tc>
      </w:tr>
      <w:tr w:rsidR="008440EF" w:rsidTr="008440EF">
        <w:trPr>
          <w:jc w:val="center"/>
        </w:trPr>
        <w:tc>
          <w:tcPr>
            <w:tcW w:w="3190" w:type="dxa"/>
            <w:tcBorders>
              <w:top w:val="single" w:sz="6" w:space="0" w:color="auto"/>
              <w:left w:val="double" w:sz="4" w:space="0" w:color="auto"/>
              <w:bottom w:val="single" w:sz="6" w:space="0" w:color="auto"/>
              <w:right w:val="single" w:sz="6" w:space="0" w:color="auto"/>
            </w:tcBorders>
            <w:vAlign w:val="center"/>
            <w:hideMark/>
          </w:tcPr>
          <w:p w:rsidR="008440EF" w:rsidRDefault="008440EF">
            <w:pPr>
              <w:widowControl w:val="0"/>
              <w:autoSpaceDE w:val="0"/>
              <w:autoSpaceDN w:val="0"/>
              <w:adjustRightInd w:val="0"/>
              <w:spacing w:line="216" w:lineRule="exact"/>
              <w:ind w:left="5"/>
              <w:jc w:val="center"/>
              <w:rPr>
                <w:rFonts w:asciiTheme="majorHAnsi" w:eastAsiaTheme="minorEastAsia" w:hAnsiTheme="majorHAnsi"/>
                <w:sz w:val="18"/>
                <w:szCs w:val="18"/>
                <w:lang w:eastAsia="en-US"/>
              </w:rPr>
            </w:pPr>
            <w:r>
              <w:rPr>
                <w:rFonts w:asciiTheme="majorHAnsi" w:eastAsiaTheme="minorEastAsia" w:hAnsiTheme="majorHAnsi"/>
                <w:sz w:val="18"/>
                <w:szCs w:val="18"/>
                <w:lang w:eastAsia="en-US"/>
              </w:rPr>
              <w:t>Скорость обмена информацией и принятия решений</w:t>
            </w:r>
          </w:p>
        </w:tc>
        <w:tc>
          <w:tcPr>
            <w:tcW w:w="3190" w:type="dxa"/>
            <w:tcBorders>
              <w:top w:val="single" w:sz="6" w:space="0" w:color="auto"/>
              <w:left w:val="single" w:sz="6"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Очень высокая</w:t>
            </w:r>
          </w:p>
        </w:tc>
        <w:tc>
          <w:tcPr>
            <w:tcW w:w="3191" w:type="dxa"/>
            <w:tcBorders>
              <w:top w:val="single" w:sz="6" w:space="0" w:color="auto"/>
              <w:left w:val="single" w:sz="6" w:space="0" w:color="auto"/>
              <w:bottom w:val="single" w:sz="6" w:space="0" w:color="auto"/>
              <w:right w:val="double" w:sz="4" w:space="0" w:color="auto"/>
            </w:tcBorders>
            <w:vAlign w:val="center"/>
            <w:hideMark/>
          </w:tcPr>
          <w:p w:rsidR="008440EF" w:rsidRDefault="008440EF">
            <w:pPr>
              <w:widowControl w:val="0"/>
              <w:autoSpaceDE w:val="0"/>
              <w:autoSpaceDN w:val="0"/>
              <w:adjustRightInd w:val="0"/>
              <w:spacing w:line="276" w:lineRule="auto"/>
              <w:ind w:left="10" w:right="5"/>
              <w:jc w:val="center"/>
              <w:rPr>
                <w:rFonts w:asciiTheme="majorHAnsi" w:eastAsiaTheme="majorEastAsia" w:hAnsiTheme="majorHAnsi"/>
                <w:sz w:val="18"/>
                <w:szCs w:val="18"/>
                <w:lang w:eastAsia="en-US"/>
              </w:rPr>
            </w:pPr>
            <w:r>
              <w:rPr>
                <w:rFonts w:asciiTheme="majorHAnsi" w:hAnsiTheme="majorHAnsi"/>
                <w:sz w:val="18"/>
                <w:szCs w:val="18"/>
                <w:lang w:eastAsia="en-US"/>
              </w:rPr>
              <w:t>Низкая</w:t>
            </w:r>
          </w:p>
        </w:tc>
      </w:tr>
      <w:tr w:rsidR="008440EF" w:rsidTr="008440EF">
        <w:trPr>
          <w:jc w:val="center"/>
        </w:trPr>
        <w:tc>
          <w:tcPr>
            <w:tcW w:w="3190" w:type="dxa"/>
            <w:tcBorders>
              <w:top w:val="single" w:sz="6" w:space="0" w:color="auto"/>
              <w:left w:val="double" w:sz="4" w:space="0" w:color="auto"/>
              <w:bottom w:val="single" w:sz="6" w:space="0" w:color="auto"/>
              <w:right w:val="single" w:sz="6" w:space="0" w:color="auto"/>
            </w:tcBorders>
            <w:vAlign w:val="center"/>
            <w:hideMark/>
          </w:tcPr>
          <w:p w:rsidR="008440EF" w:rsidRDefault="008440EF">
            <w:pPr>
              <w:widowControl w:val="0"/>
              <w:autoSpaceDE w:val="0"/>
              <w:autoSpaceDN w:val="0"/>
              <w:adjustRightInd w:val="0"/>
              <w:spacing w:line="216" w:lineRule="exact"/>
              <w:ind w:right="5"/>
              <w:jc w:val="center"/>
              <w:rPr>
                <w:rFonts w:asciiTheme="majorHAnsi" w:eastAsiaTheme="minorEastAsia" w:hAnsiTheme="majorHAnsi"/>
                <w:sz w:val="18"/>
                <w:szCs w:val="18"/>
                <w:lang w:eastAsia="en-US"/>
              </w:rPr>
            </w:pPr>
            <w:r>
              <w:rPr>
                <w:rFonts w:asciiTheme="majorHAnsi" w:eastAsiaTheme="minorEastAsia" w:hAnsiTheme="majorHAnsi"/>
                <w:sz w:val="18"/>
                <w:szCs w:val="18"/>
                <w:lang w:eastAsia="en-US"/>
              </w:rPr>
              <w:t>Роль нерациональных факторов в принятии решений</w:t>
            </w:r>
          </w:p>
        </w:tc>
        <w:tc>
          <w:tcPr>
            <w:tcW w:w="3190" w:type="dxa"/>
            <w:tcBorders>
              <w:top w:val="single" w:sz="6" w:space="0" w:color="auto"/>
              <w:left w:val="single" w:sz="6"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Крайне незначительная</w:t>
            </w:r>
          </w:p>
        </w:tc>
        <w:tc>
          <w:tcPr>
            <w:tcW w:w="3191" w:type="dxa"/>
            <w:tcBorders>
              <w:top w:val="single" w:sz="6" w:space="0" w:color="auto"/>
              <w:left w:val="single" w:sz="6" w:space="0" w:color="auto"/>
              <w:bottom w:val="single" w:sz="6" w:space="0" w:color="auto"/>
              <w:right w:val="double" w:sz="4" w:space="0" w:color="auto"/>
            </w:tcBorders>
            <w:vAlign w:val="center"/>
            <w:hideMark/>
          </w:tcPr>
          <w:p w:rsidR="008440EF" w:rsidRDefault="008440EF">
            <w:pPr>
              <w:widowControl w:val="0"/>
              <w:autoSpaceDE w:val="0"/>
              <w:autoSpaceDN w:val="0"/>
              <w:adjustRightInd w:val="0"/>
              <w:spacing w:line="276" w:lineRule="auto"/>
              <w:ind w:left="10" w:right="5"/>
              <w:jc w:val="center"/>
              <w:rPr>
                <w:rFonts w:asciiTheme="majorHAnsi" w:eastAsiaTheme="majorEastAsia" w:hAnsiTheme="majorHAnsi"/>
                <w:sz w:val="18"/>
                <w:szCs w:val="18"/>
                <w:lang w:eastAsia="en-US"/>
              </w:rPr>
            </w:pPr>
            <w:r>
              <w:rPr>
                <w:rFonts w:asciiTheme="majorHAnsi" w:hAnsiTheme="majorHAnsi"/>
                <w:sz w:val="18"/>
                <w:szCs w:val="18"/>
                <w:lang w:eastAsia="en-US"/>
              </w:rPr>
              <w:t>Заметная</w:t>
            </w:r>
          </w:p>
        </w:tc>
      </w:tr>
      <w:tr w:rsidR="008440EF" w:rsidTr="008440EF">
        <w:trPr>
          <w:jc w:val="center"/>
        </w:trPr>
        <w:tc>
          <w:tcPr>
            <w:tcW w:w="3190" w:type="dxa"/>
            <w:tcBorders>
              <w:top w:val="single" w:sz="6" w:space="0" w:color="auto"/>
              <w:left w:val="double" w:sz="4" w:space="0" w:color="auto"/>
              <w:bottom w:val="single" w:sz="6" w:space="0" w:color="auto"/>
              <w:right w:val="single" w:sz="6" w:space="0" w:color="auto"/>
            </w:tcBorders>
            <w:vAlign w:val="center"/>
            <w:hideMark/>
          </w:tcPr>
          <w:p w:rsidR="008440EF" w:rsidRDefault="008440EF">
            <w:pPr>
              <w:widowControl w:val="0"/>
              <w:autoSpaceDE w:val="0"/>
              <w:autoSpaceDN w:val="0"/>
              <w:adjustRightInd w:val="0"/>
              <w:spacing w:line="221" w:lineRule="exact"/>
              <w:ind w:right="1459"/>
              <w:jc w:val="center"/>
              <w:rPr>
                <w:rFonts w:asciiTheme="majorHAnsi" w:eastAsiaTheme="minorEastAsia" w:hAnsiTheme="majorHAnsi"/>
                <w:sz w:val="18"/>
                <w:szCs w:val="18"/>
                <w:lang w:eastAsia="en-US"/>
              </w:rPr>
            </w:pPr>
            <w:r>
              <w:rPr>
                <w:rFonts w:asciiTheme="majorHAnsi" w:eastAsiaTheme="minorEastAsia" w:hAnsiTheme="majorHAnsi"/>
                <w:sz w:val="18"/>
                <w:szCs w:val="18"/>
                <w:lang w:eastAsia="en-US"/>
              </w:rPr>
              <w:t>Стабильность цен</w:t>
            </w:r>
          </w:p>
        </w:tc>
        <w:tc>
          <w:tcPr>
            <w:tcW w:w="3190" w:type="dxa"/>
            <w:tcBorders>
              <w:top w:val="single" w:sz="6" w:space="0" w:color="auto"/>
              <w:left w:val="single" w:sz="6" w:space="0" w:color="auto"/>
              <w:bottom w:val="single" w:sz="6"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Цены обычно относительно стабильны</w:t>
            </w:r>
          </w:p>
        </w:tc>
        <w:tc>
          <w:tcPr>
            <w:tcW w:w="3191" w:type="dxa"/>
            <w:tcBorders>
              <w:top w:val="single" w:sz="6" w:space="0" w:color="auto"/>
              <w:left w:val="single" w:sz="6" w:space="0" w:color="auto"/>
              <w:bottom w:val="single" w:sz="6" w:space="0" w:color="auto"/>
              <w:right w:val="double" w:sz="4" w:space="0" w:color="auto"/>
            </w:tcBorders>
            <w:vAlign w:val="center"/>
            <w:hideMark/>
          </w:tcPr>
          <w:p w:rsidR="008440EF" w:rsidRDefault="008440EF">
            <w:pPr>
              <w:widowControl w:val="0"/>
              <w:autoSpaceDE w:val="0"/>
              <w:autoSpaceDN w:val="0"/>
              <w:adjustRightInd w:val="0"/>
              <w:spacing w:line="276" w:lineRule="auto"/>
              <w:ind w:left="10" w:right="5"/>
              <w:jc w:val="center"/>
              <w:rPr>
                <w:rFonts w:asciiTheme="majorHAnsi" w:eastAsiaTheme="majorEastAsia" w:hAnsiTheme="majorHAnsi"/>
                <w:sz w:val="18"/>
                <w:szCs w:val="18"/>
                <w:lang w:eastAsia="en-US"/>
              </w:rPr>
            </w:pPr>
            <w:r>
              <w:rPr>
                <w:rFonts w:asciiTheme="majorHAnsi" w:hAnsiTheme="majorHAnsi"/>
                <w:sz w:val="18"/>
                <w:szCs w:val="18"/>
                <w:lang w:eastAsia="en-US"/>
              </w:rPr>
              <w:t>Цены могут часто изменяться в широких пределах</w:t>
            </w:r>
          </w:p>
        </w:tc>
      </w:tr>
      <w:tr w:rsidR="008440EF" w:rsidTr="008440EF">
        <w:trPr>
          <w:jc w:val="center"/>
        </w:trPr>
        <w:tc>
          <w:tcPr>
            <w:tcW w:w="3190" w:type="dxa"/>
            <w:tcBorders>
              <w:top w:val="single" w:sz="6" w:space="0" w:color="auto"/>
              <w:left w:val="double" w:sz="4" w:space="0" w:color="auto"/>
              <w:bottom w:val="double" w:sz="4" w:space="0" w:color="auto"/>
              <w:right w:val="single" w:sz="6" w:space="0" w:color="auto"/>
            </w:tcBorders>
            <w:vAlign w:val="center"/>
            <w:hideMark/>
          </w:tcPr>
          <w:p w:rsidR="008440EF" w:rsidRDefault="008440EF">
            <w:pPr>
              <w:widowControl w:val="0"/>
              <w:autoSpaceDE w:val="0"/>
              <w:autoSpaceDN w:val="0"/>
              <w:adjustRightInd w:val="0"/>
              <w:spacing w:line="216" w:lineRule="exact"/>
              <w:ind w:right="5"/>
              <w:jc w:val="center"/>
              <w:rPr>
                <w:rFonts w:asciiTheme="majorHAnsi" w:eastAsiaTheme="minorEastAsia" w:hAnsiTheme="majorHAnsi"/>
                <w:sz w:val="18"/>
                <w:szCs w:val="18"/>
                <w:lang w:eastAsia="en-US"/>
              </w:rPr>
            </w:pPr>
            <w:r>
              <w:rPr>
                <w:rFonts w:asciiTheme="majorHAnsi" w:eastAsiaTheme="minorEastAsia" w:hAnsiTheme="majorHAnsi"/>
                <w:sz w:val="18"/>
                <w:szCs w:val="18"/>
                <w:lang w:eastAsia="en-US"/>
              </w:rPr>
              <w:t>Правовое регулирование способов использования товара и сделок с ним, непосредственно воздейст</w:t>
            </w:r>
            <w:r>
              <w:rPr>
                <w:rFonts w:asciiTheme="majorHAnsi" w:eastAsiaTheme="minorEastAsia" w:hAnsiTheme="majorHAnsi"/>
                <w:sz w:val="18"/>
                <w:szCs w:val="18"/>
                <w:lang w:eastAsia="en-US"/>
              </w:rPr>
              <w:softHyphen/>
              <w:t>вующее на цены</w:t>
            </w:r>
          </w:p>
        </w:tc>
        <w:tc>
          <w:tcPr>
            <w:tcW w:w="3190" w:type="dxa"/>
            <w:tcBorders>
              <w:top w:val="single" w:sz="6" w:space="0" w:color="auto"/>
              <w:left w:val="single" w:sz="6" w:space="0" w:color="auto"/>
              <w:bottom w:val="double" w:sz="4" w:space="0" w:color="auto"/>
              <w:right w:val="single" w:sz="6" w:space="0" w:color="auto"/>
            </w:tcBorders>
            <w:vAlign w:val="center"/>
            <w:hideMark/>
          </w:tcPr>
          <w:p w:rsidR="008440EF" w:rsidRDefault="008440EF">
            <w:pPr>
              <w:spacing w:line="276" w:lineRule="auto"/>
              <w:jc w:val="center"/>
              <w:rPr>
                <w:rFonts w:asciiTheme="majorHAnsi" w:eastAsiaTheme="minorHAnsi" w:hAnsiTheme="majorHAnsi"/>
                <w:sz w:val="18"/>
                <w:szCs w:val="18"/>
                <w:lang w:eastAsia="en-US"/>
              </w:rPr>
            </w:pPr>
            <w:r>
              <w:rPr>
                <w:rFonts w:asciiTheme="majorHAnsi" w:eastAsiaTheme="minorHAnsi" w:hAnsiTheme="majorHAnsi"/>
                <w:sz w:val="18"/>
                <w:szCs w:val="18"/>
                <w:lang w:eastAsia="en-US"/>
              </w:rPr>
              <w:t>Минимальное</w:t>
            </w:r>
          </w:p>
        </w:tc>
        <w:tc>
          <w:tcPr>
            <w:tcW w:w="3191" w:type="dxa"/>
            <w:tcBorders>
              <w:top w:val="single" w:sz="6" w:space="0" w:color="auto"/>
              <w:left w:val="single" w:sz="6" w:space="0" w:color="auto"/>
              <w:bottom w:val="double" w:sz="4" w:space="0" w:color="auto"/>
              <w:right w:val="double" w:sz="4" w:space="0" w:color="auto"/>
            </w:tcBorders>
            <w:vAlign w:val="center"/>
            <w:hideMark/>
          </w:tcPr>
          <w:p w:rsidR="008440EF" w:rsidRDefault="008440EF">
            <w:pPr>
              <w:widowControl w:val="0"/>
              <w:autoSpaceDE w:val="0"/>
              <w:autoSpaceDN w:val="0"/>
              <w:adjustRightInd w:val="0"/>
              <w:spacing w:line="276" w:lineRule="auto"/>
              <w:ind w:left="10" w:right="5"/>
              <w:jc w:val="center"/>
              <w:rPr>
                <w:rFonts w:asciiTheme="majorHAnsi" w:eastAsiaTheme="majorEastAsia" w:hAnsiTheme="majorHAnsi"/>
                <w:sz w:val="18"/>
                <w:szCs w:val="18"/>
                <w:lang w:eastAsia="en-US"/>
              </w:rPr>
            </w:pPr>
            <w:r>
              <w:rPr>
                <w:rFonts w:asciiTheme="majorHAnsi" w:hAnsiTheme="majorHAnsi"/>
                <w:sz w:val="18"/>
                <w:szCs w:val="18"/>
                <w:lang w:eastAsia="en-US"/>
              </w:rPr>
              <w:t>Значительное</w:t>
            </w:r>
          </w:p>
        </w:tc>
      </w:tr>
    </w:tbl>
    <w:p w:rsidR="008440EF" w:rsidRDefault="008440EF" w:rsidP="008440EF">
      <w:pPr>
        <w:autoSpaceDE w:val="0"/>
        <w:autoSpaceDN w:val="0"/>
        <w:adjustRightInd w:val="0"/>
        <w:spacing w:before="120" w:after="120"/>
        <w:ind w:right="168" w:firstLine="709"/>
        <w:jc w:val="center"/>
        <w:rPr>
          <w:rFonts w:ascii="Cambria" w:eastAsiaTheme="minorEastAsia" w:hAnsi="Cambria"/>
          <w:b/>
          <w:bCs/>
          <w:sz w:val="20"/>
          <w:szCs w:val="20"/>
        </w:rPr>
      </w:pPr>
      <w:r>
        <w:rPr>
          <w:rFonts w:ascii="Cambria" w:eastAsiaTheme="minorEastAsia" w:hAnsi="Cambria"/>
          <w:b/>
          <w:bCs/>
          <w:sz w:val="20"/>
          <w:szCs w:val="20"/>
        </w:rPr>
        <w:t>Особенности объекта недвижимости как товара</w:t>
      </w:r>
    </w:p>
    <w:p w:rsidR="008440EF" w:rsidRDefault="008440EF" w:rsidP="008440EF">
      <w:pPr>
        <w:autoSpaceDE w:val="0"/>
        <w:autoSpaceDN w:val="0"/>
        <w:adjustRightInd w:val="0"/>
        <w:spacing w:before="120" w:after="120" w:line="245" w:lineRule="exact"/>
        <w:ind w:firstLine="709"/>
        <w:jc w:val="both"/>
        <w:rPr>
          <w:rFonts w:ascii="Cambria" w:eastAsiaTheme="minorEastAsia" w:hAnsi="Cambria"/>
          <w:sz w:val="20"/>
          <w:szCs w:val="20"/>
        </w:rPr>
      </w:pPr>
      <w:r>
        <w:rPr>
          <w:rFonts w:ascii="Cambria" w:eastAsiaTheme="minorEastAsia" w:hAnsi="Cambria"/>
          <w:b/>
          <w:bCs/>
          <w:i/>
          <w:iCs/>
          <w:sz w:val="20"/>
          <w:szCs w:val="20"/>
        </w:rPr>
        <w:t xml:space="preserve">Неподвижность, нетранспортабельность объекта недвижимости. </w:t>
      </w:r>
      <w:r>
        <w:rPr>
          <w:rFonts w:ascii="Cambria" w:eastAsiaTheme="minorEastAsia" w:hAnsi="Cambria"/>
          <w:sz w:val="20"/>
          <w:szCs w:val="20"/>
        </w:rPr>
        <w:t>В отличие от потреби</w:t>
      </w:r>
      <w:r>
        <w:rPr>
          <w:rFonts w:ascii="Cambria" w:eastAsiaTheme="minorEastAsia" w:hAnsi="Cambria"/>
          <w:sz w:val="20"/>
          <w:szCs w:val="20"/>
        </w:rPr>
        <w:softHyphen/>
        <w:t>тельских, сырьевых товаров, ценных бумаг и т.д., объекты недвижимости не могут быть перемеще</w:t>
      </w:r>
      <w:r>
        <w:rPr>
          <w:rFonts w:ascii="Cambria" w:eastAsiaTheme="minorEastAsia" w:hAnsi="Cambria"/>
          <w:sz w:val="20"/>
          <w:szCs w:val="20"/>
        </w:rPr>
        <w:softHyphen/>
        <w:t>ны к покупателю (покупатель к товару, а не товар к покупателю).</w:t>
      </w:r>
    </w:p>
    <w:p w:rsidR="008440EF" w:rsidRDefault="008440EF" w:rsidP="008440EF">
      <w:pPr>
        <w:autoSpaceDE w:val="0"/>
        <w:autoSpaceDN w:val="0"/>
        <w:adjustRightInd w:val="0"/>
        <w:spacing w:before="120" w:after="120" w:line="245" w:lineRule="exact"/>
        <w:ind w:firstLine="709"/>
        <w:jc w:val="both"/>
        <w:rPr>
          <w:rFonts w:ascii="Cambria" w:eastAsiaTheme="minorEastAsia" w:hAnsi="Cambria"/>
          <w:sz w:val="20"/>
          <w:szCs w:val="20"/>
        </w:rPr>
      </w:pPr>
      <w:r>
        <w:rPr>
          <w:rFonts w:ascii="Cambria" w:eastAsiaTheme="minorEastAsia" w:hAnsi="Cambria"/>
          <w:b/>
          <w:bCs/>
          <w:i/>
          <w:iCs/>
          <w:sz w:val="20"/>
          <w:szCs w:val="20"/>
        </w:rPr>
        <w:t xml:space="preserve">Слабые взаимозаменяемость и стандартизированность объектов недвижимости. </w:t>
      </w:r>
      <w:r>
        <w:rPr>
          <w:rFonts w:ascii="Cambria" w:eastAsiaTheme="minorEastAsia" w:hAnsi="Cambria"/>
          <w:sz w:val="20"/>
          <w:szCs w:val="20"/>
        </w:rPr>
        <w:t>Каж</w:t>
      </w:r>
      <w:r>
        <w:rPr>
          <w:rFonts w:ascii="Cambria" w:eastAsiaTheme="minorEastAsia" w:hAnsi="Cambria"/>
          <w:sz w:val="20"/>
          <w:szCs w:val="20"/>
        </w:rPr>
        <w:softHyphen/>
        <w:t>дый из объектов недвижимости уникален, будь то земельный участок, здание, строение или ка</w:t>
      </w:r>
      <w:r>
        <w:rPr>
          <w:rFonts w:ascii="Cambria" w:eastAsiaTheme="minorEastAsia" w:hAnsi="Cambria"/>
          <w:sz w:val="20"/>
          <w:szCs w:val="20"/>
        </w:rPr>
        <w:softHyphen/>
        <w:t>кая-либо совокупность отдельных объектов. Поэтому редко оказывается возможным найти два объекта, обладающих одним и тем же набором полезных качеств. Объекты недвижимости с трудом поддаются стандартизации, что делает практически невозможной их продажу по описанию. Если для купли-продажи, скажем, партии металла достаточно указать марку и другие общепринятые ха</w:t>
      </w:r>
      <w:r>
        <w:rPr>
          <w:rFonts w:ascii="Cambria" w:eastAsiaTheme="minorEastAsia" w:hAnsi="Cambria"/>
          <w:sz w:val="20"/>
          <w:szCs w:val="20"/>
        </w:rPr>
        <w:softHyphen/>
        <w:t>рактеристики товара, то покупка недвижимости, за редким исключением, требует физического контакта покупателя с объектом, внимательного осмотра и выяснения всех важных обстоятельств, имеющих значение для сделки. По своему характеру сделки на рынках недвижимости подобны ку</w:t>
      </w:r>
      <w:r>
        <w:rPr>
          <w:rFonts w:ascii="Cambria" w:eastAsiaTheme="minorEastAsia" w:hAnsi="Cambria"/>
          <w:sz w:val="20"/>
          <w:szCs w:val="20"/>
        </w:rPr>
        <w:softHyphen/>
        <w:t>пле и продаже картин старых мастеров и других антикварных изделий, не поддающихся «делению на сорта».</w:t>
      </w:r>
    </w:p>
    <w:p w:rsidR="008440EF" w:rsidRDefault="008440EF" w:rsidP="008440EF">
      <w:pPr>
        <w:autoSpaceDE w:val="0"/>
        <w:autoSpaceDN w:val="0"/>
        <w:adjustRightInd w:val="0"/>
        <w:spacing w:before="120" w:after="120" w:line="245" w:lineRule="exact"/>
        <w:ind w:firstLine="709"/>
        <w:jc w:val="both"/>
        <w:rPr>
          <w:rFonts w:ascii="Cambria" w:eastAsiaTheme="minorEastAsia" w:hAnsi="Cambria"/>
          <w:sz w:val="20"/>
          <w:szCs w:val="20"/>
        </w:rPr>
      </w:pPr>
      <w:r>
        <w:rPr>
          <w:rFonts w:ascii="Cambria" w:eastAsiaTheme="minorEastAsia" w:hAnsi="Cambria"/>
          <w:b/>
          <w:bCs/>
          <w:i/>
          <w:iCs/>
          <w:sz w:val="20"/>
          <w:szCs w:val="20"/>
        </w:rPr>
        <w:t xml:space="preserve">Дуалистичность потребительских свойств недвижимости (особенно жилья). </w:t>
      </w:r>
      <w:r>
        <w:rPr>
          <w:rFonts w:ascii="Cambria" w:eastAsiaTheme="minorEastAsia" w:hAnsi="Cambria"/>
          <w:sz w:val="20"/>
          <w:szCs w:val="20"/>
        </w:rPr>
        <w:t>Жилье од</w:t>
      </w:r>
      <w:r>
        <w:rPr>
          <w:rFonts w:ascii="Cambria" w:eastAsiaTheme="minorEastAsia" w:hAnsi="Cambria"/>
          <w:sz w:val="20"/>
          <w:szCs w:val="20"/>
        </w:rPr>
        <w:softHyphen/>
        <w:t>новременно является товаром первой необходимости, как хлеб, молоко, одежда, и (в силу высокой стоимости) предметом роскоши. Этим определяются ряд особенностей потребительского поведе</w:t>
      </w:r>
      <w:r>
        <w:rPr>
          <w:rFonts w:ascii="Cambria" w:eastAsiaTheme="minorEastAsia" w:hAnsi="Cambria"/>
          <w:sz w:val="20"/>
          <w:szCs w:val="20"/>
        </w:rPr>
        <w:softHyphen/>
        <w:t>ния покупателей на рынке жилья.</w:t>
      </w:r>
    </w:p>
    <w:p w:rsidR="008440EF" w:rsidRDefault="008440EF" w:rsidP="008440EF">
      <w:pPr>
        <w:autoSpaceDE w:val="0"/>
        <w:autoSpaceDN w:val="0"/>
        <w:adjustRightInd w:val="0"/>
        <w:spacing w:before="120" w:after="120" w:line="245" w:lineRule="exact"/>
        <w:ind w:firstLine="709"/>
        <w:jc w:val="both"/>
        <w:rPr>
          <w:rFonts w:ascii="Cambria" w:eastAsiaTheme="minorEastAsia" w:hAnsi="Cambria"/>
          <w:sz w:val="20"/>
          <w:szCs w:val="20"/>
        </w:rPr>
      </w:pPr>
      <w:r>
        <w:rPr>
          <w:rFonts w:ascii="Cambria" w:eastAsiaTheme="minorEastAsia" w:hAnsi="Cambria"/>
          <w:b/>
          <w:bCs/>
          <w:i/>
          <w:iCs/>
          <w:sz w:val="20"/>
          <w:szCs w:val="20"/>
        </w:rPr>
        <w:t xml:space="preserve">Узость рынка. </w:t>
      </w:r>
      <w:r>
        <w:rPr>
          <w:rFonts w:ascii="Cambria" w:eastAsiaTheme="minorEastAsia" w:hAnsi="Cambria"/>
          <w:sz w:val="20"/>
          <w:szCs w:val="20"/>
        </w:rPr>
        <w:t>В отличие от других рынков, где цены определяются соотношением спроса и предложения со стороны большого числа участников, на некоторых сегментах рынка недвижимо</w:t>
      </w:r>
      <w:r>
        <w:rPr>
          <w:rFonts w:ascii="Cambria" w:eastAsiaTheme="minorEastAsia" w:hAnsi="Cambria"/>
          <w:sz w:val="20"/>
          <w:szCs w:val="20"/>
        </w:rPr>
        <w:softHyphen/>
        <w:t>сти зачастую насчитывают всего несколько покупателей или продавцов. Это особенно характерно для специализированных объектов или объектов единственного назначения.</w:t>
      </w:r>
    </w:p>
    <w:p w:rsidR="008440EF" w:rsidRDefault="008440EF" w:rsidP="008440EF">
      <w:pPr>
        <w:autoSpaceDE w:val="0"/>
        <w:autoSpaceDN w:val="0"/>
        <w:adjustRightInd w:val="0"/>
        <w:spacing w:before="120" w:after="120" w:line="245" w:lineRule="exact"/>
        <w:ind w:firstLine="709"/>
        <w:jc w:val="both"/>
        <w:rPr>
          <w:rFonts w:ascii="Cambria" w:eastAsiaTheme="minorEastAsia" w:hAnsi="Cambria"/>
          <w:sz w:val="20"/>
          <w:szCs w:val="20"/>
        </w:rPr>
      </w:pPr>
      <w:r>
        <w:rPr>
          <w:rFonts w:ascii="Cambria" w:eastAsiaTheme="minorEastAsia" w:hAnsi="Cambria"/>
          <w:b/>
          <w:bCs/>
          <w:i/>
          <w:iCs/>
          <w:sz w:val="20"/>
          <w:szCs w:val="20"/>
        </w:rPr>
        <w:t xml:space="preserve">Локализованность рынка. </w:t>
      </w:r>
      <w:r>
        <w:rPr>
          <w:rFonts w:ascii="Cambria" w:eastAsiaTheme="minorEastAsia" w:hAnsi="Cambria"/>
          <w:sz w:val="20"/>
          <w:szCs w:val="20"/>
        </w:rPr>
        <w:t>В отличие от других рынков, имеющих конкретное место заключения сделки (биржа), рынок недвижимости имеет множество возможных мест сделки, часто — по месту расположения объекта недвижимости. Поскольку объекты недвижимы, то в результате рынок не</w:t>
      </w:r>
      <w:r>
        <w:rPr>
          <w:rFonts w:ascii="Cambria" w:eastAsiaTheme="minorEastAsia" w:hAnsi="Cambria"/>
          <w:sz w:val="20"/>
          <w:szCs w:val="20"/>
        </w:rPr>
        <w:softHyphen/>
        <w:t>движимости разделяется на множество локальных рынков.</w:t>
      </w:r>
    </w:p>
    <w:p w:rsidR="008440EF" w:rsidRDefault="008440EF" w:rsidP="008440EF">
      <w:pPr>
        <w:autoSpaceDE w:val="0"/>
        <w:autoSpaceDN w:val="0"/>
        <w:adjustRightInd w:val="0"/>
        <w:spacing w:before="120" w:after="120" w:line="245" w:lineRule="exact"/>
        <w:ind w:firstLine="709"/>
        <w:jc w:val="both"/>
        <w:rPr>
          <w:rFonts w:ascii="Cambria" w:eastAsiaTheme="minorEastAsia" w:hAnsi="Cambria"/>
          <w:sz w:val="20"/>
          <w:szCs w:val="20"/>
        </w:rPr>
      </w:pPr>
      <w:r>
        <w:rPr>
          <w:rFonts w:ascii="Cambria" w:eastAsiaTheme="minorEastAsia" w:hAnsi="Cambria"/>
          <w:sz w:val="20"/>
          <w:szCs w:val="20"/>
        </w:rPr>
        <w:t>Большинство рынков недвижимости по своей природе локальны. Если только речь не идет об особо заметном объекте, информация о котором получила широкое распространение, то покупателем с наибольшей вероятностью оказывается либо человек, живущий в этой местности, либо фир</w:t>
      </w:r>
      <w:r>
        <w:rPr>
          <w:rFonts w:ascii="Cambria" w:eastAsiaTheme="minorEastAsia" w:hAnsi="Cambria"/>
          <w:sz w:val="20"/>
          <w:szCs w:val="20"/>
        </w:rPr>
        <w:softHyphen/>
        <w:t>ма, осуществляющая здесь свои деловые операции. Именно поэтому самое пристальное внимание аналитик обращает на ближайшие окрестности, а также на район, поселение и регион местополо</w:t>
      </w:r>
      <w:r>
        <w:rPr>
          <w:rFonts w:ascii="Cambria" w:eastAsiaTheme="minorEastAsia" w:hAnsi="Cambria"/>
          <w:sz w:val="20"/>
          <w:szCs w:val="20"/>
        </w:rPr>
        <w:softHyphen/>
        <w:t>жения оцениваемой недвижимости.</w:t>
      </w:r>
    </w:p>
    <w:p w:rsidR="008440EF" w:rsidRDefault="008440EF" w:rsidP="008440EF">
      <w:pPr>
        <w:autoSpaceDE w:val="0"/>
        <w:autoSpaceDN w:val="0"/>
        <w:adjustRightInd w:val="0"/>
        <w:spacing w:before="120" w:after="120"/>
        <w:ind w:firstLine="709"/>
        <w:jc w:val="both"/>
        <w:rPr>
          <w:rFonts w:ascii="Cambria" w:eastAsiaTheme="minorEastAsia" w:hAnsi="Cambria"/>
          <w:sz w:val="20"/>
          <w:szCs w:val="20"/>
        </w:rPr>
      </w:pPr>
      <w:r>
        <w:rPr>
          <w:rFonts w:ascii="Cambria" w:eastAsiaTheme="minorEastAsia" w:hAnsi="Cambria"/>
          <w:b/>
          <w:i/>
          <w:sz w:val="20"/>
          <w:szCs w:val="20"/>
        </w:rPr>
        <w:t>Дифференцированность рынка</w:t>
      </w:r>
      <w:r>
        <w:rPr>
          <w:rFonts w:ascii="Cambria" w:eastAsiaTheme="minorEastAsia" w:hAnsi="Cambria"/>
          <w:sz w:val="20"/>
          <w:szCs w:val="20"/>
        </w:rPr>
        <w:t>. Рынки недвижимости различных регионов могут существенно отличаться друг от друга. Отличия обусловлены:</w:t>
      </w:r>
    </w:p>
    <w:p w:rsidR="008440EF" w:rsidRDefault="008440EF" w:rsidP="0090764B">
      <w:pPr>
        <w:numPr>
          <w:ilvl w:val="0"/>
          <w:numId w:val="21"/>
        </w:numPr>
        <w:tabs>
          <w:tab w:val="left" w:pos="528"/>
        </w:tabs>
        <w:autoSpaceDE w:val="0"/>
        <w:autoSpaceDN w:val="0"/>
        <w:adjustRightInd w:val="0"/>
        <w:spacing w:before="120" w:after="120" w:line="245" w:lineRule="exact"/>
        <w:jc w:val="both"/>
        <w:rPr>
          <w:rFonts w:ascii="Cambria" w:eastAsia="Arial Unicode MS" w:hAnsi="Cambria"/>
          <w:sz w:val="20"/>
          <w:szCs w:val="20"/>
        </w:rPr>
      </w:pPr>
      <w:r>
        <w:rPr>
          <w:rFonts w:ascii="Cambria" w:eastAsia="Arial Unicode MS" w:hAnsi="Cambria"/>
          <w:sz w:val="20"/>
          <w:szCs w:val="20"/>
        </w:rPr>
        <w:t>природными и экономическими условиями;</w:t>
      </w:r>
    </w:p>
    <w:p w:rsidR="008440EF" w:rsidRDefault="008440EF" w:rsidP="0090764B">
      <w:pPr>
        <w:numPr>
          <w:ilvl w:val="0"/>
          <w:numId w:val="21"/>
        </w:numPr>
        <w:tabs>
          <w:tab w:val="left" w:pos="528"/>
        </w:tabs>
        <w:autoSpaceDE w:val="0"/>
        <w:autoSpaceDN w:val="0"/>
        <w:adjustRightInd w:val="0"/>
        <w:spacing w:before="120" w:after="120" w:line="245" w:lineRule="exact"/>
        <w:jc w:val="both"/>
        <w:rPr>
          <w:rFonts w:ascii="Cambria" w:eastAsia="Arial Unicode MS" w:hAnsi="Cambria"/>
          <w:sz w:val="20"/>
          <w:szCs w:val="20"/>
        </w:rPr>
      </w:pPr>
      <w:r>
        <w:rPr>
          <w:rFonts w:ascii="Cambria" w:eastAsia="Arial Unicode MS" w:hAnsi="Cambria"/>
          <w:sz w:val="20"/>
          <w:szCs w:val="20"/>
        </w:rPr>
        <w:t>особенностями региональной правовой базы, определяющей порядок совершения сделок с недвижимостью и формирующейся решениями государственных и местных органов власти.</w:t>
      </w:r>
    </w:p>
    <w:p w:rsidR="008440EF" w:rsidRDefault="008440EF" w:rsidP="008440EF">
      <w:pPr>
        <w:autoSpaceDE w:val="0"/>
        <w:autoSpaceDN w:val="0"/>
        <w:adjustRightInd w:val="0"/>
        <w:spacing w:before="120" w:after="120"/>
        <w:ind w:firstLine="709"/>
        <w:jc w:val="both"/>
        <w:rPr>
          <w:rFonts w:ascii="Cambria" w:eastAsiaTheme="minorEastAsia" w:hAnsi="Cambria"/>
          <w:sz w:val="20"/>
          <w:szCs w:val="20"/>
        </w:rPr>
      </w:pPr>
      <w:r>
        <w:rPr>
          <w:rFonts w:ascii="Cambria" w:eastAsiaTheme="minorEastAsia" w:hAnsi="Cambria"/>
          <w:b/>
          <w:i/>
          <w:sz w:val="20"/>
          <w:szCs w:val="20"/>
        </w:rPr>
        <w:t xml:space="preserve">Сегментированность рынка. </w:t>
      </w:r>
      <w:r>
        <w:rPr>
          <w:rFonts w:ascii="Cambria" w:eastAsiaTheme="minorEastAsia" w:hAnsi="Cambria"/>
          <w:sz w:val="20"/>
          <w:szCs w:val="20"/>
        </w:rPr>
        <w:t>Поскольку различные пользователи обладают  неодинаковыми потребностями и ресурсами.</w:t>
      </w:r>
    </w:p>
    <w:p w:rsidR="008440EF" w:rsidRDefault="008440EF" w:rsidP="008440EF">
      <w:pPr>
        <w:autoSpaceDE w:val="0"/>
        <w:autoSpaceDN w:val="0"/>
        <w:adjustRightInd w:val="0"/>
        <w:spacing w:before="120" w:after="120"/>
        <w:ind w:left="322" w:firstLine="709"/>
        <w:jc w:val="both"/>
        <w:rPr>
          <w:rFonts w:ascii="Cambria" w:eastAsiaTheme="minorEastAsia" w:hAnsi="Cambria"/>
          <w:sz w:val="20"/>
          <w:szCs w:val="20"/>
        </w:rPr>
      </w:pPr>
      <w:r>
        <w:rPr>
          <w:rFonts w:ascii="Cambria" w:eastAsiaTheme="minorEastAsia" w:hAnsi="Cambria"/>
          <w:sz w:val="20"/>
          <w:szCs w:val="20"/>
        </w:rPr>
        <w:t>Параметры, упитывающиеся для сегментации рынка по:</w:t>
      </w:r>
    </w:p>
    <w:p w:rsidR="008440EF" w:rsidRDefault="008440EF" w:rsidP="0090764B">
      <w:pPr>
        <w:numPr>
          <w:ilvl w:val="0"/>
          <w:numId w:val="18"/>
        </w:numPr>
        <w:tabs>
          <w:tab w:val="left" w:pos="528"/>
        </w:tabs>
        <w:autoSpaceDE w:val="0"/>
        <w:autoSpaceDN w:val="0"/>
        <w:adjustRightInd w:val="0"/>
        <w:spacing w:before="120" w:after="120" w:line="245" w:lineRule="exact"/>
        <w:ind w:left="528" w:firstLine="709"/>
        <w:jc w:val="both"/>
        <w:rPr>
          <w:rFonts w:ascii="Cambria" w:eastAsia="Arial Unicode MS" w:hAnsi="Cambria"/>
          <w:i/>
          <w:iCs/>
          <w:sz w:val="20"/>
          <w:szCs w:val="20"/>
        </w:rPr>
      </w:pPr>
      <w:r>
        <w:rPr>
          <w:rFonts w:ascii="Cambria" w:eastAsia="Arial Unicode MS" w:hAnsi="Cambria"/>
          <w:b/>
          <w:i/>
          <w:iCs/>
          <w:sz w:val="20"/>
          <w:szCs w:val="20"/>
        </w:rPr>
        <w:lastRenderedPageBreak/>
        <w:t>использованию</w:t>
      </w:r>
      <w:r>
        <w:rPr>
          <w:rFonts w:ascii="Cambria" w:eastAsia="Arial Unicode MS" w:hAnsi="Cambria"/>
          <w:i/>
          <w:iCs/>
          <w:sz w:val="20"/>
          <w:szCs w:val="20"/>
        </w:rPr>
        <w:t xml:space="preserve"> — </w:t>
      </w:r>
      <w:r>
        <w:rPr>
          <w:rFonts w:ascii="Cambria" w:eastAsia="Arial Unicode MS" w:hAnsi="Cambria"/>
          <w:sz w:val="20"/>
          <w:szCs w:val="20"/>
        </w:rPr>
        <w:t>для собственности жилого, коммерческого, промышленного и сельскохозяй</w:t>
      </w:r>
      <w:r>
        <w:rPr>
          <w:rFonts w:ascii="Cambria" w:eastAsia="Arial Unicode MS" w:hAnsi="Cambria"/>
          <w:sz w:val="20"/>
          <w:szCs w:val="20"/>
        </w:rPr>
        <w:softHyphen/>
        <w:t>ственного назначения существуют различные рынки;</w:t>
      </w:r>
    </w:p>
    <w:p w:rsidR="008440EF" w:rsidRDefault="008440EF" w:rsidP="0090764B">
      <w:pPr>
        <w:numPr>
          <w:ilvl w:val="0"/>
          <w:numId w:val="18"/>
        </w:numPr>
        <w:tabs>
          <w:tab w:val="left" w:pos="528"/>
        </w:tabs>
        <w:autoSpaceDE w:val="0"/>
        <w:autoSpaceDN w:val="0"/>
        <w:adjustRightInd w:val="0"/>
        <w:spacing w:before="120" w:after="120" w:line="245" w:lineRule="exact"/>
        <w:ind w:left="528" w:firstLine="709"/>
        <w:jc w:val="both"/>
        <w:rPr>
          <w:rFonts w:ascii="Cambria" w:eastAsia="Arial Unicode MS" w:hAnsi="Cambria"/>
          <w:i/>
          <w:iCs/>
          <w:sz w:val="20"/>
          <w:szCs w:val="20"/>
        </w:rPr>
      </w:pPr>
      <w:r>
        <w:rPr>
          <w:rFonts w:ascii="Cambria" w:eastAsia="Arial Unicode MS" w:hAnsi="Cambria"/>
          <w:b/>
          <w:i/>
          <w:iCs/>
          <w:sz w:val="20"/>
          <w:szCs w:val="20"/>
        </w:rPr>
        <w:t>географическому фактору</w:t>
      </w:r>
      <w:r>
        <w:rPr>
          <w:rFonts w:ascii="Cambria" w:eastAsia="Arial Unicode MS" w:hAnsi="Cambria"/>
          <w:i/>
          <w:iCs/>
          <w:sz w:val="20"/>
          <w:szCs w:val="20"/>
        </w:rPr>
        <w:t xml:space="preserve"> — </w:t>
      </w:r>
      <w:r>
        <w:rPr>
          <w:rFonts w:ascii="Cambria" w:eastAsia="Arial Unicode MS" w:hAnsi="Cambria"/>
          <w:sz w:val="20"/>
          <w:szCs w:val="20"/>
        </w:rPr>
        <w:t>каждый район города может представлять собой отдельный ры</w:t>
      </w:r>
      <w:r>
        <w:rPr>
          <w:rFonts w:ascii="Cambria" w:eastAsia="Arial Unicode MS" w:hAnsi="Cambria"/>
          <w:sz w:val="20"/>
          <w:szCs w:val="20"/>
        </w:rPr>
        <w:softHyphen/>
        <w:t>нок, так как в одной части города одни условия, а в другой — отличные от первых;</w:t>
      </w:r>
    </w:p>
    <w:p w:rsidR="008440EF" w:rsidRDefault="008440EF" w:rsidP="0090764B">
      <w:pPr>
        <w:numPr>
          <w:ilvl w:val="0"/>
          <w:numId w:val="18"/>
        </w:numPr>
        <w:tabs>
          <w:tab w:val="left" w:pos="528"/>
        </w:tabs>
        <w:autoSpaceDE w:val="0"/>
        <w:autoSpaceDN w:val="0"/>
        <w:adjustRightInd w:val="0"/>
        <w:spacing w:before="120" w:after="120" w:line="245" w:lineRule="exact"/>
        <w:ind w:left="528" w:firstLine="709"/>
        <w:jc w:val="both"/>
        <w:rPr>
          <w:rFonts w:ascii="Cambria" w:eastAsia="Arial Unicode MS" w:hAnsi="Cambria"/>
          <w:i/>
          <w:iCs/>
          <w:sz w:val="20"/>
          <w:szCs w:val="20"/>
        </w:rPr>
      </w:pPr>
      <w:r>
        <w:rPr>
          <w:rFonts w:ascii="Cambria" w:eastAsia="Arial Unicode MS" w:hAnsi="Cambria"/>
          <w:b/>
          <w:i/>
          <w:iCs/>
          <w:sz w:val="20"/>
          <w:szCs w:val="20"/>
        </w:rPr>
        <w:t>цене</w:t>
      </w:r>
      <w:r>
        <w:rPr>
          <w:rFonts w:ascii="Cambria" w:eastAsia="Arial Unicode MS" w:hAnsi="Cambria"/>
          <w:i/>
          <w:iCs/>
          <w:sz w:val="20"/>
          <w:szCs w:val="20"/>
        </w:rPr>
        <w:t xml:space="preserve"> — </w:t>
      </w:r>
      <w:r>
        <w:rPr>
          <w:rFonts w:ascii="Cambria" w:eastAsia="Arial Unicode MS" w:hAnsi="Cambria"/>
          <w:sz w:val="20"/>
          <w:szCs w:val="20"/>
        </w:rPr>
        <w:t>покупатели домов стоимостью 15-20 тыс. долл. будут иными, чем покупатели домов в 70-90 тыс. долл.;</w:t>
      </w:r>
    </w:p>
    <w:p w:rsidR="008440EF" w:rsidRDefault="008440EF" w:rsidP="0090764B">
      <w:pPr>
        <w:numPr>
          <w:ilvl w:val="0"/>
          <w:numId w:val="18"/>
        </w:numPr>
        <w:tabs>
          <w:tab w:val="left" w:pos="528"/>
        </w:tabs>
        <w:autoSpaceDE w:val="0"/>
        <w:autoSpaceDN w:val="0"/>
        <w:adjustRightInd w:val="0"/>
        <w:spacing w:before="120" w:after="120" w:line="245" w:lineRule="exact"/>
        <w:ind w:left="528" w:firstLine="709"/>
        <w:jc w:val="both"/>
        <w:rPr>
          <w:rFonts w:ascii="Cambria" w:eastAsia="Arial Unicode MS" w:hAnsi="Cambria"/>
          <w:i/>
          <w:iCs/>
          <w:sz w:val="20"/>
          <w:szCs w:val="20"/>
        </w:rPr>
      </w:pPr>
      <w:r>
        <w:rPr>
          <w:rFonts w:ascii="Cambria" w:eastAsia="Arial Unicode MS" w:hAnsi="Cambria"/>
          <w:b/>
          <w:i/>
          <w:iCs/>
          <w:sz w:val="20"/>
          <w:szCs w:val="20"/>
        </w:rPr>
        <w:t>качеству товара</w:t>
      </w:r>
      <w:r>
        <w:rPr>
          <w:rFonts w:ascii="Cambria" w:eastAsia="Arial Unicode MS" w:hAnsi="Cambria"/>
          <w:i/>
          <w:iCs/>
          <w:sz w:val="20"/>
          <w:szCs w:val="20"/>
        </w:rPr>
        <w:t xml:space="preserve"> — </w:t>
      </w:r>
      <w:r>
        <w:rPr>
          <w:rFonts w:ascii="Cambria" w:eastAsia="Arial Unicode MS" w:hAnsi="Cambria"/>
          <w:sz w:val="20"/>
          <w:szCs w:val="20"/>
        </w:rPr>
        <w:t xml:space="preserve">офисные помещения класса </w:t>
      </w:r>
      <w:r>
        <w:rPr>
          <w:rFonts w:ascii="Cambria" w:eastAsia="Arial Unicode MS" w:hAnsi="Cambria"/>
          <w:i/>
          <w:iCs/>
          <w:sz w:val="20"/>
          <w:szCs w:val="20"/>
        </w:rPr>
        <w:t xml:space="preserve">А </w:t>
      </w:r>
      <w:r>
        <w:rPr>
          <w:rFonts w:ascii="Cambria" w:eastAsia="Arial Unicode MS" w:hAnsi="Cambria"/>
          <w:sz w:val="20"/>
          <w:szCs w:val="20"/>
        </w:rPr>
        <w:t>могут принадлежать к совсем другому сег</w:t>
      </w:r>
      <w:r>
        <w:rPr>
          <w:rFonts w:ascii="Cambria" w:eastAsia="Arial Unicode MS" w:hAnsi="Cambria"/>
          <w:sz w:val="20"/>
          <w:szCs w:val="20"/>
        </w:rPr>
        <w:softHyphen/>
        <w:t xml:space="preserve">менту рынка, чем офисные помещения класса </w:t>
      </w:r>
      <w:r>
        <w:rPr>
          <w:rFonts w:ascii="Cambria" w:eastAsia="Arial Unicode MS" w:hAnsi="Cambria"/>
          <w:i/>
          <w:iCs/>
          <w:spacing w:val="20"/>
          <w:sz w:val="20"/>
          <w:szCs w:val="20"/>
        </w:rPr>
        <w:t>Д,</w:t>
      </w:r>
      <w:r>
        <w:rPr>
          <w:rFonts w:ascii="Cambria" w:eastAsia="Arial Unicode MS" w:hAnsi="Cambria"/>
          <w:i/>
          <w:iCs/>
          <w:sz w:val="20"/>
          <w:szCs w:val="20"/>
        </w:rPr>
        <w:t xml:space="preserve"> </w:t>
      </w:r>
      <w:r>
        <w:rPr>
          <w:rFonts w:ascii="Cambria" w:eastAsia="Arial Unicode MS" w:hAnsi="Cambria"/>
          <w:sz w:val="20"/>
          <w:szCs w:val="20"/>
        </w:rPr>
        <w:t>хотя оба находятся в одном районе города;</w:t>
      </w:r>
    </w:p>
    <w:p w:rsidR="008440EF" w:rsidRDefault="008440EF" w:rsidP="0090764B">
      <w:pPr>
        <w:numPr>
          <w:ilvl w:val="0"/>
          <w:numId w:val="18"/>
        </w:numPr>
        <w:tabs>
          <w:tab w:val="left" w:pos="528"/>
        </w:tabs>
        <w:autoSpaceDE w:val="0"/>
        <w:autoSpaceDN w:val="0"/>
        <w:adjustRightInd w:val="0"/>
        <w:spacing w:before="120" w:after="120" w:line="245" w:lineRule="exact"/>
        <w:ind w:left="528" w:firstLine="709"/>
        <w:jc w:val="both"/>
        <w:rPr>
          <w:rFonts w:ascii="Cambria" w:eastAsia="Arial Unicode MS" w:hAnsi="Cambria"/>
          <w:i/>
          <w:iCs/>
          <w:sz w:val="20"/>
          <w:szCs w:val="20"/>
        </w:rPr>
      </w:pPr>
      <w:r>
        <w:rPr>
          <w:rFonts w:ascii="Cambria" w:eastAsia="Arial Unicode MS" w:hAnsi="Cambria"/>
          <w:b/>
          <w:i/>
          <w:iCs/>
          <w:sz w:val="20"/>
          <w:szCs w:val="20"/>
        </w:rPr>
        <w:t>инвестиционной мотивации</w:t>
      </w:r>
      <w:r>
        <w:rPr>
          <w:rFonts w:ascii="Cambria" w:eastAsia="Arial Unicode MS" w:hAnsi="Cambria"/>
          <w:i/>
          <w:iCs/>
          <w:sz w:val="20"/>
          <w:szCs w:val="20"/>
        </w:rPr>
        <w:t xml:space="preserve"> — </w:t>
      </w:r>
      <w:r>
        <w:rPr>
          <w:rFonts w:ascii="Cambria" w:eastAsia="Arial Unicode MS" w:hAnsi="Cambria"/>
          <w:sz w:val="20"/>
          <w:szCs w:val="20"/>
        </w:rPr>
        <w:t>инвесторы могут быть заинтересованы в собственности, тре</w:t>
      </w:r>
      <w:r>
        <w:rPr>
          <w:rFonts w:ascii="Cambria" w:eastAsia="Arial Unicode MS" w:hAnsi="Cambria"/>
          <w:sz w:val="20"/>
          <w:szCs w:val="20"/>
        </w:rPr>
        <w:softHyphen/>
        <w:t>бующей минимум менеджмента, или не приносящей выгоды, или с большим потенциалом прироста стоимости и т.п.;</w:t>
      </w:r>
    </w:p>
    <w:p w:rsidR="008440EF" w:rsidRDefault="008440EF" w:rsidP="0090764B">
      <w:pPr>
        <w:numPr>
          <w:ilvl w:val="0"/>
          <w:numId w:val="18"/>
        </w:numPr>
        <w:tabs>
          <w:tab w:val="left" w:pos="528"/>
        </w:tabs>
        <w:autoSpaceDE w:val="0"/>
        <w:autoSpaceDN w:val="0"/>
        <w:adjustRightInd w:val="0"/>
        <w:spacing w:before="120" w:after="120" w:line="245" w:lineRule="exact"/>
        <w:ind w:left="528" w:firstLine="709"/>
        <w:jc w:val="both"/>
        <w:rPr>
          <w:rFonts w:ascii="Cambria" w:eastAsia="Arial Unicode MS" w:hAnsi="Cambria"/>
          <w:i/>
          <w:iCs/>
          <w:sz w:val="20"/>
          <w:szCs w:val="20"/>
        </w:rPr>
      </w:pPr>
      <w:r>
        <w:rPr>
          <w:rFonts w:ascii="Cambria" w:eastAsia="Arial Unicode MS" w:hAnsi="Cambria"/>
          <w:b/>
          <w:i/>
          <w:iCs/>
          <w:sz w:val="20"/>
          <w:szCs w:val="20"/>
        </w:rPr>
        <w:t>типу прав собственника</w:t>
      </w:r>
      <w:r>
        <w:rPr>
          <w:rFonts w:ascii="Cambria" w:eastAsia="Arial Unicode MS" w:hAnsi="Cambria"/>
          <w:i/>
          <w:iCs/>
          <w:sz w:val="20"/>
          <w:szCs w:val="20"/>
        </w:rPr>
        <w:t xml:space="preserve"> — </w:t>
      </w:r>
      <w:r>
        <w:rPr>
          <w:rFonts w:ascii="Cambria" w:eastAsia="Arial Unicode MS" w:hAnsi="Cambria"/>
          <w:sz w:val="20"/>
          <w:szCs w:val="20"/>
        </w:rPr>
        <w:t>для различных видов прав на недвижимость существуют различ</w:t>
      </w:r>
      <w:r>
        <w:rPr>
          <w:rFonts w:ascii="Cambria" w:eastAsia="Arial Unicode MS" w:hAnsi="Cambria"/>
          <w:sz w:val="20"/>
          <w:szCs w:val="20"/>
        </w:rPr>
        <w:softHyphen/>
        <w:t>ные рынки. Эти права могут включать неограниченные права собственности, сервитута, пра</w:t>
      </w:r>
      <w:r>
        <w:rPr>
          <w:rFonts w:ascii="Cambria" w:eastAsia="Arial Unicode MS" w:hAnsi="Cambria"/>
          <w:sz w:val="20"/>
          <w:szCs w:val="20"/>
        </w:rPr>
        <w:softHyphen/>
        <w:t>ва на недра, аренду и т.д.</w:t>
      </w:r>
    </w:p>
    <w:p w:rsidR="008440EF" w:rsidRDefault="008440EF" w:rsidP="008440EF">
      <w:pPr>
        <w:autoSpaceDE w:val="0"/>
        <w:autoSpaceDN w:val="0"/>
        <w:adjustRightInd w:val="0"/>
        <w:spacing w:before="120" w:after="120"/>
        <w:ind w:firstLine="709"/>
        <w:jc w:val="both"/>
        <w:rPr>
          <w:rFonts w:ascii="Cambria" w:eastAsiaTheme="minorEastAsia" w:hAnsi="Cambria"/>
          <w:sz w:val="20"/>
          <w:szCs w:val="20"/>
        </w:rPr>
      </w:pPr>
      <w:r>
        <w:rPr>
          <w:rFonts w:ascii="Cambria" w:eastAsiaTheme="minorEastAsia" w:hAnsi="Cambria"/>
          <w:b/>
          <w:i/>
          <w:sz w:val="20"/>
          <w:szCs w:val="20"/>
        </w:rPr>
        <w:t>Персонализированость рынка</w:t>
      </w:r>
      <w:r>
        <w:rPr>
          <w:rFonts w:ascii="Cambria" w:eastAsiaTheme="minorEastAsia" w:hAnsi="Cambria"/>
          <w:sz w:val="20"/>
          <w:szCs w:val="20"/>
        </w:rPr>
        <w:t>. Сделки с недвижимостью по своей природе носят частный ха</w:t>
      </w:r>
      <w:r>
        <w:rPr>
          <w:rFonts w:ascii="Cambria" w:eastAsiaTheme="minorEastAsia" w:hAnsi="Cambria"/>
          <w:sz w:val="20"/>
          <w:szCs w:val="20"/>
        </w:rPr>
        <w:softHyphen/>
        <w:t>рактер. Некоторые события происходят из-за эмоций или недостаточной информированности отдельных участников. Покупатель или продавец может выносить свои суждения на основе слу</w:t>
      </w:r>
      <w:r>
        <w:rPr>
          <w:rFonts w:ascii="Cambria" w:eastAsiaTheme="minorEastAsia" w:hAnsi="Cambria"/>
          <w:sz w:val="20"/>
          <w:szCs w:val="20"/>
        </w:rPr>
        <w:softHyphen/>
        <w:t>хов или неопределенных психологических потребностей. В результате — образуется широкий диапазон цен продажи, предложенных условий и других аспектов сделок, следовательно, это бо</w:t>
      </w:r>
      <w:r>
        <w:rPr>
          <w:rFonts w:ascii="Cambria" w:eastAsiaTheme="minorEastAsia" w:hAnsi="Cambria"/>
          <w:sz w:val="20"/>
          <w:szCs w:val="20"/>
        </w:rPr>
        <w:softHyphen/>
        <w:t>лее закрытый рынок, чем рынок движимых товаров (услуг). Сделки персонифицированы, носят частный характер, и часто информация не соответствует действительным условиям совершения сделок. В отличие от высокоорганизованных рынков, на которых преобладают публичные (преимуще</w:t>
      </w:r>
      <w:r>
        <w:rPr>
          <w:rFonts w:ascii="Cambria" w:eastAsiaTheme="minorEastAsia" w:hAnsi="Cambria"/>
          <w:sz w:val="20"/>
          <w:szCs w:val="20"/>
        </w:rPr>
        <w:softHyphen/>
        <w:t>ственно биржевые) сделки, на рынках недвижимости сделки носят частный характер и обычно со</w:t>
      </w:r>
      <w:r>
        <w:rPr>
          <w:rFonts w:ascii="Cambria" w:eastAsiaTheme="minorEastAsia" w:hAnsi="Cambria"/>
          <w:sz w:val="20"/>
          <w:szCs w:val="20"/>
        </w:rPr>
        <w:softHyphen/>
        <w:t>вершаются в результате относительно длительных переговоров и «торга» сторон. Сделки с недви</w:t>
      </w:r>
      <w:r>
        <w:rPr>
          <w:rFonts w:ascii="Cambria" w:eastAsiaTheme="minorEastAsia" w:hAnsi="Cambria"/>
          <w:sz w:val="20"/>
          <w:szCs w:val="20"/>
        </w:rPr>
        <w:softHyphen/>
        <w:t>жимостью часто требуют не только физического контакта покупателя с объектом, но и личных встреч с продавцом. Даже в тех случаях, когда сделка совершается при посредничестве специали</w:t>
      </w:r>
      <w:r>
        <w:rPr>
          <w:rFonts w:ascii="Cambria" w:eastAsiaTheme="minorEastAsia" w:hAnsi="Cambria"/>
          <w:sz w:val="20"/>
          <w:szCs w:val="20"/>
        </w:rPr>
        <w:softHyphen/>
        <w:t>зированных риэлторских фирм, ответы на многие вопросы, представляющиеся покупателю суще</w:t>
      </w:r>
      <w:r>
        <w:rPr>
          <w:rFonts w:ascii="Cambria" w:eastAsiaTheme="minorEastAsia" w:hAnsi="Cambria"/>
          <w:sz w:val="20"/>
          <w:szCs w:val="20"/>
        </w:rPr>
        <w:softHyphen/>
        <w:t>ственными, могут быть получены только в личной беседе с продавцом.</w:t>
      </w:r>
    </w:p>
    <w:p w:rsidR="008440EF" w:rsidRDefault="008440EF" w:rsidP="008440EF">
      <w:pPr>
        <w:autoSpaceDE w:val="0"/>
        <w:autoSpaceDN w:val="0"/>
        <w:adjustRightInd w:val="0"/>
        <w:spacing w:before="120" w:after="120"/>
        <w:ind w:right="5" w:firstLine="709"/>
        <w:jc w:val="both"/>
        <w:rPr>
          <w:rFonts w:ascii="Cambria" w:eastAsiaTheme="minorEastAsia" w:hAnsi="Cambria"/>
          <w:sz w:val="20"/>
          <w:szCs w:val="20"/>
        </w:rPr>
      </w:pPr>
      <w:r>
        <w:rPr>
          <w:rFonts w:ascii="Cambria" w:eastAsiaTheme="minorEastAsia" w:hAnsi="Cambria"/>
          <w:b/>
          <w:i/>
          <w:sz w:val="20"/>
          <w:szCs w:val="20"/>
        </w:rPr>
        <w:t>Специфичность информации на рынках недвижимости</w:t>
      </w:r>
      <w:r>
        <w:rPr>
          <w:rFonts w:ascii="Cambria" w:eastAsiaTheme="minorEastAsia" w:hAnsi="Cambria"/>
          <w:sz w:val="20"/>
          <w:szCs w:val="20"/>
        </w:rPr>
        <w:t>. Если высокоорганизованные рынки на</w:t>
      </w:r>
      <w:r>
        <w:rPr>
          <w:rFonts w:ascii="Cambria" w:eastAsiaTheme="minorEastAsia" w:hAnsi="Cambria"/>
          <w:sz w:val="20"/>
          <w:szCs w:val="20"/>
        </w:rPr>
        <w:softHyphen/>
        <w:t>ходятся под пристальным наблюдением множества участников, аналитиков и исследователей, об</w:t>
      </w:r>
      <w:r>
        <w:rPr>
          <w:rFonts w:ascii="Cambria" w:eastAsiaTheme="minorEastAsia" w:hAnsi="Cambria"/>
          <w:sz w:val="20"/>
          <w:szCs w:val="20"/>
        </w:rPr>
        <w:softHyphen/>
        <w:t>ладают развитыми системами сбора, обработки и распространения информации, то рынкам недви</w:t>
      </w:r>
      <w:r>
        <w:rPr>
          <w:rFonts w:ascii="Cambria" w:eastAsiaTheme="minorEastAsia" w:hAnsi="Cambria"/>
          <w:sz w:val="20"/>
          <w:szCs w:val="20"/>
        </w:rPr>
        <w:softHyphen/>
        <w:t>жимости в силу частного характера сделок присущи труднодоступность, неполнота и нередко не</w:t>
      </w:r>
      <w:r>
        <w:rPr>
          <w:rFonts w:ascii="Cambria" w:eastAsiaTheme="minorEastAsia" w:hAnsi="Cambria"/>
          <w:sz w:val="20"/>
          <w:szCs w:val="20"/>
        </w:rPr>
        <w:softHyphen/>
        <w:t>достоверность получаемой информации.</w:t>
      </w:r>
    </w:p>
    <w:p w:rsidR="008440EF" w:rsidRDefault="008440EF" w:rsidP="008440EF">
      <w:pPr>
        <w:autoSpaceDE w:val="0"/>
        <w:autoSpaceDN w:val="0"/>
        <w:adjustRightInd w:val="0"/>
        <w:spacing w:before="120" w:after="120"/>
        <w:ind w:firstLine="709"/>
        <w:jc w:val="both"/>
        <w:rPr>
          <w:rFonts w:ascii="Cambria" w:eastAsiaTheme="minorEastAsia" w:hAnsi="Cambria"/>
          <w:sz w:val="20"/>
          <w:szCs w:val="20"/>
        </w:rPr>
      </w:pPr>
      <w:r>
        <w:rPr>
          <w:rFonts w:ascii="Cambria" w:eastAsiaTheme="minorEastAsia" w:hAnsi="Cambria"/>
          <w:b/>
          <w:i/>
          <w:sz w:val="20"/>
          <w:szCs w:val="20"/>
        </w:rPr>
        <w:t>Нерациональность факторов в сделках с недвижимостью</w:t>
      </w:r>
      <w:r>
        <w:rPr>
          <w:rFonts w:ascii="Cambria" w:eastAsiaTheme="minorEastAsia" w:hAnsi="Cambria"/>
          <w:sz w:val="20"/>
          <w:szCs w:val="20"/>
        </w:rPr>
        <w:t>. В сделках с таким товаром, как недвижимость, поведение людей в значительно большей степени подвержено комплексу рефлекторных действий, импульсов, инстинктов, привычек, настроений.</w:t>
      </w:r>
    </w:p>
    <w:p w:rsidR="008440EF" w:rsidRDefault="008440EF" w:rsidP="008440EF">
      <w:pPr>
        <w:autoSpaceDE w:val="0"/>
        <w:autoSpaceDN w:val="0"/>
        <w:adjustRightInd w:val="0"/>
        <w:spacing w:before="120" w:after="120"/>
        <w:ind w:firstLine="709"/>
        <w:jc w:val="both"/>
        <w:rPr>
          <w:rFonts w:ascii="Cambria" w:eastAsia="Arial Unicode MS" w:hAnsi="Cambria"/>
          <w:sz w:val="20"/>
          <w:szCs w:val="20"/>
        </w:rPr>
      </w:pPr>
      <w:r>
        <w:rPr>
          <w:rFonts w:ascii="Cambria" w:eastAsia="Arial Unicode MS" w:hAnsi="Cambria"/>
          <w:sz w:val="20"/>
          <w:szCs w:val="20"/>
        </w:rPr>
        <w:t>Характерной чертой рынка недвижимости  является его цикличность.</w:t>
      </w:r>
    </w:p>
    <w:p w:rsidR="008440EF" w:rsidRDefault="008440EF" w:rsidP="008440EF">
      <w:pPr>
        <w:autoSpaceDE w:val="0"/>
        <w:autoSpaceDN w:val="0"/>
        <w:adjustRightInd w:val="0"/>
        <w:spacing w:before="120" w:after="120"/>
        <w:ind w:firstLine="709"/>
        <w:jc w:val="both"/>
        <w:rPr>
          <w:rFonts w:ascii="Cambria" w:eastAsia="Arial Unicode MS" w:hAnsi="Cambria"/>
          <w:b/>
          <w:i/>
          <w:sz w:val="20"/>
          <w:szCs w:val="20"/>
        </w:rPr>
      </w:pPr>
      <w:r>
        <w:rPr>
          <w:rFonts w:ascii="Cambria" w:eastAsia="Arial Unicode MS" w:hAnsi="Cambria"/>
          <w:sz w:val="20"/>
          <w:szCs w:val="20"/>
        </w:rPr>
        <w:t>Все циклические процессы (колебания) на рынке недвижимости принято делить на флуктуа</w:t>
      </w:r>
      <w:r>
        <w:rPr>
          <w:rFonts w:ascii="Cambria" w:eastAsia="Arial Unicode MS" w:hAnsi="Cambria"/>
          <w:sz w:val="20"/>
          <w:szCs w:val="20"/>
        </w:rPr>
        <w:softHyphen/>
        <w:t>ции и тенденции (тренды)</w:t>
      </w:r>
    </w:p>
    <w:p w:rsidR="008440EF" w:rsidRDefault="008440EF" w:rsidP="008440EF">
      <w:pPr>
        <w:autoSpaceDE w:val="0"/>
        <w:autoSpaceDN w:val="0"/>
        <w:adjustRightInd w:val="0"/>
        <w:spacing w:before="120" w:after="120" w:line="245" w:lineRule="exact"/>
        <w:ind w:right="10" w:firstLine="709"/>
        <w:jc w:val="both"/>
        <w:rPr>
          <w:rFonts w:ascii="Cambria" w:eastAsia="Arial Unicode MS" w:hAnsi="Cambria"/>
          <w:sz w:val="20"/>
          <w:szCs w:val="20"/>
        </w:rPr>
      </w:pPr>
      <w:r>
        <w:rPr>
          <w:rFonts w:ascii="Cambria" w:eastAsia="Arial Unicode MS" w:hAnsi="Cambria"/>
          <w:b/>
          <w:i/>
          <w:sz w:val="20"/>
          <w:szCs w:val="20"/>
        </w:rPr>
        <w:t xml:space="preserve">Флуктуации </w:t>
      </w:r>
      <w:r>
        <w:rPr>
          <w:rFonts w:ascii="Cambria" w:eastAsia="Arial Unicode MS" w:hAnsi="Cambria"/>
          <w:sz w:val="20"/>
          <w:szCs w:val="20"/>
        </w:rPr>
        <w:t>рынка недвижимости (</w:t>
      </w:r>
      <w:r>
        <w:rPr>
          <w:rFonts w:ascii="Cambria" w:eastAsia="Arial Unicode MS" w:hAnsi="Cambria"/>
          <w:sz w:val="20"/>
          <w:szCs w:val="20"/>
          <w:lang w:val="en-US"/>
        </w:rPr>
        <w:t>real</w:t>
      </w:r>
      <w:r w:rsidRPr="008440EF">
        <w:rPr>
          <w:rFonts w:ascii="Cambria" w:eastAsia="Arial Unicode MS" w:hAnsi="Cambria"/>
          <w:sz w:val="20"/>
          <w:szCs w:val="20"/>
        </w:rPr>
        <w:t xml:space="preserve"> </w:t>
      </w:r>
      <w:r>
        <w:rPr>
          <w:rFonts w:ascii="Cambria" w:eastAsia="Arial Unicode MS" w:hAnsi="Cambria"/>
          <w:sz w:val="20"/>
          <w:szCs w:val="20"/>
          <w:lang w:val="en-US"/>
        </w:rPr>
        <w:t>estate</w:t>
      </w:r>
      <w:r w:rsidRPr="008440EF">
        <w:rPr>
          <w:rFonts w:ascii="Cambria" w:eastAsia="Arial Unicode MS" w:hAnsi="Cambria"/>
          <w:sz w:val="20"/>
          <w:szCs w:val="20"/>
        </w:rPr>
        <w:t xml:space="preserve"> </w:t>
      </w:r>
      <w:r>
        <w:rPr>
          <w:rFonts w:ascii="Cambria" w:eastAsia="Arial Unicode MS" w:hAnsi="Cambria"/>
          <w:sz w:val="20"/>
          <w:szCs w:val="20"/>
          <w:lang w:val="en-US"/>
        </w:rPr>
        <w:t>fluctuations</w:t>
      </w:r>
      <w:r>
        <w:rPr>
          <w:rFonts w:ascii="Cambria" w:eastAsia="Arial Unicode MS" w:hAnsi="Cambria"/>
          <w:sz w:val="20"/>
          <w:szCs w:val="20"/>
        </w:rPr>
        <w:t>) — это случайные краткосрочные из</w:t>
      </w:r>
      <w:r>
        <w:rPr>
          <w:rFonts w:ascii="Cambria" w:eastAsia="Arial Unicode MS" w:hAnsi="Cambria"/>
          <w:sz w:val="20"/>
          <w:szCs w:val="20"/>
        </w:rPr>
        <w:softHyphen/>
        <w:t>менения цен и арендных ставок, обычно длящиеся от одного-двух дней до нескольких месяцев. В отличие от тенденций рынка недвижимости, колебания обычно не являются следствием взаимо</w:t>
      </w:r>
      <w:r>
        <w:rPr>
          <w:rFonts w:ascii="Cambria" w:eastAsia="Arial Unicode MS" w:hAnsi="Cambria"/>
          <w:sz w:val="20"/>
          <w:szCs w:val="20"/>
        </w:rPr>
        <w:softHyphen/>
        <w:t>действия спроса и предложения. Их причина — силы, действующие на рынок извне. Например, природные катаклизмы, такие как ураганы или землетрясения, могут стать причиной колебаний и срывов на местном рынке недвижимости. Местные колебания также могут стать следствием спеку</w:t>
      </w:r>
      <w:r>
        <w:rPr>
          <w:rFonts w:ascii="Cambria" w:eastAsia="Arial Unicode MS" w:hAnsi="Cambria"/>
          <w:sz w:val="20"/>
          <w:szCs w:val="20"/>
        </w:rPr>
        <w:softHyphen/>
        <w:t>ляции на крупном работодателе, приходящем в район или живущем в нем.</w:t>
      </w:r>
    </w:p>
    <w:p w:rsidR="008440EF" w:rsidRDefault="008440EF" w:rsidP="008440EF">
      <w:pPr>
        <w:autoSpaceDE w:val="0"/>
        <w:autoSpaceDN w:val="0"/>
        <w:adjustRightInd w:val="0"/>
        <w:spacing w:before="120" w:after="120" w:line="245" w:lineRule="exact"/>
        <w:ind w:firstLine="709"/>
        <w:jc w:val="both"/>
        <w:rPr>
          <w:rFonts w:ascii="Cambria" w:eastAsiaTheme="minorHAnsi" w:hAnsi="Cambria" w:cstheme="minorBidi"/>
          <w:sz w:val="20"/>
          <w:szCs w:val="20"/>
        </w:rPr>
      </w:pPr>
      <w:r>
        <w:rPr>
          <w:rFonts w:ascii="Cambria" w:eastAsia="Arial Unicode MS" w:hAnsi="Cambria"/>
          <w:sz w:val="20"/>
          <w:szCs w:val="20"/>
        </w:rPr>
        <w:t>Анализ рынка, как правило, не имеет дела с флуктуациями, поскольку их невозможно пред</w:t>
      </w:r>
      <w:r>
        <w:rPr>
          <w:rFonts w:ascii="Cambria" w:eastAsia="Arial Unicode MS" w:hAnsi="Cambria"/>
          <w:sz w:val="20"/>
          <w:szCs w:val="20"/>
        </w:rPr>
        <w:softHyphen/>
        <w:t>сказать и нельзя ожидать, что они будут длительными. Тем не менее, зная о них, участник рынка недвижимости может воспользоваться преимуществами важных альтернатив и возможностей выбора времени.</w:t>
      </w:r>
    </w:p>
    <w:p w:rsidR="00DC365C" w:rsidRPr="00DC365C" w:rsidRDefault="00DC365C" w:rsidP="00DC365C">
      <w:pPr>
        <w:autoSpaceDE w:val="0"/>
        <w:autoSpaceDN w:val="0"/>
        <w:adjustRightInd w:val="0"/>
        <w:spacing w:before="100" w:beforeAutospacing="1" w:after="100" w:afterAutospacing="1" w:line="245" w:lineRule="exact"/>
        <w:ind w:firstLine="709"/>
        <w:jc w:val="both"/>
        <w:rPr>
          <w:rFonts w:asciiTheme="majorHAnsi" w:eastAsia="Arial Unicode MS" w:hAnsiTheme="majorHAnsi"/>
          <w:sz w:val="20"/>
          <w:szCs w:val="22"/>
        </w:rPr>
      </w:pPr>
      <w:r w:rsidRPr="00DC365C">
        <w:rPr>
          <w:rFonts w:asciiTheme="majorHAnsi" w:eastAsia="Arial Unicode MS" w:hAnsiTheme="majorHAnsi"/>
          <w:b/>
          <w:i/>
          <w:sz w:val="20"/>
          <w:szCs w:val="22"/>
        </w:rPr>
        <w:t xml:space="preserve">Тенденции </w:t>
      </w:r>
      <w:r w:rsidRPr="00DC365C">
        <w:rPr>
          <w:rFonts w:asciiTheme="majorHAnsi" w:eastAsia="Arial Unicode MS" w:hAnsiTheme="majorHAnsi"/>
          <w:sz w:val="20"/>
          <w:szCs w:val="22"/>
        </w:rPr>
        <w:t>рынка недвижимости (</w:t>
      </w:r>
      <w:r w:rsidRPr="00DC365C">
        <w:rPr>
          <w:rFonts w:asciiTheme="majorHAnsi" w:eastAsia="Arial Unicode MS" w:hAnsiTheme="majorHAnsi"/>
          <w:sz w:val="20"/>
          <w:szCs w:val="22"/>
          <w:lang w:val="en-US"/>
        </w:rPr>
        <w:t>real</w:t>
      </w:r>
      <w:r w:rsidRPr="00DC365C">
        <w:rPr>
          <w:rFonts w:asciiTheme="majorHAnsi" w:eastAsia="Arial Unicode MS" w:hAnsiTheme="majorHAnsi"/>
          <w:sz w:val="20"/>
          <w:szCs w:val="22"/>
        </w:rPr>
        <w:t xml:space="preserve"> </w:t>
      </w:r>
      <w:r w:rsidRPr="00DC365C">
        <w:rPr>
          <w:rFonts w:asciiTheme="majorHAnsi" w:eastAsia="Arial Unicode MS" w:hAnsiTheme="majorHAnsi"/>
          <w:sz w:val="20"/>
          <w:szCs w:val="22"/>
          <w:lang w:val="en-US"/>
        </w:rPr>
        <w:t>estate</w:t>
      </w:r>
      <w:r w:rsidRPr="00DC365C">
        <w:rPr>
          <w:rFonts w:asciiTheme="majorHAnsi" w:eastAsia="Arial Unicode MS" w:hAnsiTheme="majorHAnsi"/>
          <w:sz w:val="20"/>
          <w:szCs w:val="22"/>
        </w:rPr>
        <w:t xml:space="preserve"> </w:t>
      </w:r>
      <w:r w:rsidRPr="00DC365C">
        <w:rPr>
          <w:rFonts w:asciiTheme="majorHAnsi" w:eastAsia="Arial Unicode MS" w:hAnsiTheme="majorHAnsi"/>
          <w:sz w:val="20"/>
          <w:szCs w:val="22"/>
          <w:lang w:val="en-US"/>
        </w:rPr>
        <w:t>trends</w:t>
      </w:r>
      <w:r w:rsidRPr="00DC365C">
        <w:rPr>
          <w:rFonts w:asciiTheme="majorHAnsi" w:eastAsia="Arial Unicode MS" w:hAnsiTheme="majorHAnsi"/>
          <w:sz w:val="20"/>
          <w:szCs w:val="22"/>
        </w:rPr>
        <w:t>) — это среднесрочные и долгосрочные движе</w:t>
      </w:r>
      <w:r w:rsidRPr="00DC365C">
        <w:rPr>
          <w:rFonts w:asciiTheme="majorHAnsi" w:eastAsia="Arial Unicode MS" w:hAnsiTheme="majorHAnsi"/>
          <w:sz w:val="20"/>
          <w:szCs w:val="22"/>
        </w:rPr>
        <w:softHyphen/>
        <w:t>ния рынка под воздействием изменения (в первую очередь) спроса. Тенденции часто являются следствием изменения демографической ситуации (изменение потока мигрантов с положительно</w:t>
      </w:r>
      <w:r w:rsidRPr="00DC365C">
        <w:rPr>
          <w:rFonts w:asciiTheme="majorHAnsi" w:eastAsia="Arial Unicode MS" w:hAnsiTheme="majorHAnsi"/>
          <w:sz w:val="20"/>
          <w:szCs w:val="22"/>
        </w:rPr>
        <w:softHyphen/>
        <w:t>го на отрицательный, или наоборот), экономической ситуации в стране (общий рост доходов насе</w:t>
      </w:r>
      <w:r w:rsidRPr="00DC365C">
        <w:rPr>
          <w:rFonts w:asciiTheme="majorHAnsi" w:eastAsia="Arial Unicode MS" w:hAnsiTheme="majorHAnsi"/>
          <w:sz w:val="20"/>
          <w:szCs w:val="22"/>
        </w:rPr>
        <w:softHyphen/>
        <w:t xml:space="preserve">ления, приток капитала с </w:t>
      </w:r>
      <w:r w:rsidRPr="00DC365C">
        <w:rPr>
          <w:rFonts w:asciiTheme="majorHAnsi" w:eastAsia="Arial Unicode MS" w:hAnsiTheme="majorHAnsi"/>
          <w:sz w:val="20"/>
          <w:szCs w:val="22"/>
        </w:rPr>
        <w:lastRenderedPageBreak/>
        <w:t>других рынков), в регионе (появление новых производств или прекраще</w:t>
      </w:r>
      <w:r w:rsidRPr="00DC365C">
        <w:rPr>
          <w:rFonts w:asciiTheme="majorHAnsi" w:eastAsia="Arial Unicode MS" w:hAnsiTheme="majorHAnsi"/>
          <w:sz w:val="20"/>
          <w:szCs w:val="22"/>
        </w:rPr>
        <w:softHyphen/>
        <w:t>ние работы ранее функционирующих, особенно градообразующих).</w:t>
      </w:r>
    </w:p>
    <w:p w:rsidR="00DC365C" w:rsidRPr="00DC365C" w:rsidRDefault="00DC365C" w:rsidP="00DC365C">
      <w:pPr>
        <w:autoSpaceDE w:val="0"/>
        <w:autoSpaceDN w:val="0"/>
        <w:adjustRightInd w:val="0"/>
        <w:spacing w:before="100" w:beforeAutospacing="1" w:after="100" w:afterAutospacing="1" w:line="245" w:lineRule="exact"/>
        <w:ind w:firstLine="709"/>
        <w:jc w:val="both"/>
        <w:rPr>
          <w:rFonts w:asciiTheme="majorHAnsi" w:eastAsia="Arial Unicode MS" w:hAnsiTheme="majorHAnsi"/>
          <w:sz w:val="20"/>
          <w:szCs w:val="22"/>
        </w:rPr>
      </w:pPr>
      <w:r w:rsidRPr="00DC365C">
        <w:rPr>
          <w:rFonts w:asciiTheme="majorHAnsi" w:eastAsia="Arial Unicode MS" w:hAnsiTheme="majorHAnsi"/>
          <w:sz w:val="20"/>
          <w:szCs w:val="22"/>
        </w:rPr>
        <w:t>Тенденции происходят медленно с течением времени; их влияние на рынок недвижимости сла</w:t>
      </w:r>
      <w:r w:rsidRPr="00DC365C">
        <w:rPr>
          <w:rFonts w:asciiTheme="majorHAnsi" w:eastAsia="Arial Unicode MS" w:hAnsiTheme="majorHAnsi"/>
          <w:sz w:val="20"/>
          <w:szCs w:val="22"/>
        </w:rPr>
        <w:softHyphen/>
        <w:t>бо, если смотреть с точки зрения краткосрочного периода времени, но в среднесрочной и долго</w:t>
      </w:r>
      <w:r w:rsidRPr="00DC365C">
        <w:rPr>
          <w:rFonts w:asciiTheme="majorHAnsi" w:eastAsia="Arial Unicode MS" w:hAnsiTheme="majorHAnsi"/>
          <w:sz w:val="20"/>
          <w:szCs w:val="22"/>
        </w:rPr>
        <w:softHyphen/>
        <w:t>срочной перспективе тенденции могут привести к значительным изменениям состояния рынка. Изучение тенденций — основная задача анализа рынка недвижимости.</w:t>
      </w:r>
    </w:p>
    <w:p w:rsidR="00DC365C" w:rsidRPr="00DC365C" w:rsidRDefault="00DC365C" w:rsidP="00DC365C">
      <w:pPr>
        <w:autoSpaceDE w:val="0"/>
        <w:autoSpaceDN w:val="0"/>
        <w:adjustRightInd w:val="0"/>
        <w:spacing w:before="86" w:line="245" w:lineRule="exact"/>
        <w:ind w:firstLine="709"/>
        <w:jc w:val="both"/>
        <w:rPr>
          <w:rFonts w:asciiTheme="majorHAnsi" w:eastAsia="Arial Unicode MS" w:hAnsiTheme="majorHAnsi"/>
          <w:sz w:val="20"/>
          <w:szCs w:val="22"/>
        </w:rPr>
      </w:pPr>
      <w:r w:rsidRPr="00DC365C">
        <w:rPr>
          <w:rFonts w:asciiTheme="majorHAnsi" w:eastAsia="Arial Unicode MS" w:hAnsiTheme="majorHAnsi"/>
          <w:b/>
          <w:sz w:val="20"/>
          <w:szCs w:val="22"/>
        </w:rPr>
        <w:t>Циклы рынка недвижимости</w:t>
      </w:r>
      <w:r w:rsidRPr="00DC365C">
        <w:rPr>
          <w:rFonts w:asciiTheme="majorHAnsi" w:eastAsia="Arial Unicode MS" w:hAnsiTheme="majorHAnsi"/>
          <w:sz w:val="20"/>
          <w:szCs w:val="22"/>
        </w:rPr>
        <w:t xml:space="preserve"> представляют собой определенные движения (подъемы и падения) объема и цен рынка во времени (рис. 11). Циклы от начала подъема и до начала следующего подъе</w:t>
      </w:r>
      <w:r w:rsidRPr="00DC365C">
        <w:rPr>
          <w:rFonts w:asciiTheme="majorHAnsi" w:eastAsia="Arial Unicode MS" w:hAnsiTheme="majorHAnsi"/>
          <w:sz w:val="20"/>
          <w:szCs w:val="22"/>
        </w:rPr>
        <w:softHyphen/>
        <w:t>ма занимают довольно продолжительные периоды времени: в странах с развитой рыночной эконо</w:t>
      </w:r>
      <w:r w:rsidRPr="00DC365C">
        <w:rPr>
          <w:rFonts w:asciiTheme="majorHAnsi" w:eastAsia="Arial Unicode MS" w:hAnsiTheme="majorHAnsi"/>
          <w:sz w:val="20"/>
          <w:szCs w:val="22"/>
        </w:rPr>
        <w:softHyphen/>
        <w:t>микой — от 2 или 3 лет до 20-30.</w:t>
      </w:r>
    </w:p>
    <w:p w:rsidR="00DC365C" w:rsidRPr="00DC365C" w:rsidRDefault="00DC365C" w:rsidP="00DC365C">
      <w:pPr>
        <w:autoSpaceDE w:val="0"/>
        <w:autoSpaceDN w:val="0"/>
        <w:adjustRightInd w:val="0"/>
        <w:spacing w:before="120" w:line="245" w:lineRule="exact"/>
        <w:ind w:firstLine="709"/>
        <w:jc w:val="both"/>
        <w:rPr>
          <w:rFonts w:asciiTheme="majorHAnsi" w:eastAsia="Arial Unicode MS" w:hAnsiTheme="majorHAnsi"/>
          <w:sz w:val="20"/>
          <w:szCs w:val="22"/>
        </w:rPr>
      </w:pPr>
      <w:r w:rsidRPr="00DC365C">
        <w:rPr>
          <w:rFonts w:asciiTheme="majorHAnsi" w:eastAsia="Arial Unicode MS" w:hAnsiTheme="majorHAnsi"/>
          <w:sz w:val="20"/>
          <w:szCs w:val="22"/>
        </w:rPr>
        <w:t>Тем не менее циклы рынка недвижимости не являются гармоническими, в точности похожими один на другой. Они не повторяются регулярно, с одинаковым периодом и амплитудой. Каждый цикл отличается от предыдущих циклов причинами, продолжительностью, глубиной и влиянием на различные типы собственности и регионы</w:t>
      </w:r>
      <w:r w:rsidRPr="00DC365C">
        <w:rPr>
          <w:rFonts w:asciiTheme="majorHAnsi" w:eastAsia="Arial Unicode MS" w:hAnsiTheme="majorHAnsi"/>
          <w:sz w:val="20"/>
          <w:szCs w:val="22"/>
          <w:vertAlign w:val="superscript"/>
        </w:rPr>
        <w:t>1</w:t>
      </w:r>
      <w:r w:rsidRPr="00DC365C">
        <w:rPr>
          <w:rFonts w:asciiTheme="majorHAnsi" w:eastAsia="Arial Unicode MS" w:hAnsiTheme="majorHAnsi"/>
          <w:sz w:val="20"/>
          <w:szCs w:val="22"/>
        </w:rPr>
        <w:t>. Другими словами, циклы на рынке недвижимости характеризуются апериодичностью (полуциклы имеют различную длину) и полиамплитудностью (высота каждого полуцикла может существенно различаться).</w:t>
      </w:r>
    </w:p>
    <w:p w:rsidR="00DC365C" w:rsidRPr="00DC365C" w:rsidRDefault="00DC365C" w:rsidP="00DC365C">
      <w:pPr>
        <w:autoSpaceDE w:val="0"/>
        <w:autoSpaceDN w:val="0"/>
        <w:adjustRightInd w:val="0"/>
        <w:spacing w:before="100" w:beforeAutospacing="1" w:after="100" w:afterAutospacing="1"/>
        <w:jc w:val="center"/>
        <w:rPr>
          <w:rFonts w:asciiTheme="majorHAnsi" w:eastAsiaTheme="minorEastAsia" w:hAnsiTheme="majorHAnsi"/>
          <w:sz w:val="20"/>
          <w:szCs w:val="22"/>
        </w:rPr>
      </w:pPr>
      <w:r w:rsidRPr="00DC365C">
        <w:rPr>
          <w:rFonts w:asciiTheme="majorHAnsi" w:eastAsiaTheme="minorEastAsia" w:hAnsiTheme="majorHAnsi"/>
          <w:noProof/>
          <w:sz w:val="20"/>
          <w:szCs w:val="22"/>
        </w:rPr>
        <w:drawing>
          <wp:inline distT="0" distB="0" distL="0" distR="0" wp14:anchorId="2604C4A6" wp14:editId="1FF8C8AF">
            <wp:extent cx="5374257" cy="2838090"/>
            <wp:effectExtent l="0" t="0" r="17145" b="1968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DC365C" w:rsidRPr="00DC365C" w:rsidRDefault="00DC365C" w:rsidP="00DC365C">
      <w:pPr>
        <w:autoSpaceDE w:val="0"/>
        <w:autoSpaceDN w:val="0"/>
        <w:adjustRightInd w:val="0"/>
        <w:spacing w:before="149" w:line="245" w:lineRule="exact"/>
        <w:ind w:firstLine="709"/>
        <w:jc w:val="both"/>
        <w:rPr>
          <w:rFonts w:asciiTheme="majorHAnsi" w:eastAsiaTheme="minorEastAsia" w:hAnsiTheme="majorHAnsi"/>
          <w:sz w:val="20"/>
          <w:szCs w:val="20"/>
        </w:rPr>
      </w:pPr>
      <w:r w:rsidRPr="00DC365C">
        <w:rPr>
          <w:rFonts w:asciiTheme="majorHAnsi" w:eastAsiaTheme="minorEastAsia" w:hAnsiTheme="majorHAnsi"/>
          <w:sz w:val="20"/>
          <w:szCs w:val="20"/>
        </w:rPr>
        <w:t>За время одного цикла рынок недвижимости проходит ряд фаз: подъем, или рост (</w:t>
      </w:r>
      <w:r w:rsidRPr="00DC365C">
        <w:rPr>
          <w:rFonts w:asciiTheme="majorHAnsi" w:eastAsiaTheme="minorEastAsia" w:hAnsiTheme="majorHAnsi"/>
          <w:sz w:val="20"/>
          <w:szCs w:val="20"/>
          <w:lang w:val="en-US"/>
        </w:rPr>
        <w:t>Expansion</w:t>
      </w:r>
      <w:r w:rsidRPr="00DC365C">
        <w:rPr>
          <w:rFonts w:asciiTheme="majorHAnsi" w:eastAsiaTheme="minorEastAsia" w:hAnsiTheme="majorHAnsi"/>
          <w:sz w:val="20"/>
          <w:szCs w:val="20"/>
        </w:rPr>
        <w:t>); перепроизводство (</w:t>
      </w:r>
      <w:r w:rsidRPr="00DC365C">
        <w:rPr>
          <w:rFonts w:asciiTheme="majorHAnsi" w:eastAsiaTheme="minorEastAsia" w:hAnsiTheme="majorHAnsi"/>
          <w:sz w:val="20"/>
          <w:szCs w:val="20"/>
          <w:lang w:val="en-US"/>
        </w:rPr>
        <w:t>Overs</w:t>
      </w:r>
      <w:r w:rsidRPr="00DC365C">
        <w:rPr>
          <w:rFonts w:asciiTheme="majorHAnsi" w:eastAsiaTheme="minorEastAsia" w:hAnsiTheme="majorHAnsi"/>
          <w:sz w:val="20"/>
          <w:szCs w:val="20"/>
        </w:rPr>
        <w:t xml:space="preserve"> </w:t>
      </w:r>
      <w:r w:rsidRPr="00DC365C">
        <w:rPr>
          <w:rFonts w:asciiTheme="majorHAnsi" w:eastAsiaTheme="minorEastAsia" w:hAnsiTheme="majorHAnsi"/>
          <w:sz w:val="20"/>
          <w:szCs w:val="20"/>
          <w:lang w:val="en-US"/>
        </w:rPr>
        <w:t>supply</w:t>
      </w:r>
      <w:r w:rsidRPr="00DC365C">
        <w:rPr>
          <w:rFonts w:asciiTheme="majorHAnsi" w:eastAsiaTheme="minorEastAsia" w:hAnsiTheme="majorHAnsi"/>
          <w:sz w:val="20"/>
          <w:szCs w:val="20"/>
        </w:rPr>
        <w:t>); спад, или рецессия (</w:t>
      </w:r>
      <w:r w:rsidRPr="00DC365C">
        <w:rPr>
          <w:rFonts w:asciiTheme="majorHAnsi" w:eastAsiaTheme="minorEastAsia" w:hAnsiTheme="majorHAnsi"/>
          <w:sz w:val="20"/>
          <w:szCs w:val="20"/>
          <w:lang w:val="en-US"/>
        </w:rPr>
        <w:t>Recession</w:t>
      </w:r>
      <w:r w:rsidRPr="00DC365C">
        <w:rPr>
          <w:rFonts w:asciiTheme="majorHAnsi" w:eastAsiaTheme="minorEastAsia" w:hAnsiTheme="majorHAnsi"/>
          <w:sz w:val="20"/>
          <w:szCs w:val="20"/>
        </w:rPr>
        <w:t>); восстановление, или оживление (</w:t>
      </w:r>
      <w:r w:rsidRPr="00DC365C">
        <w:rPr>
          <w:rFonts w:asciiTheme="majorHAnsi" w:eastAsiaTheme="minorEastAsia" w:hAnsiTheme="majorHAnsi"/>
          <w:sz w:val="20"/>
          <w:szCs w:val="20"/>
          <w:lang w:val="en-US"/>
        </w:rPr>
        <w:t>Recovery</w:t>
      </w:r>
      <w:r w:rsidRPr="00DC365C">
        <w:rPr>
          <w:rFonts w:asciiTheme="majorHAnsi" w:eastAsiaTheme="minorEastAsia" w:hAnsiTheme="majorHAnsi"/>
          <w:sz w:val="20"/>
          <w:szCs w:val="20"/>
        </w:rPr>
        <w:t>).</w:t>
      </w:r>
    </w:p>
    <w:p w:rsidR="00DC365C" w:rsidRPr="00DC365C" w:rsidRDefault="00DC365C" w:rsidP="00DC365C">
      <w:pPr>
        <w:autoSpaceDE w:val="0"/>
        <w:autoSpaceDN w:val="0"/>
        <w:adjustRightInd w:val="0"/>
        <w:spacing w:before="100" w:beforeAutospacing="1" w:after="100" w:afterAutospacing="1" w:line="216" w:lineRule="exact"/>
        <w:ind w:firstLine="709"/>
        <w:jc w:val="both"/>
        <w:rPr>
          <w:rFonts w:asciiTheme="majorHAnsi" w:eastAsiaTheme="minorEastAsia" w:hAnsiTheme="majorHAnsi"/>
          <w:sz w:val="18"/>
          <w:szCs w:val="18"/>
        </w:rPr>
      </w:pPr>
      <w:r w:rsidRPr="00DC365C">
        <w:rPr>
          <w:rFonts w:asciiTheme="majorHAnsi" w:eastAsiaTheme="minorEastAsia" w:hAnsiTheme="majorHAnsi"/>
          <w:b/>
          <w:bCs/>
          <w:i/>
          <w:iCs/>
          <w:sz w:val="20"/>
          <w:szCs w:val="22"/>
        </w:rPr>
        <w:t>Подъем (рост)</w:t>
      </w:r>
      <w:r w:rsidRPr="00DC365C">
        <w:rPr>
          <w:rFonts w:asciiTheme="majorHAnsi" w:eastAsiaTheme="minorEastAsia" w:hAnsiTheme="majorHAnsi"/>
          <w:sz w:val="20"/>
          <w:szCs w:val="22"/>
        </w:rPr>
        <w:t xml:space="preserve"> Во время фазы подъема площади становится трудно найти, быстро растет арендная плата вслед за новым строительством, а цены продолжают повышаться. Строительная деятель</w:t>
      </w:r>
      <w:r w:rsidRPr="00DC365C">
        <w:rPr>
          <w:rFonts w:asciiTheme="majorHAnsi" w:eastAsiaTheme="minorEastAsia" w:hAnsiTheme="majorHAnsi"/>
          <w:sz w:val="20"/>
          <w:szCs w:val="22"/>
        </w:rPr>
        <w:softHyphen/>
        <w:t>ность бурно растет, но процент незанятых площадей остается на нормальном уровне или ниже. Эта фаза может длиться в течение нескольких месяцев или лет, в зависимости от ак</w:t>
      </w:r>
      <w:r w:rsidRPr="00DC365C">
        <w:rPr>
          <w:rFonts w:asciiTheme="majorHAnsi" w:eastAsiaTheme="minorEastAsia" w:hAnsiTheme="majorHAnsi"/>
          <w:sz w:val="20"/>
          <w:szCs w:val="22"/>
        </w:rPr>
        <w:softHyphen/>
        <w:t>тивности составляющих системы, тенденций в государственной экономике, сдвигов основ</w:t>
      </w:r>
      <w:r w:rsidRPr="00DC365C">
        <w:rPr>
          <w:rFonts w:asciiTheme="majorHAnsi" w:eastAsiaTheme="minorEastAsia" w:hAnsiTheme="majorHAnsi"/>
          <w:sz w:val="20"/>
          <w:szCs w:val="22"/>
        </w:rPr>
        <w:softHyphen/>
        <w:t>ной занятости, изменений в социальных взаимоотношениях (таких как размер семьи, необ</w:t>
      </w:r>
      <w:r w:rsidRPr="00DC365C">
        <w:rPr>
          <w:rFonts w:asciiTheme="majorHAnsi" w:eastAsiaTheme="minorEastAsia" w:hAnsiTheme="majorHAnsi"/>
          <w:sz w:val="20"/>
          <w:szCs w:val="22"/>
        </w:rPr>
        <w:softHyphen/>
        <w:t>ходимая площадь в расчете на одного работника и т.п.) и т.д</w:t>
      </w:r>
      <w:r w:rsidRPr="00DC365C">
        <w:rPr>
          <w:rFonts w:asciiTheme="majorHAnsi" w:eastAsiaTheme="minorEastAsia" w:hAnsiTheme="majorHAnsi"/>
          <w:sz w:val="18"/>
          <w:szCs w:val="18"/>
        </w:rPr>
        <w:t>.</w:t>
      </w:r>
    </w:p>
    <w:p w:rsidR="00DC365C" w:rsidRPr="00DC365C" w:rsidRDefault="00DC365C" w:rsidP="00DC365C">
      <w:pPr>
        <w:autoSpaceDE w:val="0"/>
        <w:autoSpaceDN w:val="0"/>
        <w:adjustRightInd w:val="0"/>
        <w:spacing w:before="24" w:line="216" w:lineRule="exact"/>
        <w:ind w:firstLine="709"/>
        <w:jc w:val="both"/>
        <w:rPr>
          <w:rFonts w:asciiTheme="majorHAnsi" w:eastAsiaTheme="minorEastAsia" w:hAnsiTheme="majorHAnsi"/>
          <w:sz w:val="22"/>
          <w:szCs w:val="22"/>
        </w:rPr>
      </w:pPr>
      <w:r w:rsidRPr="00DC365C">
        <w:rPr>
          <w:rFonts w:asciiTheme="majorHAnsi" w:eastAsiaTheme="minorEastAsia" w:hAnsiTheme="majorHAnsi"/>
          <w:b/>
          <w:bCs/>
          <w:i/>
          <w:iCs/>
          <w:sz w:val="20"/>
          <w:szCs w:val="22"/>
        </w:rPr>
        <w:t>Перепроизводство</w:t>
      </w:r>
      <w:r w:rsidRPr="00DC365C">
        <w:rPr>
          <w:rFonts w:asciiTheme="majorHAnsi" w:eastAsiaTheme="minorEastAsia" w:hAnsiTheme="majorHAnsi"/>
          <w:sz w:val="20"/>
          <w:szCs w:val="22"/>
        </w:rPr>
        <w:t xml:space="preserve"> В какой-то момент фазы подъема рынок начинает переполняться. Строители и кредиторы могут не чувствовать, что рынок насыщен. Они продолжают «закачивать» на него деньги и новые здания. Либо может произойти внешний удар (неблагоприятное налоговое законода</w:t>
      </w:r>
      <w:r w:rsidRPr="00DC365C">
        <w:rPr>
          <w:rFonts w:asciiTheme="majorHAnsi" w:eastAsiaTheme="minorEastAsia" w:hAnsiTheme="majorHAnsi"/>
          <w:sz w:val="20"/>
          <w:szCs w:val="22"/>
        </w:rPr>
        <w:softHyphen/>
        <w:t>тельство, спад в экономике в целом и т.д.). Во время этой фазы темп роста цен, а затем и сами цены начинают умеренно снижаться, активность продаж замедляется, а затем и сами цены начинают умеренно снижаться, активность продаж замедляется, а процент на занятых площадей начинает расти. Так как эти изменения происходят в течение нескольких месяцев.</w:t>
      </w:r>
    </w:p>
    <w:p w:rsidR="00DC365C" w:rsidRPr="00DC365C" w:rsidRDefault="00DC365C" w:rsidP="00DC365C">
      <w:pPr>
        <w:autoSpaceDE w:val="0"/>
        <w:autoSpaceDN w:val="0"/>
        <w:adjustRightInd w:val="0"/>
        <w:spacing w:before="100" w:beforeAutospacing="1" w:after="100" w:afterAutospacing="1"/>
        <w:ind w:firstLine="709"/>
        <w:jc w:val="both"/>
        <w:rPr>
          <w:rFonts w:asciiTheme="majorHAnsi" w:eastAsiaTheme="minorEastAsia" w:hAnsiTheme="majorHAnsi"/>
          <w:sz w:val="20"/>
          <w:szCs w:val="22"/>
        </w:rPr>
      </w:pPr>
      <w:r w:rsidRPr="00DC365C">
        <w:rPr>
          <w:rFonts w:asciiTheme="majorHAnsi" w:eastAsiaTheme="minorEastAsia" w:hAnsiTheme="majorHAnsi"/>
          <w:b/>
          <w:bCs/>
          <w:i/>
          <w:iCs/>
          <w:sz w:val="20"/>
          <w:szCs w:val="22"/>
        </w:rPr>
        <w:t>Спад (рецессия)</w:t>
      </w:r>
      <w:r w:rsidRPr="00DC365C">
        <w:rPr>
          <w:rFonts w:asciiTheme="majorHAnsi" w:eastAsiaTheme="minorEastAsia" w:hAnsiTheme="majorHAnsi"/>
          <w:sz w:val="20"/>
          <w:szCs w:val="22"/>
        </w:rPr>
        <w:t xml:space="preserve"> Во время этой фазы активность продаж очень низка, в то время как цены и арендная плата продолжают снижаться. Снижение стоимости собственности варьируется в зависимости от типа собственности и ее местонахождения. Одни районы могут сильно пострадать во время </w:t>
      </w:r>
      <w:r w:rsidRPr="00DC365C">
        <w:rPr>
          <w:rFonts w:asciiTheme="majorHAnsi" w:eastAsiaTheme="minorEastAsia" w:hAnsiTheme="majorHAnsi"/>
          <w:sz w:val="20"/>
          <w:szCs w:val="22"/>
        </w:rPr>
        <w:lastRenderedPageBreak/>
        <w:t>экономического спада, в то время как на другие районы спад может оказать небольшое воз</w:t>
      </w:r>
      <w:r w:rsidRPr="00DC365C">
        <w:rPr>
          <w:rFonts w:asciiTheme="majorHAnsi" w:eastAsiaTheme="minorEastAsia" w:hAnsiTheme="majorHAnsi"/>
          <w:sz w:val="20"/>
          <w:szCs w:val="22"/>
        </w:rPr>
        <w:softHyphen/>
        <w:t>действие. Но каково бы ни было это воздействие, темпы падения начинают снижаться, и в конечном счете, достигается нижний предел. Новое строительство почти не ведется.</w:t>
      </w:r>
    </w:p>
    <w:p w:rsidR="00DC365C" w:rsidRPr="00DC365C" w:rsidRDefault="00DC365C" w:rsidP="00DC365C">
      <w:pPr>
        <w:autoSpaceDE w:val="0"/>
        <w:autoSpaceDN w:val="0"/>
        <w:adjustRightInd w:val="0"/>
        <w:spacing w:before="100" w:beforeAutospacing="1" w:after="100" w:afterAutospacing="1" w:line="216" w:lineRule="exact"/>
        <w:ind w:firstLine="709"/>
        <w:jc w:val="both"/>
        <w:rPr>
          <w:rFonts w:asciiTheme="majorHAnsi" w:eastAsiaTheme="minorEastAsia" w:hAnsiTheme="majorHAnsi"/>
          <w:sz w:val="20"/>
          <w:szCs w:val="22"/>
        </w:rPr>
      </w:pPr>
      <w:r w:rsidRPr="00DC365C">
        <w:rPr>
          <w:rFonts w:asciiTheme="majorHAnsi" w:eastAsiaTheme="minorEastAsia" w:hAnsiTheme="majorHAnsi"/>
          <w:b/>
          <w:bCs/>
          <w:i/>
          <w:iCs/>
          <w:sz w:val="20"/>
          <w:szCs w:val="22"/>
        </w:rPr>
        <w:t>Восстановление (оживление)</w:t>
      </w:r>
      <w:r w:rsidRPr="00DC365C">
        <w:rPr>
          <w:rFonts w:asciiTheme="majorHAnsi" w:eastAsiaTheme="minorEastAsia" w:hAnsiTheme="majorHAnsi"/>
          <w:sz w:val="20"/>
          <w:szCs w:val="22"/>
        </w:rPr>
        <w:t xml:space="preserve"> После периода спада или кризиса рынок стабилизируется, цены начинают восстанавливать</w:t>
      </w:r>
      <w:r w:rsidRPr="00DC365C">
        <w:rPr>
          <w:rFonts w:asciiTheme="majorHAnsi" w:eastAsiaTheme="minorEastAsia" w:hAnsiTheme="majorHAnsi"/>
          <w:sz w:val="20"/>
          <w:szCs w:val="22"/>
        </w:rPr>
        <w:softHyphen/>
        <w:t>ся, а избыточные площади начинают поглощаться. Этот процесс продолжается, и процент незанятых площадей начинает приближаться к равновесному (нормальному) уровню, когда спрос равен предложению. Восстановление обычно происходит под воздействием одного из двух факторов:</w:t>
      </w:r>
    </w:p>
    <w:p w:rsidR="00DC365C" w:rsidRPr="00DC365C" w:rsidRDefault="00DC365C" w:rsidP="0090764B">
      <w:pPr>
        <w:numPr>
          <w:ilvl w:val="0"/>
          <w:numId w:val="22"/>
        </w:numPr>
        <w:tabs>
          <w:tab w:val="left" w:pos="1934"/>
        </w:tabs>
        <w:autoSpaceDE w:val="0"/>
        <w:autoSpaceDN w:val="0"/>
        <w:adjustRightInd w:val="0"/>
        <w:spacing w:before="100" w:beforeAutospacing="1" w:after="100" w:afterAutospacing="1" w:line="216" w:lineRule="exact"/>
        <w:ind w:firstLine="709"/>
        <w:jc w:val="both"/>
        <w:rPr>
          <w:rFonts w:asciiTheme="majorHAnsi" w:hAnsiTheme="majorHAnsi"/>
          <w:b/>
          <w:bCs/>
          <w:sz w:val="20"/>
          <w:szCs w:val="22"/>
        </w:rPr>
      </w:pPr>
      <w:r w:rsidRPr="00DC365C">
        <w:rPr>
          <w:rFonts w:asciiTheme="majorHAnsi" w:hAnsiTheme="majorHAnsi"/>
          <w:i/>
          <w:iCs/>
          <w:sz w:val="20"/>
          <w:szCs w:val="22"/>
        </w:rPr>
        <w:t xml:space="preserve">Внешний удар. </w:t>
      </w:r>
      <w:r w:rsidRPr="00DC365C">
        <w:rPr>
          <w:rFonts w:asciiTheme="majorHAnsi" w:hAnsiTheme="majorHAnsi"/>
          <w:sz w:val="20"/>
          <w:szCs w:val="22"/>
        </w:rPr>
        <w:t>Развитие вне системы рынка недвижимости может привести к восстанов</w:t>
      </w:r>
      <w:r w:rsidRPr="00DC365C">
        <w:rPr>
          <w:rFonts w:asciiTheme="majorHAnsi" w:hAnsiTheme="majorHAnsi"/>
          <w:sz w:val="20"/>
          <w:szCs w:val="22"/>
        </w:rPr>
        <w:softHyphen/>
        <w:t>лению. Примерами являются изменение налоговой системы или война.</w:t>
      </w:r>
    </w:p>
    <w:p w:rsidR="00DC365C" w:rsidRPr="00DC365C" w:rsidRDefault="00DC365C" w:rsidP="0090764B">
      <w:pPr>
        <w:numPr>
          <w:ilvl w:val="0"/>
          <w:numId w:val="22"/>
        </w:numPr>
        <w:tabs>
          <w:tab w:val="left" w:pos="1934"/>
        </w:tabs>
        <w:autoSpaceDE w:val="0"/>
        <w:autoSpaceDN w:val="0"/>
        <w:adjustRightInd w:val="0"/>
        <w:spacing w:before="100" w:beforeAutospacing="1" w:after="100" w:afterAutospacing="1" w:line="216" w:lineRule="exact"/>
        <w:ind w:firstLine="709"/>
        <w:jc w:val="both"/>
        <w:rPr>
          <w:rFonts w:asciiTheme="majorHAnsi" w:hAnsiTheme="majorHAnsi"/>
          <w:sz w:val="20"/>
          <w:szCs w:val="22"/>
        </w:rPr>
      </w:pPr>
      <w:r w:rsidRPr="00DC365C">
        <w:rPr>
          <w:rFonts w:asciiTheme="majorHAnsi" w:hAnsiTheme="majorHAnsi"/>
          <w:i/>
          <w:iCs/>
          <w:sz w:val="20"/>
          <w:szCs w:val="22"/>
        </w:rPr>
        <w:t xml:space="preserve">Ход </w:t>
      </w:r>
      <w:r w:rsidRPr="00DC365C">
        <w:rPr>
          <w:rFonts w:asciiTheme="majorHAnsi" w:hAnsiTheme="majorHAnsi"/>
          <w:bCs/>
          <w:i/>
          <w:sz w:val="20"/>
          <w:szCs w:val="22"/>
        </w:rPr>
        <w:t>времени.</w:t>
      </w:r>
      <w:r w:rsidRPr="00DC365C">
        <w:rPr>
          <w:rFonts w:asciiTheme="majorHAnsi" w:hAnsiTheme="majorHAnsi"/>
          <w:b/>
          <w:bCs/>
          <w:sz w:val="20"/>
          <w:szCs w:val="22"/>
        </w:rPr>
        <w:t xml:space="preserve"> </w:t>
      </w:r>
      <w:r w:rsidRPr="00DC365C">
        <w:rPr>
          <w:rFonts w:asciiTheme="majorHAnsi" w:hAnsiTheme="majorHAnsi"/>
          <w:sz w:val="20"/>
          <w:szCs w:val="22"/>
        </w:rPr>
        <w:t>Цикл рынка недвижимости входит в свою нормальную стадию. После перио</w:t>
      </w:r>
      <w:r w:rsidRPr="00DC365C">
        <w:rPr>
          <w:rFonts w:asciiTheme="majorHAnsi" w:hAnsiTheme="majorHAnsi"/>
          <w:sz w:val="20"/>
          <w:szCs w:val="22"/>
        </w:rPr>
        <w:softHyphen/>
        <w:t>да спада или кризиса в течение нескольких месяцев или лет новое строительство может вес</w:t>
      </w:r>
      <w:r w:rsidRPr="00DC365C">
        <w:rPr>
          <w:rFonts w:asciiTheme="majorHAnsi" w:hAnsiTheme="majorHAnsi"/>
          <w:sz w:val="20"/>
          <w:szCs w:val="22"/>
        </w:rPr>
        <w:softHyphen/>
        <w:t>тись очень низкими темпами или не вестись вообще. Активность экономики в целом начи</w:t>
      </w:r>
      <w:r w:rsidRPr="00DC365C">
        <w:rPr>
          <w:rFonts w:asciiTheme="majorHAnsi" w:hAnsiTheme="majorHAnsi"/>
          <w:sz w:val="20"/>
          <w:szCs w:val="22"/>
        </w:rPr>
        <w:softHyphen/>
        <w:t>нает повышать спрос на площади, избыточные площади поглощаются, и финансирование становится доступным на благоприятных условиях.</w:t>
      </w:r>
    </w:p>
    <w:p w:rsidR="00184211" w:rsidRPr="00184211" w:rsidRDefault="00184211" w:rsidP="0090764B">
      <w:pPr>
        <w:pStyle w:val="af3"/>
        <w:numPr>
          <w:ilvl w:val="1"/>
          <w:numId w:val="11"/>
        </w:numPr>
        <w:tabs>
          <w:tab w:val="left" w:pos="8505"/>
        </w:tabs>
        <w:ind w:left="709" w:hanging="709"/>
        <w:rPr>
          <w:rFonts w:asciiTheme="majorHAnsi" w:eastAsiaTheme="majorEastAsia" w:hAnsiTheme="majorHAnsi" w:cstheme="majorBidi"/>
          <w:b/>
          <w:bCs/>
          <w:sz w:val="20"/>
          <w:szCs w:val="20"/>
        </w:rPr>
      </w:pPr>
      <w:r w:rsidRPr="00184211">
        <w:rPr>
          <w:rFonts w:asciiTheme="majorHAnsi" w:eastAsiaTheme="majorEastAsia" w:hAnsiTheme="majorHAnsi" w:cstheme="majorBidi"/>
          <w:b/>
          <w:bCs/>
          <w:sz w:val="20"/>
          <w:szCs w:val="20"/>
        </w:rPr>
        <w:t>Анализ рынка объекта оценки</w:t>
      </w:r>
    </w:p>
    <w:p w:rsidR="00DC365C" w:rsidRPr="00DC365C" w:rsidRDefault="00DC365C" w:rsidP="00DC365C">
      <w:pPr>
        <w:tabs>
          <w:tab w:val="left" w:pos="8505"/>
        </w:tabs>
        <w:ind w:firstLine="709"/>
        <w:jc w:val="both"/>
        <w:rPr>
          <w:rFonts w:asciiTheme="majorHAnsi" w:eastAsia="Calibri" w:hAnsiTheme="majorHAnsi"/>
          <w:sz w:val="20"/>
          <w:szCs w:val="20"/>
        </w:rPr>
      </w:pPr>
      <w:r w:rsidRPr="00DC365C">
        <w:rPr>
          <w:rFonts w:asciiTheme="majorHAnsi" w:eastAsia="Calibri" w:hAnsiTheme="majorHAnsi"/>
          <w:sz w:val="20"/>
          <w:szCs w:val="20"/>
        </w:rPr>
        <w:t xml:space="preserve">Вопрос недвижимости является одной из «вечных тем», и это не удивительно. Людей на планете Земля с каждым годом становится все больше и больше, а вот свободного земельного пространства, пригодного для застройки и проживания все меньше. Поэтому-то земля и дорожает с каждым годом. Да и запросы у людей становятся все больше. Многие стремятся построить собственный дом где-нибудь за городом. К тому же, земельную площадь занимают не только частные дома и многоквартирные новостройки, но и коммерческая недвижимость. Это разновидность строений, предназначенных для использования под офисные помещения, магазины, административные и прочие государственные учреждения. Одним словом, коммерческая недвижимость – это всё то, что не предназначено для проживания человека, хотя при этом данные объекты могут располагаться в жилых зданиях. Например, коммерческая недвижимость </w:t>
      </w:r>
      <w:r>
        <w:rPr>
          <w:rFonts w:asciiTheme="majorHAnsi" w:eastAsia="Calibri" w:hAnsiTheme="majorHAnsi"/>
          <w:sz w:val="20"/>
          <w:szCs w:val="20"/>
        </w:rPr>
        <w:t>Белгорода</w:t>
      </w:r>
      <w:r w:rsidRPr="00DC365C">
        <w:rPr>
          <w:rFonts w:asciiTheme="majorHAnsi" w:eastAsia="Calibri" w:hAnsiTheme="majorHAnsi"/>
          <w:sz w:val="20"/>
          <w:szCs w:val="20"/>
        </w:rPr>
        <w:t xml:space="preserve"> частично расположена в подвальных или цокольных этажах многоквартирных домов. </w:t>
      </w:r>
    </w:p>
    <w:p w:rsidR="00DC365C" w:rsidRPr="00DC365C" w:rsidRDefault="00DC365C" w:rsidP="00F336AB">
      <w:pPr>
        <w:tabs>
          <w:tab w:val="left" w:pos="8505"/>
        </w:tabs>
        <w:ind w:firstLine="709"/>
        <w:jc w:val="both"/>
        <w:rPr>
          <w:rFonts w:asciiTheme="majorHAnsi" w:eastAsia="Calibri" w:hAnsiTheme="majorHAnsi"/>
          <w:sz w:val="20"/>
          <w:szCs w:val="20"/>
        </w:rPr>
      </w:pPr>
      <w:r w:rsidRPr="00DC365C">
        <w:rPr>
          <w:rFonts w:asciiTheme="majorHAnsi" w:eastAsia="Calibri" w:hAnsiTheme="majorHAnsi"/>
          <w:sz w:val="20"/>
          <w:szCs w:val="20"/>
        </w:rPr>
        <w:t xml:space="preserve">Кроме того, коммерческая недвижимость </w:t>
      </w:r>
      <w:r>
        <w:rPr>
          <w:rFonts w:asciiTheme="majorHAnsi" w:eastAsia="Calibri" w:hAnsiTheme="majorHAnsi"/>
          <w:sz w:val="20"/>
          <w:szCs w:val="20"/>
        </w:rPr>
        <w:t>Белгорода</w:t>
      </w:r>
      <w:r w:rsidRPr="00DC365C">
        <w:rPr>
          <w:rFonts w:asciiTheme="majorHAnsi" w:eastAsia="Calibri" w:hAnsiTheme="majorHAnsi"/>
          <w:sz w:val="20"/>
          <w:szCs w:val="20"/>
        </w:rPr>
        <w:t xml:space="preserve"> год за годом занимает всё больше площадей, порой даже выкупая или арендуя жилые помещения в центре города. Эта тенденция повсеместна и совершенно не зависит от размеров города. </w:t>
      </w:r>
    </w:p>
    <w:p w:rsidR="00DC365C" w:rsidRDefault="00DC365C" w:rsidP="00DC365C">
      <w:pPr>
        <w:tabs>
          <w:tab w:val="left" w:pos="8505"/>
        </w:tabs>
        <w:ind w:firstLine="709"/>
        <w:jc w:val="both"/>
        <w:rPr>
          <w:rFonts w:asciiTheme="majorHAnsi" w:eastAsia="Calibri" w:hAnsiTheme="majorHAnsi"/>
          <w:sz w:val="20"/>
          <w:szCs w:val="20"/>
        </w:rPr>
      </w:pPr>
      <w:r w:rsidRPr="00DC365C">
        <w:rPr>
          <w:rFonts w:asciiTheme="majorHAnsi" w:eastAsia="Calibri" w:hAnsiTheme="majorHAnsi"/>
          <w:sz w:val="20"/>
          <w:szCs w:val="20"/>
        </w:rPr>
        <w:t xml:space="preserve">Рассмотрим общую картину в цифрах и фактах коммерческой недвижимости в городе </w:t>
      </w:r>
      <w:r w:rsidR="00F336AB">
        <w:rPr>
          <w:rFonts w:asciiTheme="majorHAnsi" w:eastAsia="Calibri" w:hAnsiTheme="majorHAnsi"/>
          <w:sz w:val="20"/>
          <w:szCs w:val="20"/>
        </w:rPr>
        <w:t>Белгороде</w:t>
      </w:r>
      <w:r w:rsidRPr="00DC365C">
        <w:rPr>
          <w:rFonts w:asciiTheme="majorHAnsi" w:eastAsia="Calibri" w:hAnsiTheme="majorHAnsi"/>
          <w:sz w:val="20"/>
          <w:szCs w:val="20"/>
        </w:rPr>
        <w:t>.</w:t>
      </w:r>
    </w:p>
    <w:p w:rsidR="00F336AB" w:rsidRPr="00DC365C" w:rsidRDefault="00F336AB" w:rsidP="00DC365C">
      <w:pPr>
        <w:tabs>
          <w:tab w:val="left" w:pos="8505"/>
        </w:tabs>
        <w:ind w:firstLine="709"/>
        <w:jc w:val="both"/>
        <w:rPr>
          <w:rFonts w:asciiTheme="majorHAnsi" w:eastAsia="Calibri" w:hAnsiTheme="majorHAnsi"/>
          <w:sz w:val="20"/>
          <w:szCs w:val="20"/>
        </w:rPr>
      </w:pPr>
    </w:p>
    <w:p w:rsidR="00F336AB" w:rsidRPr="00271973" w:rsidRDefault="00DC365C" w:rsidP="00F336AB">
      <w:pPr>
        <w:keepNext/>
        <w:keepLines/>
        <w:jc w:val="center"/>
        <w:outlineLvl w:val="1"/>
        <w:rPr>
          <w:rFonts w:ascii="Cambria" w:hAnsi="Cambria"/>
          <w:b/>
          <w:bCs/>
          <w:sz w:val="20"/>
          <w:szCs w:val="20"/>
          <w:lang w:eastAsia="en-US"/>
        </w:rPr>
      </w:pPr>
      <w:bookmarkStart w:id="56" w:name="_Toc467533369"/>
      <w:bookmarkStart w:id="57" w:name="_Toc491763301"/>
      <w:bookmarkStart w:id="58" w:name="_Toc353431884"/>
      <w:bookmarkStart w:id="59" w:name="_Toc404931208"/>
      <w:bookmarkStart w:id="60" w:name="_Toc436662526"/>
      <w:bookmarkStart w:id="61" w:name="_Toc442446522"/>
      <w:r w:rsidRPr="00DC365C">
        <w:rPr>
          <w:rFonts w:ascii="Cambria" w:hAnsi="Cambria"/>
          <w:b/>
          <w:bCs/>
          <w:sz w:val="20"/>
          <w:szCs w:val="20"/>
          <w:lang w:eastAsia="en-US"/>
        </w:rPr>
        <w:t xml:space="preserve">Обзор рынка </w:t>
      </w:r>
      <w:r w:rsidR="003D3BC9">
        <w:rPr>
          <w:rFonts w:ascii="Cambria" w:hAnsi="Cambria"/>
          <w:b/>
          <w:bCs/>
          <w:sz w:val="20"/>
          <w:szCs w:val="20"/>
          <w:lang w:eastAsia="en-US"/>
        </w:rPr>
        <w:t>коммерческой</w:t>
      </w:r>
      <w:r w:rsidRPr="00DC365C">
        <w:rPr>
          <w:rFonts w:ascii="Cambria" w:hAnsi="Cambria"/>
          <w:b/>
          <w:bCs/>
          <w:sz w:val="20"/>
          <w:szCs w:val="20"/>
          <w:lang w:eastAsia="en-US"/>
        </w:rPr>
        <w:t xml:space="preserve"> недвижимости </w:t>
      </w:r>
      <w:r w:rsidR="00F336AB" w:rsidRPr="00271973">
        <w:rPr>
          <w:rFonts w:ascii="Cambria" w:hAnsi="Cambria"/>
          <w:b/>
          <w:bCs/>
          <w:sz w:val="20"/>
          <w:szCs w:val="20"/>
          <w:lang w:eastAsia="en-US"/>
        </w:rPr>
        <w:t>Белгорода</w:t>
      </w:r>
      <w:r w:rsidRPr="00DC365C">
        <w:rPr>
          <w:rFonts w:ascii="Cambria" w:hAnsi="Cambria"/>
          <w:b/>
          <w:bCs/>
          <w:sz w:val="20"/>
          <w:szCs w:val="20"/>
          <w:lang w:eastAsia="en-US"/>
        </w:rPr>
        <w:t xml:space="preserve"> по итогам</w:t>
      </w:r>
      <w:r w:rsidR="00F336AB" w:rsidRPr="00271973">
        <w:rPr>
          <w:rFonts w:ascii="Cambria" w:hAnsi="Cambria"/>
          <w:b/>
          <w:bCs/>
          <w:sz w:val="20"/>
          <w:szCs w:val="20"/>
          <w:lang w:eastAsia="en-US"/>
        </w:rPr>
        <w:t xml:space="preserve"> </w:t>
      </w:r>
      <w:r w:rsidRPr="00DC365C">
        <w:rPr>
          <w:rFonts w:ascii="Cambria" w:hAnsi="Cambria"/>
          <w:b/>
          <w:bCs/>
          <w:sz w:val="20"/>
          <w:szCs w:val="20"/>
          <w:lang w:eastAsia="en-US"/>
        </w:rPr>
        <w:t>201</w:t>
      </w:r>
      <w:r w:rsidR="00F336AB" w:rsidRPr="00271973">
        <w:rPr>
          <w:rFonts w:ascii="Cambria" w:hAnsi="Cambria"/>
          <w:b/>
          <w:bCs/>
          <w:sz w:val="20"/>
          <w:szCs w:val="20"/>
          <w:lang w:eastAsia="en-US"/>
        </w:rPr>
        <w:t>5 –</w:t>
      </w:r>
      <w:bookmarkEnd w:id="56"/>
      <w:bookmarkEnd w:id="57"/>
      <w:r w:rsidR="00F336AB" w:rsidRPr="00271973">
        <w:rPr>
          <w:rFonts w:ascii="Cambria" w:hAnsi="Cambria"/>
          <w:b/>
          <w:bCs/>
          <w:sz w:val="20"/>
          <w:szCs w:val="20"/>
          <w:lang w:eastAsia="en-US"/>
        </w:rPr>
        <w:t xml:space="preserve"> </w:t>
      </w:r>
    </w:p>
    <w:p w:rsidR="00DC365C" w:rsidRPr="00F336AB" w:rsidRDefault="00F336AB" w:rsidP="00F336AB">
      <w:pPr>
        <w:keepNext/>
        <w:keepLines/>
        <w:jc w:val="center"/>
        <w:outlineLvl w:val="1"/>
        <w:rPr>
          <w:rFonts w:ascii="Cambria" w:hAnsi="Cambria"/>
          <w:b/>
          <w:bCs/>
          <w:sz w:val="22"/>
          <w:szCs w:val="22"/>
          <w:lang w:eastAsia="en-US"/>
        </w:rPr>
      </w:pPr>
      <w:bookmarkStart w:id="62" w:name="_Toc467533370"/>
      <w:bookmarkStart w:id="63" w:name="_Toc491763302"/>
      <w:r w:rsidRPr="00271973">
        <w:rPr>
          <w:rFonts w:ascii="Cambria" w:hAnsi="Cambria"/>
          <w:b/>
          <w:bCs/>
          <w:sz w:val="20"/>
          <w:szCs w:val="20"/>
          <w:lang w:eastAsia="en-US"/>
        </w:rPr>
        <w:t>3 квартала 2016</w:t>
      </w:r>
      <w:r w:rsidR="00DC365C" w:rsidRPr="00DC365C">
        <w:rPr>
          <w:rFonts w:ascii="Cambria" w:hAnsi="Cambria"/>
          <w:b/>
          <w:bCs/>
          <w:sz w:val="20"/>
          <w:szCs w:val="20"/>
          <w:lang w:eastAsia="en-US"/>
        </w:rPr>
        <w:t xml:space="preserve"> г</w:t>
      </w:r>
      <w:bookmarkEnd w:id="58"/>
      <w:bookmarkEnd w:id="59"/>
      <w:bookmarkEnd w:id="60"/>
      <w:bookmarkEnd w:id="61"/>
      <w:r w:rsidRPr="00271973">
        <w:rPr>
          <w:rFonts w:ascii="Cambria" w:hAnsi="Cambria"/>
          <w:b/>
          <w:bCs/>
          <w:sz w:val="20"/>
          <w:szCs w:val="20"/>
          <w:lang w:eastAsia="en-US"/>
        </w:rPr>
        <w:t>.</w:t>
      </w:r>
      <w:bookmarkEnd w:id="62"/>
      <w:bookmarkEnd w:id="63"/>
    </w:p>
    <w:p w:rsidR="00F336AB" w:rsidRPr="00DC365C" w:rsidRDefault="00F336AB" w:rsidP="00F336AB">
      <w:pPr>
        <w:keepNext/>
        <w:keepLines/>
        <w:jc w:val="center"/>
        <w:outlineLvl w:val="1"/>
        <w:rPr>
          <w:rFonts w:ascii="Cambria" w:hAnsi="Cambria"/>
          <w:b/>
          <w:bCs/>
          <w:sz w:val="26"/>
          <w:szCs w:val="26"/>
          <w:lang w:eastAsia="en-US"/>
        </w:rPr>
      </w:pPr>
    </w:p>
    <w:p w:rsidR="00F336AB" w:rsidRDefault="00DC365C" w:rsidP="00F336AB">
      <w:pPr>
        <w:suppressAutoHyphens/>
        <w:ind w:firstLine="720"/>
        <w:jc w:val="both"/>
        <w:rPr>
          <w:rFonts w:asciiTheme="majorHAnsi" w:eastAsia="Calibri" w:hAnsiTheme="majorHAnsi"/>
          <w:sz w:val="20"/>
          <w:szCs w:val="20"/>
          <w:lang w:eastAsia="ar-SA"/>
        </w:rPr>
      </w:pPr>
      <w:r w:rsidRPr="00DC365C">
        <w:rPr>
          <w:rFonts w:asciiTheme="majorHAnsi" w:eastAsia="Calibri" w:hAnsiTheme="majorHAnsi"/>
          <w:sz w:val="20"/>
          <w:szCs w:val="20"/>
          <w:lang w:eastAsia="ar-SA"/>
        </w:rPr>
        <w:t>Основные показатели рынка</w:t>
      </w:r>
      <w:r w:rsidR="00F336AB">
        <w:rPr>
          <w:rFonts w:asciiTheme="majorHAnsi" w:eastAsia="Calibri" w:hAnsiTheme="majorHAnsi"/>
          <w:sz w:val="20"/>
          <w:szCs w:val="20"/>
          <w:lang w:eastAsia="ar-SA"/>
        </w:rPr>
        <w:t xml:space="preserve"> коммерческой</w:t>
      </w:r>
      <w:r w:rsidRPr="00DC365C">
        <w:rPr>
          <w:rFonts w:asciiTheme="majorHAnsi" w:eastAsia="Calibri" w:hAnsiTheme="majorHAnsi"/>
          <w:sz w:val="20"/>
          <w:szCs w:val="20"/>
          <w:lang w:eastAsia="ar-SA"/>
        </w:rPr>
        <w:t xml:space="preserve"> недвижимости </w:t>
      </w:r>
      <w:r w:rsidR="00F336AB">
        <w:rPr>
          <w:rFonts w:asciiTheme="majorHAnsi" w:eastAsia="Calibri" w:hAnsiTheme="majorHAnsi"/>
          <w:sz w:val="20"/>
          <w:szCs w:val="20"/>
          <w:lang w:eastAsia="ar-SA"/>
        </w:rPr>
        <w:t xml:space="preserve">Белгорода </w:t>
      </w:r>
      <w:r w:rsidRPr="00DC365C">
        <w:rPr>
          <w:rFonts w:asciiTheme="majorHAnsi" w:eastAsia="Calibri" w:hAnsiTheme="majorHAnsi"/>
          <w:sz w:val="20"/>
          <w:szCs w:val="20"/>
          <w:lang w:eastAsia="ar-SA"/>
        </w:rPr>
        <w:t xml:space="preserve"> в 201</w:t>
      </w:r>
      <w:r w:rsidR="000A7C2B">
        <w:rPr>
          <w:rFonts w:asciiTheme="majorHAnsi" w:eastAsia="Calibri" w:hAnsiTheme="majorHAnsi"/>
          <w:sz w:val="20"/>
          <w:szCs w:val="20"/>
          <w:lang w:eastAsia="ar-SA"/>
        </w:rPr>
        <w:t>6</w:t>
      </w:r>
      <w:r w:rsidR="00F336AB">
        <w:rPr>
          <w:rFonts w:asciiTheme="majorHAnsi" w:eastAsia="Calibri" w:hAnsiTheme="majorHAnsi"/>
          <w:sz w:val="20"/>
          <w:szCs w:val="20"/>
          <w:lang w:eastAsia="ar-SA"/>
        </w:rPr>
        <w:t xml:space="preserve"> </w:t>
      </w:r>
      <w:r w:rsidRPr="00DC365C">
        <w:rPr>
          <w:rFonts w:asciiTheme="majorHAnsi" w:eastAsia="Calibri" w:hAnsiTheme="majorHAnsi"/>
          <w:sz w:val="20"/>
          <w:szCs w:val="20"/>
          <w:lang w:eastAsia="ar-SA"/>
        </w:rPr>
        <w:t>году</w:t>
      </w:r>
    </w:p>
    <w:p w:rsidR="009533CF" w:rsidRDefault="009533CF" w:rsidP="00F336AB">
      <w:pPr>
        <w:suppressAutoHyphens/>
        <w:ind w:firstLine="720"/>
        <w:jc w:val="both"/>
        <w:rPr>
          <w:rFonts w:asciiTheme="majorHAnsi" w:eastAsia="Calibri" w:hAnsiTheme="majorHAnsi"/>
          <w:sz w:val="20"/>
          <w:szCs w:val="20"/>
          <w:lang w:eastAsia="ar-SA"/>
        </w:rPr>
      </w:pPr>
    </w:p>
    <w:p w:rsidR="009533CF" w:rsidRDefault="009533CF" w:rsidP="009533CF">
      <w:pPr>
        <w:suppressAutoHyphens/>
        <w:ind w:firstLine="720"/>
        <w:jc w:val="right"/>
        <w:rPr>
          <w:rFonts w:asciiTheme="majorHAnsi" w:eastAsia="Calibri" w:hAnsiTheme="majorHAnsi"/>
          <w:sz w:val="20"/>
          <w:szCs w:val="20"/>
          <w:lang w:eastAsia="ar-SA"/>
        </w:rPr>
      </w:pPr>
      <w:r w:rsidRPr="00DC365C">
        <w:rPr>
          <w:rFonts w:asciiTheme="majorHAnsi" w:eastAsia="Calibri" w:hAnsiTheme="majorHAnsi"/>
          <w:b/>
          <w:bCs/>
          <w:sz w:val="20"/>
          <w:szCs w:val="20"/>
          <w:lang w:eastAsia="ar-SA"/>
        </w:rPr>
        <w:t>Таблица 1</w:t>
      </w:r>
      <w:r w:rsidRPr="00DC365C">
        <w:rPr>
          <w:rFonts w:asciiTheme="majorHAnsi" w:eastAsia="Calibri" w:hAnsiTheme="majorHAnsi"/>
          <w:bCs/>
          <w:sz w:val="20"/>
          <w:szCs w:val="20"/>
          <w:lang w:eastAsia="ar-SA"/>
        </w:rPr>
        <w:t>.</w:t>
      </w:r>
      <w:r>
        <w:rPr>
          <w:rFonts w:asciiTheme="majorHAnsi" w:eastAsia="Calibri" w:hAnsiTheme="majorHAnsi"/>
          <w:bCs/>
          <w:sz w:val="20"/>
          <w:szCs w:val="20"/>
          <w:lang w:eastAsia="ar-SA"/>
        </w:rPr>
        <w:t xml:space="preserve"> Рынок продажи</w:t>
      </w:r>
    </w:p>
    <w:p w:rsidR="00F336AB" w:rsidRPr="00F336AB" w:rsidRDefault="00F336AB" w:rsidP="00F336AB">
      <w:pPr>
        <w:suppressAutoHyphens/>
        <w:ind w:firstLine="720"/>
        <w:jc w:val="both"/>
        <w:rPr>
          <w:rFonts w:asciiTheme="majorHAnsi" w:eastAsia="Calibri" w:hAnsiTheme="majorHAnsi"/>
          <w:sz w:val="20"/>
          <w:szCs w:val="20"/>
          <w:lang w:eastAsia="ar-SA"/>
        </w:rPr>
      </w:pPr>
    </w:p>
    <w:tbl>
      <w:tblPr>
        <w:tblW w:w="9638" w:type="dxa"/>
        <w:jc w:val="center"/>
        <w:tblCellSpacing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4458"/>
        <w:gridCol w:w="2576"/>
        <w:gridCol w:w="2604"/>
      </w:tblGrid>
      <w:tr w:rsidR="00F336AB" w:rsidRPr="00F336AB" w:rsidTr="00F336AB">
        <w:trPr>
          <w:trHeight w:val="20"/>
          <w:tblCellSpacing w:w="0" w:type="dxa"/>
          <w:jc w:val="center"/>
        </w:trPr>
        <w:tc>
          <w:tcPr>
            <w:tcW w:w="4458" w:type="dxa"/>
            <w:tcBorders>
              <w:top w:val="double" w:sz="4" w:space="0" w:color="auto"/>
              <w:bottom w:val="single" w:sz="6" w:space="0" w:color="auto"/>
            </w:tcBorders>
            <w:shd w:val="clear" w:color="auto" w:fill="F2F2F2" w:themeFill="background1" w:themeFillShade="F2"/>
            <w:vAlign w:val="center"/>
            <w:hideMark/>
          </w:tcPr>
          <w:p w:rsidR="00F336AB" w:rsidRPr="00F336AB" w:rsidRDefault="00F336AB" w:rsidP="00F336AB">
            <w:pPr>
              <w:jc w:val="center"/>
              <w:rPr>
                <w:rFonts w:asciiTheme="majorHAnsi" w:hAnsiTheme="majorHAnsi"/>
                <w:sz w:val="18"/>
                <w:szCs w:val="18"/>
              </w:rPr>
            </w:pPr>
            <w:r w:rsidRPr="00F336AB">
              <w:rPr>
                <w:rFonts w:asciiTheme="majorHAnsi" w:hAnsiTheme="majorHAnsi"/>
                <w:b/>
                <w:bCs/>
                <w:sz w:val="18"/>
                <w:szCs w:val="18"/>
              </w:rPr>
              <w:t>Коммерческая недвижимость - продажа</w:t>
            </w:r>
          </w:p>
        </w:tc>
        <w:tc>
          <w:tcPr>
            <w:tcW w:w="2576" w:type="dxa"/>
            <w:tcBorders>
              <w:top w:val="double" w:sz="4" w:space="0" w:color="auto"/>
              <w:bottom w:val="single" w:sz="6" w:space="0" w:color="auto"/>
            </w:tcBorders>
            <w:shd w:val="clear" w:color="auto" w:fill="F2F2F2" w:themeFill="background1" w:themeFillShade="F2"/>
            <w:vAlign w:val="center"/>
            <w:hideMark/>
          </w:tcPr>
          <w:p w:rsidR="00F336AB" w:rsidRPr="00F336AB" w:rsidRDefault="00F336AB" w:rsidP="00F336AB">
            <w:pPr>
              <w:jc w:val="center"/>
              <w:rPr>
                <w:rFonts w:asciiTheme="majorHAnsi" w:hAnsiTheme="majorHAnsi"/>
                <w:sz w:val="18"/>
                <w:szCs w:val="18"/>
              </w:rPr>
            </w:pPr>
            <w:r w:rsidRPr="00F336AB">
              <w:rPr>
                <w:rFonts w:asciiTheme="majorHAnsi" w:hAnsiTheme="majorHAnsi"/>
                <w:b/>
                <w:bCs/>
                <w:sz w:val="18"/>
                <w:szCs w:val="18"/>
              </w:rPr>
              <w:t>Минимальное значение, руб./кв.м.</w:t>
            </w:r>
          </w:p>
        </w:tc>
        <w:tc>
          <w:tcPr>
            <w:tcW w:w="2604" w:type="dxa"/>
            <w:tcBorders>
              <w:top w:val="double" w:sz="4" w:space="0" w:color="auto"/>
              <w:bottom w:val="single" w:sz="6" w:space="0" w:color="auto"/>
            </w:tcBorders>
            <w:shd w:val="clear" w:color="auto" w:fill="F2F2F2" w:themeFill="background1" w:themeFillShade="F2"/>
            <w:vAlign w:val="center"/>
            <w:hideMark/>
          </w:tcPr>
          <w:p w:rsidR="00F336AB" w:rsidRPr="00F336AB" w:rsidRDefault="00F336AB" w:rsidP="00F336AB">
            <w:pPr>
              <w:jc w:val="center"/>
              <w:rPr>
                <w:rFonts w:asciiTheme="majorHAnsi" w:hAnsiTheme="majorHAnsi"/>
                <w:sz w:val="18"/>
                <w:szCs w:val="18"/>
              </w:rPr>
            </w:pPr>
            <w:r w:rsidRPr="00F336AB">
              <w:rPr>
                <w:rFonts w:asciiTheme="majorHAnsi" w:hAnsiTheme="majorHAnsi"/>
                <w:b/>
                <w:bCs/>
                <w:sz w:val="18"/>
                <w:szCs w:val="18"/>
              </w:rPr>
              <w:t>Максимальное значение, руб./кв.м.</w:t>
            </w:r>
          </w:p>
        </w:tc>
      </w:tr>
      <w:tr w:rsidR="00F336AB" w:rsidRPr="00F336AB" w:rsidTr="00F336AB">
        <w:trPr>
          <w:trHeight w:val="20"/>
          <w:tblCellSpacing w:w="0" w:type="dxa"/>
          <w:jc w:val="center"/>
        </w:trPr>
        <w:tc>
          <w:tcPr>
            <w:tcW w:w="0" w:type="auto"/>
            <w:vAlign w:val="center"/>
            <w:hideMark/>
          </w:tcPr>
          <w:p w:rsidR="00F336AB" w:rsidRPr="00F336AB" w:rsidRDefault="00F336AB" w:rsidP="00F336AB">
            <w:pPr>
              <w:rPr>
                <w:rFonts w:asciiTheme="majorHAnsi" w:hAnsiTheme="majorHAnsi"/>
                <w:sz w:val="18"/>
                <w:szCs w:val="18"/>
              </w:rPr>
            </w:pPr>
            <w:r w:rsidRPr="00F336AB">
              <w:rPr>
                <w:rFonts w:asciiTheme="majorHAnsi" w:hAnsiTheme="majorHAnsi"/>
                <w:sz w:val="18"/>
                <w:szCs w:val="18"/>
              </w:rPr>
              <w:t>Продажа офисных помещений</w:t>
            </w:r>
          </w:p>
        </w:tc>
        <w:tc>
          <w:tcPr>
            <w:tcW w:w="0" w:type="auto"/>
            <w:vAlign w:val="center"/>
            <w:hideMark/>
          </w:tcPr>
          <w:p w:rsidR="00F336AB" w:rsidRPr="00F336AB" w:rsidRDefault="00F336AB" w:rsidP="00F336AB">
            <w:pPr>
              <w:jc w:val="center"/>
              <w:rPr>
                <w:rFonts w:asciiTheme="majorHAnsi" w:hAnsiTheme="majorHAnsi"/>
                <w:sz w:val="18"/>
                <w:szCs w:val="18"/>
              </w:rPr>
            </w:pPr>
            <w:r w:rsidRPr="00F336AB">
              <w:rPr>
                <w:rFonts w:asciiTheme="majorHAnsi" w:hAnsiTheme="majorHAnsi"/>
                <w:sz w:val="18"/>
                <w:szCs w:val="18"/>
              </w:rPr>
              <w:t>50 000</w:t>
            </w:r>
          </w:p>
        </w:tc>
        <w:tc>
          <w:tcPr>
            <w:tcW w:w="0" w:type="auto"/>
            <w:vAlign w:val="center"/>
            <w:hideMark/>
          </w:tcPr>
          <w:p w:rsidR="00F336AB" w:rsidRPr="00F336AB" w:rsidRDefault="00F336AB" w:rsidP="00F336AB">
            <w:pPr>
              <w:jc w:val="center"/>
              <w:rPr>
                <w:rFonts w:asciiTheme="majorHAnsi" w:hAnsiTheme="majorHAnsi"/>
                <w:sz w:val="18"/>
                <w:szCs w:val="18"/>
              </w:rPr>
            </w:pPr>
            <w:r w:rsidRPr="00F336AB">
              <w:rPr>
                <w:rFonts w:asciiTheme="majorHAnsi" w:hAnsiTheme="majorHAnsi"/>
                <w:sz w:val="18"/>
                <w:szCs w:val="18"/>
              </w:rPr>
              <w:t>104 000</w:t>
            </w:r>
          </w:p>
        </w:tc>
      </w:tr>
      <w:tr w:rsidR="00F336AB" w:rsidRPr="00F336AB" w:rsidTr="00F336AB">
        <w:trPr>
          <w:trHeight w:val="20"/>
          <w:tblCellSpacing w:w="0" w:type="dxa"/>
          <w:jc w:val="center"/>
        </w:trPr>
        <w:tc>
          <w:tcPr>
            <w:tcW w:w="0" w:type="auto"/>
            <w:vAlign w:val="center"/>
            <w:hideMark/>
          </w:tcPr>
          <w:p w:rsidR="00F336AB" w:rsidRPr="00F336AB" w:rsidRDefault="00F336AB" w:rsidP="00F336AB">
            <w:pPr>
              <w:rPr>
                <w:rFonts w:asciiTheme="majorHAnsi" w:hAnsiTheme="majorHAnsi"/>
                <w:sz w:val="18"/>
                <w:szCs w:val="18"/>
              </w:rPr>
            </w:pPr>
            <w:r w:rsidRPr="00F336AB">
              <w:rPr>
                <w:rFonts w:asciiTheme="majorHAnsi" w:hAnsiTheme="majorHAnsi"/>
                <w:sz w:val="18"/>
                <w:szCs w:val="18"/>
              </w:rPr>
              <w:t>Продажа торговых помещений</w:t>
            </w:r>
          </w:p>
        </w:tc>
        <w:tc>
          <w:tcPr>
            <w:tcW w:w="0" w:type="auto"/>
            <w:vAlign w:val="center"/>
            <w:hideMark/>
          </w:tcPr>
          <w:p w:rsidR="00F336AB" w:rsidRPr="00F336AB" w:rsidRDefault="00F336AB" w:rsidP="00F336AB">
            <w:pPr>
              <w:jc w:val="center"/>
              <w:rPr>
                <w:rFonts w:asciiTheme="majorHAnsi" w:hAnsiTheme="majorHAnsi"/>
                <w:sz w:val="18"/>
                <w:szCs w:val="18"/>
              </w:rPr>
            </w:pPr>
            <w:r w:rsidRPr="00F336AB">
              <w:rPr>
                <w:rFonts w:asciiTheme="majorHAnsi" w:hAnsiTheme="majorHAnsi"/>
                <w:sz w:val="18"/>
                <w:szCs w:val="18"/>
              </w:rPr>
              <w:t>56 000</w:t>
            </w:r>
          </w:p>
        </w:tc>
        <w:tc>
          <w:tcPr>
            <w:tcW w:w="0" w:type="auto"/>
            <w:vAlign w:val="center"/>
            <w:hideMark/>
          </w:tcPr>
          <w:p w:rsidR="00F336AB" w:rsidRPr="00F336AB" w:rsidRDefault="00F336AB" w:rsidP="00F336AB">
            <w:pPr>
              <w:jc w:val="center"/>
              <w:rPr>
                <w:rFonts w:asciiTheme="majorHAnsi" w:hAnsiTheme="majorHAnsi"/>
                <w:sz w:val="18"/>
                <w:szCs w:val="18"/>
              </w:rPr>
            </w:pPr>
            <w:r w:rsidRPr="00F336AB">
              <w:rPr>
                <w:rFonts w:asciiTheme="majorHAnsi" w:hAnsiTheme="majorHAnsi"/>
                <w:sz w:val="18"/>
                <w:szCs w:val="18"/>
              </w:rPr>
              <w:t>140 000</w:t>
            </w:r>
          </w:p>
        </w:tc>
      </w:tr>
      <w:tr w:rsidR="00F336AB" w:rsidRPr="00F336AB" w:rsidTr="00F336AB">
        <w:trPr>
          <w:trHeight w:val="20"/>
          <w:tblCellSpacing w:w="0" w:type="dxa"/>
          <w:jc w:val="center"/>
        </w:trPr>
        <w:tc>
          <w:tcPr>
            <w:tcW w:w="0" w:type="auto"/>
            <w:vAlign w:val="center"/>
            <w:hideMark/>
          </w:tcPr>
          <w:p w:rsidR="00F336AB" w:rsidRPr="00F336AB" w:rsidRDefault="00F336AB" w:rsidP="00F336AB">
            <w:pPr>
              <w:rPr>
                <w:rFonts w:asciiTheme="majorHAnsi" w:hAnsiTheme="majorHAnsi"/>
                <w:sz w:val="18"/>
                <w:szCs w:val="18"/>
              </w:rPr>
            </w:pPr>
            <w:r w:rsidRPr="00F336AB">
              <w:rPr>
                <w:rFonts w:asciiTheme="majorHAnsi" w:hAnsiTheme="majorHAnsi"/>
                <w:sz w:val="18"/>
                <w:szCs w:val="18"/>
              </w:rPr>
              <w:t>Продажа производственно-складских помещений</w:t>
            </w:r>
          </w:p>
        </w:tc>
        <w:tc>
          <w:tcPr>
            <w:tcW w:w="0" w:type="auto"/>
            <w:vAlign w:val="center"/>
            <w:hideMark/>
          </w:tcPr>
          <w:p w:rsidR="00F336AB" w:rsidRPr="00F336AB" w:rsidRDefault="000A7C2B" w:rsidP="00F336AB">
            <w:pPr>
              <w:jc w:val="center"/>
              <w:rPr>
                <w:rFonts w:asciiTheme="majorHAnsi" w:hAnsiTheme="majorHAnsi"/>
                <w:sz w:val="18"/>
                <w:szCs w:val="18"/>
              </w:rPr>
            </w:pPr>
            <w:r>
              <w:rPr>
                <w:rFonts w:asciiTheme="majorHAnsi" w:hAnsiTheme="majorHAnsi"/>
                <w:sz w:val="18"/>
                <w:szCs w:val="18"/>
              </w:rPr>
              <w:t>9</w:t>
            </w:r>
            <w:r w:rsidR="00F336AB" w:rsidRPr="00F336AB">
              <w:rPr>
                <w:rFonts w:asciiTheme="majorHAnsi" w:hAnsiTheme="majorHAnsi"/>
                <w:sz w:val="18"/>
                <w:szCs w:val="18"/>
              </w:rPr>
              <w:t xml:space="preserve"> 000</w:t>
            </w:r>
          </w:p>
        </w:tc>
        <w:tc>
          <w:tcPr>
            <w:tcW w:w="0" w:type="auto"/>
            <w:vAlign w:val="center"/>
            <w:hideMark/>
          </w:tcPr>
          <w:p w:rsidR="00F336AB" w:rsidRPr="00F336AB" w:rsidRDefault="00F336AB" w:rsidP="00F336AB">
            <w:pPr>
              <w:jc w:val="center"/>
              <w:rPr>
                <w:rFonts w:asciiTheme="majorHAnsi" w:hAnsiTheme="majorHAnsi"/>
                <w:sz w:val="18"/>
                <w:szCs w:val="18"/>
              </w:rPr>
            </w:pPr>
            <w:r w:rsidRPr="00F336AB">
              <w:rPr>
                <w:rFonts w:asciiTheme="majorHAnsi" w:hAnsiTheme="majorHAnsi"/>
                <w:sz w:val="18"/>
                <w:szCs w:val="18"/>
              </w:rPr>
              <w:t>28 000</w:t>
            </w:r>
          </w:p>
        </w:tc>
      </w:tr>
      <w:tr w:rsidR="00F336AB" w:rsidRPr="00F336AB" w:rsidTr="00F336AB">
        <w:trPr>
          <w:trHeight w:val="20"/>
          <w:tblCellSpacing w:w="0" w:type="dxa"/>
          <w:jc w:val="center"/>
        </w:trPr>
        <w:tc>
          <w:tcPr>
            <w:tcW w:w="0" w:type="auto"/>
            <w:vAlign w:val="center"/>
            <w:hideMark/>
          </w:tcPr>
          <w:p w:rsidR="00F336AB" w:rsidRPr="00F336AB" w:rsidRDefault="00F336AB" w:rsidP="00F336AB">
            <w:pPr>
              <w:rPr>
                <w:rFonts w:asciiTheme="majorHAnsi" w:hAnsiTheme="majorHAnsi"/>
                <w:sz w:val="18"/>
                <w:szCs w:val="18"/>
              </w:rPr>
            </w:pPr>
            <w:r w:rsidRPr="00F336AB">
              <w:rPr>
                <w:rFonts w:asciiTheme="majorHAnsi" w:hAnsiTheme="majorHAnsi"/>
                <w:sz w:val="18"/>
                <w:szCs w:val="18"/>
              </w:rPr>
              <w:t>Продажа административных зданий</w:t>
            </w:r>
          </w:p>
        </w:tc>
        <w:tc>
          <w:tcPr>
            <w:tcW w:w="0" w:type="auto"/>
            <w:vAlign w:val="center"/>
            <w:hideMark/>
          </w:tcPr>
          <w:p w:rsidR="00F336AB" w:rsidRPr="00F336AB" w:rsidRDefault="000A7C2B" w:rsidP="00F336AB">
            <w:pPr>
              <w:jc w:val="center"/>
              <w:rPr>
                <w:rFonts w:asciiTheme="majorHAnsi" w:hAnsiTheme="majorHAnsi"/>
                <w:sz w:val="18"/>
                <w:szCs w:val="18"/>
              </w:rPr>
            </w:pPr>
            <w:r>
              <w:rPr>
                <w:rFonts w:asciiTheme="majorHAnsi" w:hAnsiTheme="majorHAnsi"/>
                <w:sz w:val="18"/>
                <w:szCs w:val="18"/>
              </w:rPr>
              <w:t>17</w:t>
            </w:r>
            <w:r w:rsidR="00F336AB" w:rsidRPr="00F336AB">
              <w:rPr>
                <w:rFonts w:asciiTheme="majorHAnsi" w:hAnsiTheme="majorHAnsi"/>
                <w:sz w:val="18"/>
                <w:szCs w:val="18"/>
              </w:rPr>
              <w:t xml:space="preserve"> 700</w:t>
            </w:r>
          </w:p>
        </w:tc>
        <w:tc>
          <w:tcPr>
            <w:tcW w:w="0" w:type="auto"/>
            <w:vAlign w:val="center"/>
            <w:hideMark/>
          </w:tcPr>
          <w:p w:rsidR="00F336AB" w:rsidRPr="00F336AB" w:rsidRDefault="00F336AB" w:rsidP="00F336AB">
            <w:pPr>
              <w:jc w:val="center"/>
              <w:rPr>
                <w:rFonts w:asciiTheme="majorHAnsi" w:hAnsiTheme="majorHAnsi"/>
                <w:sz w:val="18"/>
                <w:szCs w:val="18"/>
              </w:rPr>
            </w:pPr>
            <w:r w:rsidRPr="00F336AB">
              <w:rPr>
                <w:rFonts w:asciiTheme="majorHAnsi" w:hAnsiTheme="majorHAnsi"/>
                <w:sz w:val="18"/>
                <w:szCs w:val="18"/>
              </w:rPr>
              <w:t>83 000</w:t>
            </w:r>
          </w:p>
        </w:tc>
      </w:tr>
      <w:tr w:rsidR="00F336AB" w:rsidRPr="00F336AB" w:rsidTr="00F336AB">
        <w:trPr>
          <w:trHeight w:val="20"/>
          <w:tblCellSpacing w:w="0" w:type="dxa"/>
          <w:jc w:val="center"/>
        </w:trPr>
        <w:tc>
          <w:tcPr>
            <w:tcW w:w="0" w:type="auto"/>
            <w:vAlign w:val="center"/>
            <w:hideMark/>
          </w:tcPr>
          <w:p w:rsidR="00F336AB" w:rsidRPr="00F336AB" w:rsidRDefault="00F336AB" w:rsidP="00F336AB">
            <w:pPr>
              <w:rPr>
                <w:rFonts w:asciiTheme="majorHAnsi" w:hAnsiTheme="majorHAnsi"/>
                <w:sz w:val="18"/>
                <w:szCs w:val="18"/>
              </w:rPr>
            </w:pPr>
            <w:r w:rsidRPr="00F336AB">
              <w:rPr>
                <w:rFonts w:asciiTheme="majorHAnsi" w:hAnsiTheme="majorHAnsi"/>
                <w:sz w:val="18"/>
                <w:szCs w:val="18"/>
              </w:rPr>
              <w:t>Продажа торговых центров и зданий</w:t>
            </w:r>
          </w:p>
        </w:tc>
        <w:tc>
          <w:tcPr>
            <w:tcW w:w="0" w:type="auto"/>
            <w:vAlign w:val="center"/>
            <w:hideMark/>
          </w:tcPr>
          <w:p w:rsidR="00F336AB" w:rsidRPr="00F336AB" w:rsidRDefault="00F336AB" w:rsidP="00F336AB">
            <w:pPr>
              <w:jc w:val="center"/>
              <w:rPr>
                <w:rFonts w:asciiTheme="majorHAnsi" w:hAnsiTheme="majorHAnsi"/>
                <w:sz w:val="18"/>
                <w:szCs w:val="18"/>
              </w:rPr>
            </w:pPr>
            <w:r w:rsidRPr="00F336AB">
              <w:rPr>
                <w:rFonts w:asciiTheme="majorHAnsi" w:hAnsiTheme="majorHAnsi"/>
                <w:sz w:val="18"/>
                <w:szCs w:val="18"/>
              </w:rPr>
              <w:t>34 700</w:t>
            </w:r>
          </w:p>
        </w:tc>
        <w:tc>
          <w:tcPr>
            <w:tcW w:w="0" w:type="auto"/>
            <w:vAlign w:val="center"/>
            <w:hideMark/>
          </w:tcPr>
          <w:p w:rsidR="00F336AB" w:rsidRPr="00F336AB" w:rsidRDefault="00F336AB" w:rsidP="00F336AB">
            <w:pPr>
              <w:jc w:val="center"/>
              <w:rPr>
                <w:rFonts w:asciiTheme="majorHAnsi" w:hAnsiTheme="majorHAnsi"/>
                <w:sz w:val="18"/>
                <w:szCs w:val="18"/>
              </w:rPr>
            </w:pPr>
            <w:r w:rsidRPr="00F336AB">
              <w:rPr>
                <w:rFonts w:asciiTheme="majorHAnsi" w:hAnsiTheme="majorHAnsi"/>
                <w:sz w:val="18"/>
                <w:szCs w:val="18"/>
              </w:rPr>
              <w:t>78 000</w:t>
            </w:r>
          </w:p>
        </w:tc>
      </w:tr>
      <w:tr w:rsidR="00F336AB" w:rsidRPr="00F336AB" w:rsidTr="00F336AB">
        <w:trPr>
          <w:trHeight w:val="20"/>
          <w:tblCellSpacing w:w="0" w:type="dxa"/>
          <w:jc w:val="center"/>
        </w:trPr>
        <w:tc>
          <w:tcPr>
            <w:tcW w:w="0" w:type="auto"/>
            <w:vAlign w:val="center"/>
            <w:hideMark/>
          </w:tcPr>
          <w:p w:rsidR="00F336AB" w:rsidRPr="00F336AB" w:rsidRDefault="00F336AB" w:rsidP="00F336AB">
            <w:pPr>
              <w:rPr>
                <w:rFonts w:asciiTheme="majorHAnsi" w:hAnsiTheme="majorHAnsi"/>
                <w:sz w:val="18"/>
                <w:szCs w:val="18"/>
              </w:rPr>
            </w:pPr>
            <w:r w:rsidRPr="00F336AB">
              <w:rPr>
                <w:rFonts w:asciiTheme="majorHAnsi" w:hAnsiTheme="majorHAnsi"/>
                <w:sz w:val="18"/>
                <w:szCs w:val="18"/>
              </w:rPr>
              <w:t>Продажа производственно-складских зданий</w:t>
            </w:r>
          </w:p>
        </w:tc>
        <w:tc>
          <w:tcPr>
            <w:tcW w:w="0" w:type="auto"/>
            <w:vAlign w:val="center"/>
            <w:hideMark/>
          </w:tcPr>
          <w:p w:rsidR="00F336AB" w:rsidRPr="00F336AB" w:rsidRDefault="003D3BC9" w:rsidP="00F336AB">
            <w:pPr>
              <w:jc w:val="center"/>
              <w:rPr>
                <w:rFonts w:asciiTheme="majorHAnsi" w:hAnsiTheme="majorHAnsi"/>
                <w:sz w:val="18"/>
                <w:szCs w:val="18"/>
              </w:rPr>
            </w:pPr>
            <w:r>
              <w:rPr>
                <w:rFonts w:asciiTheme="majorHAnsi" w:hAnsiTheme="majorHAnsi"/>
                <w:sz w:val="18"/>
                <w:szCs w:val="18"/>
              </w:rPr>
              <w:t>8</w:t>
            </w:r>
            <w:r w:rsidR="00F336AB" w:rsidRPr="00F336AB">
              <w:rPr>
                <w:rFonts w:asciiTheme="majorHAnsi" w:hAnsiTheme="majorHAnsi"/>
                <w:sz w:val="18"/>
                <w:szCs w:val="18"/>
              </w:rPr>
              <w:t xml:space="preserve"> 000</w:t>
            </w:r>
          </w:p>
        </w:tc>
        <w:tc>
          <w:tcPr>
            <w:tcW w:w="0" w:type="auto"/>
            <w:vAlign w:val="center"/>
            <w:hideMark/>
          </w:tcPr>
          <w:p w:rsidR="00F336AB" w:rsidRPr="00F336AB" w:rsidRDefault="00F336AB" w:rsidP="00F336AB">
            <w:pPr>
              <w:jc w:val="center"/>
              <w:rPr>
                <w:rFonts w:asciiTheme="majorHAnsi" w:hAnsiTheme="majorHAnsi"/>
                <w:sz w:val="18"/>
                <w:szCs w:val="18"/>
              </w:rPr>
            </w:pPr>
            <w:r w:rsidRPr="00F336AB">
              <w:rPr>
                <w:rFonts w:asciiTheme="majorHAnsi" w:hAnsiTheme="majorHAnsi"/>
                <w:sz w:val="18"/>
                <w:szCs w:val="18"/>
              </w:rPr>
              <w:t>30 000</w:t>
            </w:r>
          </w:p>
        </w:tc>
      </w:tr>
    </w:tbl>
    <w:p w:rsidR="009533CF" w:rsidRDefault="009533CF" w:rsidP="009533CF">
      <w:pPr>
        <w:suppressAutoHyphens/>
        <w:ind w:firstLine="720"/>
        <w:jc w:val="right"/>
        <w:rPr>
          <w:rFonts w:asciiTheme="majorHAnsi" w:eastAsia="Calibri" w:hAnsiTheme="majorHAnsi"/>
          <w:b/>
          <w:bCs/>
          <w:sz w:val="20"/>
          <w:szCs w:val="20"/>
          <w:lang w:eastAsia="ar-SA"/>
        </w:rPr>
      </w:pPr>
    </w:p>
    <w:p w:rsidR="00F336AB" w:rsidRDefault="009533CF" w:rsidP="009533CF">
      <w:pPr>
        <w:suppressAutoHyphens/>
        <w:ind w:firstLine="720"/>
        <w:jc w:val="right"/>
        <w:rPr>
          <w:rFonts w:asciiTheme="majorHAnsi" w:eastAsia="Calibri" w:hAnsiTheme="majorHAnsi"/>
          <w:bCs/>
          <w:sz w:val="20"/>
          <w:szCs w:val="20"/>
          <w:lang w:eastAsia="ar-SA"/>
        </w:rPr>
      </w:pPr>
      <w:r w:rsidRPr="00DC365C">
        <w:rPr>
          <w:rFonts w:asciiTheme="majorHAnsi" w:eastAsia="Calibri" w:hAnsiTheme="majorHAnsi"/>
          <w:b/>
          <w:bCs/>
          <w:sz w:val="20"/>
          <w:szCs w:val="20"/>
          <w:lang w:eastAsia="ar-SA"/>
        </w:rPr>
        <w:t xml:space="preserve">Таблица </w:t>
      </w:r>
      <w:r>
        <w:rPr>
          <w:rFonts w:asciiTheme="majorHAnsi" w:eastAsia="Calibri" w:hAnsiTheme="majorHAnsi"/>
          <w:b/>
          <w:bCs/>
          <w:sz w:val="20"/>
          <w:szCs w:val="20"/>
          <w:lang w:eastAsia="ar-SA"/>
        </w:rPr>
        <w:t>2</w:t>
      </w:r>
      <w:r w:rsidRPr="00DC365C">
        <w:rPr>
          <w:rFonts w:asciiTheme="majorHAnsi" w:eastAsia="Calibri" w:hAnsiTheme="majorHAnsi"/>
          <w:bCs/>
          <w:sz w:val="20"/>
          <w:szCs w:val="20"/>
          <w:lang w:eastAsia="ar-SA"/>
        </w:rPr>
        <w:t>.</w:t>
      </w:r>
      <w:r>
        <w:rPr>
          <w:rFonts w:asciiTheme="majorHAnsi" w:eastAsia="Calibri" w:hAnsiTheme="majorHAnsi"/>
          <w:bCs/>
          <w:sz w:val="20"/>
          <w:szCs w:val="20"/>
          <w:lang w:eastAsia="ar-SA"/>
        </w:rPr>
        <w:t xml:space="preserve"> Рынок аренды</w:t>
      </w:r>
    </w:p>
    <w:p w:rsidR="009533CF" w:rsidRPr="00F336AB" w:rsidRDefault="009533CF" w:rsidP="009533CF">
      <w:pPr>
        <w:suppressAutoHyphens/>
        <w:ind w:firstLine="720"/>
        <w:jc w:val="right"/>
        <w:rPr>
          <w:rFonts w:asciiTheme="majorHAnsi" w:eastAsia="Calibri" w:hAnsiTheme="majorHAnsi"/>
          <w:sz w:val="20"/>
          <w:szCs w:val="20"/>
          <w:lang w:eastAsia="ar-SA"/>
        </w:rPr>
      </w:pPr>
    </w:p>
    <w:tbl>
      <w:tblPr>
        <w:tblW w:w="8550" w:type="dxa"/>
        <w:jc w:val="center"/>
        <w:tblCellSpacing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3970"/>
        <w:gridCol w:w="2277"/>
        <w:gridCol w:w="2303"/>
      </w:tblGrid>
      <w:tr w:rsidR="00F336AB" w:rsidRPr="00F336AB" w:rsidTr="00271973">
        <w:trPr>
          <w:trHeight w:val="20"/>
          <w:tblCellSpacing w:w="0" w:type="dxa"/>
          <w:jc w:val="center"/>
        </w:trPr>
        <w:tc>
          <w:tcPr>
            <w:tcW w:w="3939" w:type="dxa"/>
            <w:tcBorders>
              <w:top w:val="double" w:sz="4" w:space="0" w:color="auto"/>
              <w:bottom w:val="single" w:sz="6" w:space="0" w:color="auto"/>
            </w:tcBorders>
            <w:shd w:val="clear" w:color="auto" w:fill="F2F2F2" w:themeFill="background1" w:themeFillShade="F2"/>
            <w:vAlign w:val="center"/>
            <w:hideMark/>
          </w:tcPr>
          <w:p w:rsidR="00F336AB" w:rsidRPr="00F336AB" w:rsidRDefault="00F336AB" w:rsidP="00F336AB">
            <w:pPr>
              <w:jc w:val="center"/>
              <w:rPr>
                <w:rFonts w:asciiTheme="majorHAnsi" w:hAnsiTheme="majorHAnsi"/>
                <w:b/>
                <w:sz w:val="18"/>
                <w:szCs w:val="18"/>
              </w:rPr>
            </w:pPr>
            <w:r w:rsidRPr="00F336AB">
              <w:rPr>
                <w:rFonts w:asciiTheme="majorHAnsi" w:hAnsiTheme="majorHAnsi"/>
                <w:b/>
                <w:sz w:val="18"/>
                <w:szCs w:val="18"/>
              </w:rPr>
              <w:t>Коммерческая недвижимость - аренда</w:t>
            </w:r>
          </w:p>
        </w:tc>
        <w:tc>
          <w:tcPr>
            <w:tcW w:w="2293" w:type="dxa"/>
            <w:tcBorders>
              <w:top w:val="double" w:sz="4" w:space="0" w:color="auto"/>
              <w:bottom w:val="single" w:sz="6" w:space="0" w:color="auto"/>
            </w:tcBorders>
            <w:shd w:val="clear" w:color="auto" w:fill="F2F2F2" w:themeFill="background1" w:themeFillShade="F2"/>
            <w:vAlign w:val="center"/>
            <w:hideMark/>
          </w:tcPr>
          <w:p w:rsidR="00F336AB" w:rsidRPr="00F336AB" w:rsidRDefault="00F336AB" w:rsidP="00F336AB">
            <w:pPr>
              <w:jc w:val="center"/>
              <w:rPr>
                <w:rFonts w:asciiTheme="majorHAnsi" w:hAnsiTheme="majorHAnsi"/>
                <w:b/>
                <w:sz w:val="18"/>
                <w:szCs w:val="18"/>
              </w:rPr>
            </w:pPr>
            <w:r w:rsidRPr="00F336AB">
              <w:rPr>
                <w:rFonts w:asciiTheme="majorHAnsi" w:hAnsiTheme="majorHAnsi"/>
                <w:b/>
                <w:sz w:val="18"/>
                <w:szCs w:val="18"/>
              </w:rPr>
              <w:t>Минимальное значение, руб./кв.м. в мес.</w:t>
            </w:r>
          </w:p>
        </w:tc>
        <w:tc>
          <w:tcPr>
            <w:tcW w:w="2318" w:type="dxa"/>
            <w:tcBorders>
              <w:top w:val="double" w:sz="4" w:space="0" w:color="auto"/>
              <w:bottom w:val="single" w:sz="6" w:space="0" w:color="auto"/>
            </w:tcBorders>
            <w:shd w:val="clear" w:color="auto" w:fill="F2F2F2" w:themeFill="background1" w:themeFillShade="F2"/>
            <w:vAlign w:val="center"/>
            <w:hideMark/>
          </w:tcPr>
          <w:p w:rsidR="00F336AB" w:rsidRPr="00F336AB" w:rsidRDefault="00F336AB" w:rsidP="00F336AB">
            <w:pPr>
              <w:jc w:val="center"/>
              <w:rPr>
                <w:rFonts w:asciiTheme="majorHAnsi" w:hAnsiTheme="majorHAnsi"/>
                <w:b/>
                <w:sz w:val="18"/>
                <w:szCs w:val="18"/>
              </w:rPr>
            </w:pPr>
            <w:r w:rsidRPr="00F336AB">
              <w:rPr>
                <w:rFonts w:asciiTheme="majorHAnsi" w:hAnsiTheme="majorHAnsi"/>
                <w:b/>
                <w:sz w:val="18"/>
                <w:szCs w:val="18"/>
              </w:rPr>
              <w:t>Максимальное значение, руб./кв.м. в мес</w:t>
            </w:r>
          </w:p>
        </w:tc>
      </w:tr>
      <w:tr w:rsidR="00F336AB" w:rsidRPr="00F336AB" w:rsidTr="00F336AB">
        <w:trPr>
          <w:trHeight w:val="20"/>
          <w:tblCellSpacing w:w="0" w:type="dxa"/>
          <w:jc w:val="center"/>
        </w:trPr>
        <w:tc>
          <w:tcPr>
            <w:tcW w:w="0" w:type="auto"/>
            <w:vAlign w:val="center"/>
            <w:hideMark/>
          </w:tcPr>
          <w:p w:rsidR="00F336AB" w:rsidRPr="00F336AB" w:rsidRDefault="00F336AB" w:rsidP="00F336AB">
            <w:pPr>
              <w:rPr>
                <w:rFonts w:asciiTheme="majorHAnsi" w:hAnsiTheme="majorHAnsi"/>
                <w:sz w:val="18"/>
                <w:szCs w:val="18"/>
              </w:rPr>
            </w:pPr>
            <w:r w:rsidRPr="00F336AB">
              <w:rPr>
                <w:rFonts w:asciiTheme="majorHAnsi" w:hAnsiTheme="majorHAnsi"/>
                <w:sz w:val="18"/>
                <w:szCs w:val="18"/>
              </w:rPr>
              <w:t>Аренда офисных помещений</w:t>
            </w:r>
          </w:p>
        </w:tc>
        <w:tc>
          <w:tcPr>
            <w:tcW w:w="0" w:type="auto"/>
            <w:vAlign w:val="center"/>
            <w:hideMark/>
          </w:tcPr>
          <w:p w:rsidR="00F336AB" w:rsidRPr="00F336AB" w:rsidRDefault="000A7C2B" w:rsidP="00F336AB">
            <w:pPr>
              <w:jc w:val="center"/>
              <w:rPr>
                <w:rFonts w:asciiTheme="majorHAnsi" w:hAnsiTheme="majorHAnsi"/>
                <w:sz w:val="18"/>
                <w:szCs w:val="18"/>
              </w:rPr>
            </w:pPr>
            <w:r>
              <w:rPr>
                <w:rFonts w:asciiTheme="majorHAnsi" w:hAnsiTheme="majorHAnsi"/>
                <w:sz w:val="18"/>
                <w:szCs w:val="18"/>
              </w:rPr>
              <w:t>150</w:t>
            </w:r>
          </w:p>
        </w:tc>
        <w:tc>
          <w:tcPr>
            <w:tcW w:w="0" w:type="auto"/>
            <w:vAlign w:val="center"/>
            <w:hideMark/>
          </w:tcPr>
          <w:p w:rsidR="00F336AB" w:rsidRPr="00F336AB" w:rsidRDefault="00F336AB" w:rsidP="00F336AB">
            <w:pPr>
              <w:jc w:val="center"/>
              <w:rPr>
                <w:rFonts w:asciiTheme="majorHAnsi" w:hAnsiTheme="majorHAnsi"/>
                <w:sz w:val="18"/>
                <w:szCs w:val="18"/>
              </w:rPr>
            </w:pPr>
            <w:r w:rsidRPr="00F336AB">
              <w:rPr>
                <w:rFonts w:asciiTheme="majorHAnsi" w:hAnsiTheme="majorHAnsi"/>
                <w:sz w:val="18"/>
                <w:szCs w:val="18"/>
              </w:rPr>
              <w:t>770</w:t>
            </w:r>
          </w:p>
        </w:tc>
      </w:tr>
      <w:tr w:rsidR="00F336AB" w:rsidRPr="00F336AB" w:rsidTr="00F336AB">
        <w:trPr>
          <w:trHeight w:val="20"/>
          <w:tblCellSpacing w:w="0" w:type="dxa"/>
          <w:jc w:val="center"/>
        </w:trPr>
        <w:tc>
          <w:tcPr>
            <w:tcW w:w="0" w:type="auto"/>
            <w:vAlign w:val="center"/>
            <w:hideMark/>
          </w:tcPr>
          <w:p w:rsidR="00F336AB" w:rsidRPr="00F336AB" w:rsidRDefault="00F336AB" w:rsidP="00F336AB">
            <w:pPr>
              <w:rPr>
                <w:rFonts w:asciiTheme="majorHAnsi" w:hAnsiTheme="majorHAnsi"/>
                <w:sz w:val="18"/>
                <w:szCs w:val="18"/>
              </w:rPr>
            </w:pPr>
            <w:r w:rsidRPr="00F336AB">
              <w:rPr>
                <w:rFonts w:asciiTheme="majorHAnsi" w:hAnsiTheme="majorHAnsi"/>
                <w:sz w:val="18"/>
                <w:szCs w:val="18"/>
              </w:rPr>
              <w:t>Аренда торговых помещений</w:t>
            </w:r>
          </w:p>
        </w:tc>
        <w:tc>
          <w:tcPr>
            <w:tcW w:w="0" w:type="auto"/>
            <w:vAlign w:val="center"/>
            <w:hideMark/>
          </w:tcPr>
          <w:p w:rsidR="00F336AB" w:rsidRPr="00F336AB" w:rsidRDefault="00F336AB" w:rsidP="000A7C2B">
            <w:pPr>
              <w:jc w:val="center"/>
              <w:rPr>
                <w:rFonts w:asciiTheme="majorHAnsi" w:hAnsiTheme="majorHAnsi"/>
                <w:sz w:val="18"/>
                <w:szCs w:val="18"/>
              </w:rPr>
            </w:pPr>
            <w:r w:rsidRPr="00F336AB">
              <w:rPr>
                <w:rFonts w:asciiTheme="majorHAnsi" w:hAnsiTheme="majorHAnsi"/>
                <w:sz w:val="18"/>
                <w:szCs w:val="18"/>
              </w:rPr>
              <w:t>3</w:t>
            </w:r>
            <w:r w:rsidR="000A7C2B">
              <w:rPr>
                <w:rFonts w:asciiTheme="majorHAnsi" w:hAnsiTheme="majorHAnsi"/>
                <w:sz w:val="18"/>
                <w:szCs w:val="18"/>
              </w:rPr>
              <w:t>0</w:t>
            </w:r>
            <w:r w:rsidRPr="00F336AB">
              <w:rPr>
                <w:rFonts w:asciiTheme="majorHAnsi" w:hAnsiTheme="majorHAnsi"/>
                <w:sz w:val="18"/>
                <w:szCs w:val="18"/>
              </w:rPr>
              <w:t>0</w:t>
            </w:r>
          </w:p>
        </w:tc>
        <w:tc>
          <w:tcPr>
            <w:tcW w:w="0" w:type="auto"/>
            <w:vAlign w:val="center"/>
            <w:hideMark/>
          </w:tcPr>
          <w:p w:rsidR="00F336AB" w:rsidRPr="00F336AB" w:rsidRDefault="00F336AB" w:rsidP="00F336AB">
            <w:pPr>
              <w:jc w:val="center"/>
              <w:rPr>
                <w:rFonts w:asciiTheme="majorHAnsi" w:hAnsiTheme="majorHAnsi"/>
                <w:sz w:val="18"/>
                <w:szCs w:val="18"/>
              </w:rPr>
            </w:pPr>
            <w:r w:rsidRPr="00F336AB">
              <w:rPr>
                <w:rFonts w:asciiTheme="majorHAnsi" w:hAnsiTheme="majorHAnsi"/>
                <w:sz w:val="18"/>
                <w:szCs w:val="18"/>
              </w:rPr>
              <w:t>850</w:t>
            </w:r>
          </w:p>
        </w:tc>
      </w:tr>
      <w:tr w:rsidR="00F336AB" w:rsidRPr="00F336AB" w:rsidTr="00F336AB">
        <w:trPr>
          <w:trHeight w:val="20"/>
          <w:tblCellSpacing w:w="0" w:type="dxa"/>
          <w:jc w:val="center"/>
        </w:trPr>
        <w:tc>
          <w:tcPr>
            <w:tcW w:w="0" w:type="auto"/>
            <w:vAlign w:val="center"/>
            <w:hideMark/>
          </w:tcPr>
          <w:p w:rsidR="00F336AB" w:rsidRPr="00F336AB" w:rsidRDefault="00F336AB" w:rsidP="00F336AB">
            <w:pPr>
              <w:rPr>
                <w:rFonts w:asciiTheme="majorHAnsi" w:hAnsiTheme="majorHAnsi"/>
                <w:sz w:val="18"/>
                <w:szCs w:val="18"/>
              </w:rPr>
            </w:pPr>
            <w:r w:rsidRPr="00F336AB">
              <w:rPr>
                <w:rFonts w:asciiTheme="majorHAnsi" w:hAnsiTheme="majorHAnsi"/>
                <w:sz w:val="18"/>
                <w:szCs w:val="18"/>
              </w:rPr>
              <w:t>Аренда производственно-складских помещений</w:t>
            </w:r>
          </w:p>
        </w:tc>
        <w:tc>
          <w:tcPr>
            <w:tcW w:w="0" w:type="auto"/>
            <w:vAlign w:val="center"/>
            <w:hideMark/>
          </w:tcPr>
          <w:p w:rsidR="00F336AB" w:rsidRPr="00F336AB" w:rsidRDefault="003D3BC9" w:rsidP="00F336AB">
            <w:pPr>
              <w:jc w:val="center"/>
              <w:rPr>
                <w:rFonts w:asciiTheme="majorHAnsi" w:hAnsiTheme="majorHAnsi"/>
                <w:sz w:val="18"/>
                <w:szCs w:val="18"/>
              </w:rPr>
            </w:pPr>
            <w:r>
              <w:rPr>
                <w:rFonts w:asciiTheme="majorHAnsi" w:hAnsiTheme="majorHAnsi"/>
                <w:sz w:val="18"/>
                <w:szCs w:val="18"/>
              </w:rPr>
              <w:t>10</w:t>
            </w:r>
            <w:r w:rsidR="00F336AB" w:rsidRPr="00F336AB">
              <w:rPr>
                <w:rFonts w:asciiTheme="majorHAnsi" w:hAnsiTheme="majorHAnsi"/>
                <w:sz w:val="18"/>
                <w:szCs w:val="18"/>
              </w:rPr>
              <w:t>0</w:t>
            </w:r>
          </w:p>
        </w:tc>
        <w:tc>
          <w:tcPr>
            <w:tcW w:w="0" w:type="auto"/>
            <w:vAlign w:val="center"/>
            <w:hideMark/>
          </w:tcPr>
          <w:p w:rsidR="00F336AB" w:rsidRPr="00F336AB" w:rsidRDefault="003D3BC9" w:rsidP="00F336AB">
            <w:pPr>
              <w:jc w:val="center"/>
              <w:rPr>
                <w:rFonts w:asciiTheme="majorHAnsi" w:hAnsiTheme="majorHAnsi"/>
                <w:sz w:val="18"/>
                <w:szCs w:val="18"/>
              </w:rPr>
            </w:pPr>
            <w:r>
              <w:rPr>
                <w:rFonts w:asciiTheme="majorHAnsi" w:hAnsiTheme="majorHAnsi"/>
                <w:sz w:val="18"/>
                <w:szCs w:val="18"/>
              </w:rPr>
              <w:t>350</w:t>
            </w:r>
          </w:p>
        </w:tc>
      </w:tr>
    </w:tbl>
    <w:p w:rsidR="00F336AB" w:rsidRDefault="00F336AB" w:rsidP="00F336AB">
      <w:pPr>
        <w:suppressAutoHyphens/>
        <w:ind w:firstLine="720"/>
        <w:jc w:val="both"/>
        <w:rPr>
          <w:rFonts w:asciiTheme="majorHAnsi" w:eastAsia="Calibri" w:hAnsiTheme="majorHAnsi"/>
          <w:sz w:val="20"/>
          <w:szCs w:val="20"/>
          <w:lang w:eastAsia="ar-SA"/>
        </w:rPr>
      </w:pPr>
    </w:p>
    <w:p w:rsidR="003D3BC9" w:rsidRPr="00DC365C" w:rsidRDefault="00DC365C" w:rsidP="009533CF">
      <w:pPr>
        <w:suppressAutoHyphens/>
        <w:ind w:firstLine="720"/>
        <w:jc w:val="center"/>
        <w:rPr>
          <w:rFonts w:asciiTheme="majorHAnsi" w:eastAsia="Calibri" w:hAnsiTheme="majorHAnsi"/>
          <w:i/>
          <w:iCs/>
          <w:sz w:val="20"/>
          <w:szCs w:val="20"/>
          <w:lang w:eastAsia="en-US" w:bidi="en-US"/>
        </w:rPr>
      </w:pPr>
      <w:r w:rsidRPr="00DC365C">
        <w:rPr>
          <w:rFonts w:asciiTheme="majorHAnsi" w:eastAsia="Calibri" w:hAnsiTheme="majorHAnsi"/>
          <w:b/>
          <w:bCs/>
          <w:i/>
          <w:iCs/>
          <w:sz w:val="20"/>
          <w:szCs w:val="20"/>
          <w:lang w:eastAsia="en-US"/>
        </w:rPr>
        <w:t>Источник</w:t>
      </w:r>
      <w:r w:rsidRPr="00DC365C">
        <w:rPr>
          <w:rFonts w:asciiTheme="majorHAnsi" w:eastAsia="Calibri" w:hAnsiTheme="majorHAnsi"/>
          <w:i/>
          <w:iCs/>
          <w:sz w:val="20"/>
          <w:szCs w:val="20"/>
          <w:lang w:eastAsia="en-US"/>
        </w:rPr>
        <w:t xml:space="preserve">: </w:t>
      </w:r>
      <w:r w:rsidR="009533CF" w:rsidRPr="009533CF">
        <w:rPr>
          <w:bCs/>
          <w:i/>
          <w:iCs/>
          <w:sz w:val="20"/>
          <w:szCs w:val="20"/>
        </w:rPr>
        <w:t>ООО "РусБизнесПрайсИнформ"</w:t>
      </w:r>
      <w:r w:rsidR="009533CF" w:rsidRPr="009533CF">
        <w:br/>
      </w:r>
    </w:p>
    <w:p w:rsidR="003D3BC9" w:rsidRDefault="003D3BC9" w:rsidP="00271973">
      <w:pPr>
        <w:pStyle w:val="af6"/>
        <w:ind w:firstLine="0"/>
        <w:jc w:val="center"/>
        <w:rPr>
          <w:rFonts w:asciiTheme="majorHAnsi" w:eastAsiaTheme="minorHAnsi" w:hAnsiTheme="majorHAnsi"/>
          <w:b/>
          <w:bCs/>
          <w:spacing w:val="-6"/>
          <w:sz w:val="20"/>
          <w:szCs w:val="20"/>
          <w:lang w:eastAsia="en-US"/>
        </w:rPr>
      </w:pPr>
    </w:p>
    <w:p w:rsidR="00271973" w:rsidRDefault="00271973" w:rsidP="00271973">
      <w:pPr>
        <w:pStyle w:val="af6"/>
        <w:ind w:firstLine="0"/>
        <w:jc w:val="center"/>
        <w:rPr>
          <w:rFonts w:asciiTheme="majorHAnsi" w:eastAsiaTheme="minorHAnsi" w:hAnsiTheme="majorHAnsi"/>
          <w:b/>
          <w:bCs/>
          <w:spacing w:val="-6"/>
          <w:sz w:val="20"/>
          <w:szCs w:val="20"/>
          <w:lang w:eastAsia="en-US"/>
        </w:rPr>
      </w:pPr>
      <w:r>
        <w:rPr>
          <w:rFonts w:asciiTheme="majorHAnsi" w:eastAsiaTheme="minorHAnsi" w:hAnsiTheme="majorHAnsi"/>
          <w:b/>
          <w:bCs/>
          <w:spacing w:val="-6"/>
          <w:sz w:val="20"/>
          <w:szCs w:val="20"/>
          <w:lang w:eastAsia="en-US"/>
        </w:rPr>
        <w:lastRenderedPageBreak/>
        <w:t xml:space="preserve">Анализ текущей ситуации на </w:t>
      </w:r>
      <w:r w:rsidRPr="00271973">
        <w:rPr>
          <w:rFonts w:asciiTheme="majorHAnsi" w:eastAsiaTheme="minorHAnsi" w:hAnsiTheme="majorHAnsi"/>
          <w:b/>
          <w:bCs/>
          <w:spacing w:val="-6"/>
          <w:sz w:val="20"/>
          <w:szCs w:val="20"/>
          <w:lang w:eastAsia="en-US"/>
        </w:rPr>
        <w:t xml:space="preserve"> рынк</w:t>
      </w:r>
      <w:r>
        <w:rPr>
          <w:rFonts w:asciiTheme="majorHAnsi" w:eastAsiaTheme="minorHAnsi" w:hAnsiTheme="majorHAnsi"/>
          <w:b/>
          <w:bCs/>
          <w:spacing w:val="-6"/>
          <w:sz w:val="20"/>
          <w:szCs w:val="20"/>
          <w:lang w:eastAsia="en-US"/>
        </w:rPr>
        <w:t>е</w:t>
      </w:r>
      <w:r w:rsidRPr="00271973">
        <w:rPr>
          <w:rFonts w:asciiTheme="majorHAnsi" w:eastAsiaTheme="minorHAnsi" w:hAnsiTheme="majorHAnsi"/>
          <w:b/>
          <w:bCs/>
          <w:spacing w:val="-6"/>
          <w:sz w:val="20"/>
          <w:szCs w:val="20"/>
          <w:lang w:eastAsia="en-US"/>
        </w:rPr>
        <w:t xml:space="preserve"> </w:t>
      </w:r>
      <w:r>
        <w:rPr>
          <w:rFonts w:asciiTheme="majorHAnsi" w:eastAsiaTheme="minorHAnsi" w:hAnsiTheme="majorHAnsi"/>
          <w:b/>
          <w:bCs/>
          <w:spacing w:val="-6"/>
          <w:sz w:val="20"/>
          <w:szCs w:val="20"/>
          <w:lang w:eastAsia="en-US"/>
        </w:rPr>
        <w:t>коммерческой</w:t>
      </w:r>
      <w:r w:rsidRPr="00271973">
        <w:rPr>
          <w:rFonts w:asciiTheme="majorHAnsi" w:eastAsiaTheme="minorHAnsi" w:hAnsiTheme="majorHAnsi"/>
          <w:b/>
          <w:bCs/>
          <w:spacing w:val="-6"/>
          <w:sz w:val="20"/>
          <w:szCs w:val="20"/>
          <w:lang w:eastAsia="en-US"/>
        </w:rPr>
        <w:t xml:space="preserve"> недвижимости Белгорода</w:t>
      </w:r>
    </w:p>
    <w:p w:rsidR="00271973" w:rsidRPr="00271973" w:rsidRDefault="00271973" w:rsidP="00271973">
      <w:pPr>
        <w:pStyle w:val="af6"/>
        <w:spacing w:before="0" w:after="0"/>
        <w:rPr>
          <w:rFonts w:asciiTheme="majorHAnsi" w:eastAsiaTheme="minorHAnsi" w:hAnsiTheme="majorHAnsi"/>
          <w:bCs/>
          <w:spacing w:val="-6"/>
          <w:sz w:val="20"/>
          <w:szCs w:val="20"/>
          <w:lang w:eastAsia="en-US"/>
        </w:rPr>
      </w:pPr>
      <w:r>
        <w:rPr>
          <w:rFonts w:asciiTheme="majorHAnsi" w:eastAsiaTheme="minorHAnsi" w:hAnsiTheme="majorHAnsi"/>
          <w:bCs/>
          <w:spacing w:val="-6"/>
          <w:sz w:val="20"/>
          <w:szCs w:val="20"/>
          <w:lang w:eastAsia="en-US"/>
        </w:rPr>
        <w:t xml:space="preserve">В </w:t>
      </w:r>
      <w:r w:rsidRPr="00271973">
        <w:rPr>
          <w:rFonts w:asciiTheme="majorHAnsi" w:eastAsiaTheme="minorHAnsi" w:hAnsiTheme="majorHAnsi"/>
          <w:bCs/>
          <w:spacing w:val="-6"/>
          <w:sz w:val="20"/>
          <w:szCs w:val="20"/>
          <w:lang w:eastAsia="en-US"/>
        </w:rPr>
        <w:t>Белгороде проседает рынок коммерческой недвижимости</w:t>
      </w:r>
    </w:p>
    <w:p w:rsidR="00271973" w:rsidRDefault="000A7C2B" w:rsidP="00271973">
      <w:pPr>
        <w:pStyle w:val="af6"/>
        <w:spacing w:before="0" w:after="0"/>
        <w:rPr>
          <w:rFonts w:asciiTheme="majorHAnsi" w:eastAsiaTheme="minorHAnsi" w:hAnsiTheme="majorHAnsi"/>
          <w:spacing w:val="-6"/>
          <w:sz w:val="20"/>
          <w:szCs w:val="20"/>
          <w:lang w:eastAsia="en-US"/>
        </w:rPr>
      </w:pPr>
      <w:r>
        <w:rPr>
          <w:rFonts w:asciiTheme="majorHAnsi" w:eastAsiaTheme="minorHAnsi" w:hAnsiTheme="majorHAnsi"/>
          <w:bCs/>
          <w:spacing w:val="-6"/>
          <w:sz w:val="20"/>
          <w:szCs w:val="20"/>
          <w:lang w:eastAsia="en-US"/>
        </w:rPr>
        <w:t>С</w:t>
      </w:r>
      <w:r w:rsidR="00271973" w:rsidRPr="00271973">
        <w:rPr>
          <w:rFonts w:asciiTheme="majorHAnsi" w:eastAsiaTheme="minorHAnsi" w:hAnsiTheme="majorHAnsi"/>
          <w:bCs/>
          <w:spacing w:val="-6"/>
          <w:sz w:val="20"/>
          <w:szCs w:val="20"/>
          <w:lang w:eastAsia="en-US"/>
        </w:rPr>
        <w:t xml:space="preserve"> 201</w:t>
      </w:r>
      <w:r w:rsidR="00271973">
        <w:rPr>
          <w:rFonts w:asciiTheme="majorHAnsi" w:eastAsiaTheme="minorHAnsi" w:hAnsiTheme="majorHAnsi"/>
          <w:bCs/>
          <w:spacing w:val="-6"/>
          <w:sz w:val="20"/>
          <w:szCs w:val="20"/>
          <w:lang w:eastAsia="en-US"/>
        </w:rPr>
        <w:t>6</w:t>
      </w:r>
      <w:r w:rsidR="00271973" w:rsidRPr="00271973">
        <w:rPr>
          <w:rFonts w:asciiTheme="majorHAnsi" w:eastAsiaTheme="minorHAnsi" w:hAnsiTheme="majorHAnsi"/>
          <w:bCs/>
          <w:spacing w:val="-6"/>
          <w:sz w:val="20"/>
          <w:szCs w:val="20"/>
          <w:lang w:eastAsia="en-US"/>
        </w:rPr>
        <w:t xml:space="preserve"> год</w:t>
      </w:r>
      <w:r>
        <w:rPr>
          <w:rFonts w:asciiTheme="majorHAnsi" w:eastAsiaTheme="minorHAnsi" w:hAnsiTheme="majorHAnsi"/>
          <w:bCs/>
          <w:spacing w:val="-6"/>
          <w:sz w:val="20"/>
          <w:szCs w:val="20"/>
          <w:lang w:eastAsia="en-US"/>
        </w:rPr>
        <w:t>а</w:t>
      </w:r>
      <w:r w:rsidR="00271973" w:rsidRPr="00271973">
        <w:rPr>
          <w:rFonts w:asciiTheme="majorHAnsi" w:eastAsiaTheme="minorHAnsi" w:hAnsiTheme="majorHAnsi"/>
          <w:bCs/>
          <w:spacing w:val="-6"/>
          <w:sz w:val="20"/>
          <w:szCs w:val="20"/>
          <w:lang w:eastAsia="en-US"/>
        </w:rPr>
        <w:t xml:space="preserve"> в областном центре наблюда</w:t>
      </w:r>
      <w:r>
        <w:rPr>
          <w:rFonts w:asciiTheme="majorHAnsi" w:eastAsiaTheme="minorHAnsi" w:hAnsiTheme="majorHAnsi"/>
          <w:bCs/>
          <w:spacing w:val="-6"/>
          <w:sz w:val="20"/>
          <w:szCs w:val="20"/>
          <w:lang w:eastAsia="en-US"/>
        </w:rPr>
        <w:t>ется</w:t>
      </w:r>
      <w:r w:rsidR="00271973" w:rsidRPr="00271973">
        <w:rPr>
          <w:rFonts w:asciiTheme="majorHAnsi" w:eastAsiaTheme="minorHAnsi" w:hAnsiTheme="majorHAnsi"/>
          <w:bCs/>
          <w:spacing w:val="-6"/>
          <w:sz w:val="20"/>
          <w:szCs w:val="20"/>
          <w:lang w:eastAsia="en-US"/>
        </w:rPr>
        <w:t xml:space="preserve"> снижение цен на аренду и продажу коммерческой недвижимости. Об этом говорят итоги исследования, проведённого компанией «БелБизнесКонсалтинг».</w:t>
      </w:r>
      <w:r w:rsidR="00271973">
        <w:rPr>
          <w:rFonts w:asciiTheme="majorHAnsi" w:eastAsiaTheme="minorHAnsi" w:hAnsiTheme="majorHAnsi"/>
          <w:spacing w:val="-6"/>
          <w:sz w:val="20"/>
          <w:szCs w:val="20"/>
          <w:lang w:eastAsia="en-US"/>
        </w:rPr>
        <w:t xml:space="preserve"> </w:t>
      </w:r>
    </w:p>
    <w:p w:rsidR="00271973" w:rsidRDefault="00271973" w:rsidP="00271973">
      <w:pPr>
        <w:pStyle w:val="af6"/>
        <w:spacing w:before="0" w:after="0"/>
        <w:rPr>
          <w:rFonts w:asciiTheme="majorHAnsi" w:eastAsiaTheme="minorHAnsi" w:hAnsiTheme="majorHAnsi"/>
          <w:spacing w:val="-6"/>
          <w:sz w:val="20"/>
          <w:szCs w:val="20"/>
          <w:lang w:eastAsia="en-US"/>
        </w:rPr>
      </w:pPr>
      <w:r w:rsidRPr="00271973">
        <w:rPr>
          <w:rFonts w:asciiTheme="majorHAnsi" w:eastAsiaTheme="minorHAnsi" w:hAnsiTheme="majorHAnsi"/>
          <w:b/>
          <w:bCs/>
          <w:spacing w:val="-6"/>
          <w:sz w:val="20"/>
          <w:szCs w:val="20"/>
          <w:lang w:eastAsia="en-US"/>
        </w:rPr>
        <w:t>Торгово-офисные здания</w:t>
      </w:r>
      <w:r w:rsidRPr="00271973">
        <w:rPr>
          <w:rFonts w:asciiTheme="majorHAnsi" w:eastAsiaTheme="minorHAnsi" w:hAnsiTheme="majorHAnsi"/>
          <w:spacing w:val="-6"/>
          <w:sz w:val="20"/>
          <w:szCs w:val="20"/>
          <w:lang w:eastAsia="en-US"/>
        </w:rPr>
        <w:t xml:space="preserve">, выставленные на продажу (например, бывшие административные здания, перестроенные под офисы и магазины), подешевели на 14,2 % по сравнению с прошлым годом. Производственная и </w:t>
      </w:r>
      <w:r w:rsidRPr="003D3BC9">
        <w:rPr>
          <w:rFonts w:asciiTheme="majorHAnsi" w:eastAsiaTheme="minorHAnsi" w:hAnsiTheme="majorHAnsi"/>
          <w:b/>
          <w:spacing w:val="-6"/>
          <w:sz w:val="20"/>
          <w:szCs w:val="20"/>
          <w:lang w:eastAsia="en-US"/>
        </w:rPr>
        <w:t>складская недвижимость</w:t>
      </w:r>
      <w:r w:rsidRPr="00271973">
        <w:rPr>
          <w:rFonts w:asciiTheme="majorHAnsi" w:eastAsiaTheme="minorHAnsi" w:hAnsiTheme="majorHAnsi"/>
          <w:spacing w:val="-6"/>
          <w:sz w:val="20"/>
          <w:szCs w:val="20"/>
          <w:lang w:eastAsia="en-US"/>
        </w:rPr>
        <w:t xml:space="preserve"> упала в цене на 11,4 и 0,6 % соответственно.</w:t>
      </w:r>
      <w:r w:rsidRPr="00271973">
        <w:rPr>
          <w:rFonts w:asciiTheme="majorHAnsi" w:eastAsiaTheme="minorHAnsi" w:hAnsiTheme="majorHAnsi"/>
          <w:spacing w:val="-6"/>
          <w:sz w:val="20"/>
          <w:szCs w:val="20"/>
          <w:lang w:eastAsia="en-US"/>
        </w:rPr>
        <w:br/>
        <w:t xml:space="preserve">Небольшое подорожание наблюдается только в сегменте торговых и офисных помещений, оборудованных на первых этажах жилых домов. Такая категория </w:t>
      </w:r>
      <w:r>
        <w:rPr>
          <w:rFonts w:asciiTheme="majorHAnsi" w:eastAsiaTheme="minorHAnsi" w:hAnsiTheme="majorHAnsi"/>
          <w:spacing w:val="-6"/>
          <w:sz w:val="20"/>
          <w:szCs w:val="20"/>
          <w:lang w:eastAsia="en-US"/>
        </w:rPr>
        <w:t>недвижимости подросла на 3–6 %.</w:t>
      </w:r>
    </w:p>
    <w:p w:rsidR="00271973" w:rsidRDefault="00271973" w:rsidP="00271973">
      <w:pPr>
        <w:pStyle w:val="af6"/>
        <w:spacing w:before="0" w:after="0"/>
        <w:rPr>
          <w:rFonts w:asciiTheme="majorHAnsi" w:eastAsiaTheme="minorHAnsi" w:hAnsiTheme="majorHAnsi"/>
          <w:spacing w:val="-6"/>
          <w:sz w:val="20"/>
          <w:szCs w:val="20"/>
          <w:lang w:eastAsia="en-US"/>
        </w:rPr>
      </w:pPr>
      <w:r w:rsidRPr="00271973">
        <w:rPr>
          <w:rFonts w:asciiTheme="majorHAnsi" w:eastAsiaTheme="minorHAnsi" w:hAnsiTheme="majorHAnsi"/>
          <w:spacing w:val="-6"/>
          <w:sz w:val="20"/>
          <w:szCs w:val="20"/>
          <w:lang w:eastAsia="en-US"/>
        </w:rPr>
        <w:t>«Ужесточается конкуренция между крупными торговыми центрами, которые на данный момент являются наиболее доходными объе</w:t>
      </w:r>
      <w:r>
        <w:rPr>
          <w:rFonts w:asciiTheme="majorHAnsi" w:eastAsiaTheme="minorHAnsi" w:hAnsiTheme="majorHAnsi"/>
          <w:spacing w:val="-6"/>
          <w:sz w:val="20"/>
          <w:szCs w:val="20"/>
          <w:lang w:eastAsia="en-US"/>
        </w:rPr>
        <w:t>ктами коммерческой недвижимости.</w:t>
      </w:r>
      <w:r w:rsidRPr="00271973">
        <w:rPr>
          <w:rFonts w:asciiTheme="majorHAnsi" w:eastAsiaTheme="minorHAnsi" w:hAnsiTheme="majorHAnsi"/>
          <w:spacing w:val="-6"/>
          <w:sz w:val="20"/>
          <w:szCs w:val="20"/>
          <w:lang w:eastAsia="en-US"/>
        </w:rPr>
        <w:t xml:space="preserve"> Ранее арендаторы покидали в основном верхние этажи торговых центров, а в 201</w:t>
      </w:r>
      <w:r>
        <w:rPr>
          <w:rFonts w:asciiTheme="majorHAnsi" w:eastAsiaTheme="minorHAnsi" w:hAnsiTheme="majorHAnsi"/>
          <w:spacing w:val="-6"/>
          <w:sz w:val="20"/>
          <w:szCs w:val="20"/>
          <w:lang w:eastAsia="en-US"/>
        </w:rPr>
        <w:t>6</w:t>
      </w:r>
      <w:r w:rsidRPr="00271973">
        <w:rPr>
          <w:rFonts w:asciiTheme="majorHAnsi" w:eastAsiaTheme="minorHAnsi" w:hAnsiTheme="majorHAnsi"/>
          <w:spacing w:val="-6"/>
          <w:sz w:val="20"/>
          <w:szCs w:val="20"/>
          <w:lang w:eastAsia="en-US"/>
        </w:rPr>
        <w:t xml:space="preserve"> году появились свободные площади и на первых этажах. Средним и малым торговым центрам приходится ещё труднее. Если в крупных торговых центрах цены на аренду торговых площадей остаются стабильными или растут, то в средних и малых торговых центр</w:t>
      </w:r>
      <w:r>
        <w:rPr>
          <w:rFonts w:asciiTheme="majorHAnsi" w:eastAsiaTheme="minorHAnsi" w:hAnsiTheme="majorHAnsi"/>
          <w:spacing w:val="-6"/>
          <w:sz w:val="20"/>
          <w:szCs w:val="20"/>
          <w:lang w:eastAsia="en-US"/>
        </w:rPr>
        <w:t>ах аренда снизилась на 21,6 %».</w:t>
      </w:r>
    </w:p>
    <w:p w:rsidR="00271973" w:rsidRDefault="00271973" w:rsidP="00271973">
      <w:pPr>
        <w:pStyle w:val="af6"/>
        <w:spacing w:before="0" w:after="0"/>
        <w:rPr>
          <w:rFonts w:asciiTheme="majorHAnsi" w:eastAsiaTheme="minorHAnsi" w:hAnsiTheme="majorHAnsi"/>
          <w:spacing w:val="-6"/>
          <w:sz w:val="20"/>
          <w:szCs w:val="20"/>
          <w:lang w:eastAsia="en-US"/>
        </w:rPr>
      </w:pPr>
      <w:r w:rsidRPr="00271973">
        <w:rPr>
          <w:rFonts w:asciiTheme="majorHAnsi" w:eastAsiaTheme="minorHAnsi" w:hAnsiTheme="majorHAnsi"/>
          <w:b/>
          <w:bCs/>
          <w:spacing w:val="-6"/>
          <w:sz w:val="20"/>
          <w:szCs w:val="20"/>
          <w:lang w:eastAsia="en-US"/>
        </w:rPr>
        <w:t>Анализ рынка аренды</w:t>
      </w:r>
      <w:r w:rsidRPr="00271973">
        <w:rPr>
          <w:rFonts w:asciiTheme="majorHAnsi" w:eastAsiaTheme="minorHAnsi" w:hAnsiTheme="majorHAnsi"/>
          <w:spacing w:val="-6"/>
          <w:sz w:val="20"/>
          <w:szCs w:val="20"/>
          <w:lang w:eastAsia="en-US"/>
        </w:rPr>
        <w:t xml:space="preserve"> показал, что количество предложений о сдаче в аренду площадей в крупных торговых центрах выросло почти в два раза, в средних и малых торговых центрах – почти в три раза. При этом мест на первых этажах предлагается на 26,8 % бо</w:t>
      </w:r>
      <w:r>
        <w:rPr>
          <w:rFonts w:asciiTheme="majorHAnsi" w:eastAsiaTheme="minorHAnsi" w:hAnsiTheme="majorHAnsi"/>
          <w:spacing w:val="-6"/>
          <w:sz w:val="20"/>
          <w:szCs w:val="20"/>
          <w:lang w:eastAsia="en-US"/>
        </w:rPr>
        <w:t>льше, чем было в прошлом году.</w:t>
      </w:r>
    </w:p>
    <w:p w:rsidR="00271973" w:rsidRDefault="00271973" w:rsidP="00271973">
      <w:pPr>
        <w:pStyle w:val="af6"/>
        <w:spacing w:before="0" w:after="0"/>
        <w:rPr>
          <w:rFonts w:asciiTheme="majorHAnsi" w:eastAsiaTheme="minorHAnsi" w:hAnsiTheme="majorHAnsi"/>
          <w:spacing w:val="-6"/>
          <w:sz w:val="20"/>
          <w:szCs w:val="20"/>
          <w:lang w:eastAsia="en-US"/>
        </w:rPr>
      </w:pPr>
      <w:r w:rsidRPr="00271973">
        <w:rPr>
          <w:rFonts w:asciiTheme="majorHAnsi" w:eastAsiaTheme="minorHAnsi" w:hAnsiTheme="majorHAnsi"/>
          <w:spacing w:val="-6"/>
          <w:sz w:val="20"/>
          <w:szCs w:val="20"/>
          <w:lang w:eastAsia="en-US"/>
        </w:rPr>
        <w:t>Средние цены на аренду в торгово-офисных зданиях в центре Белгорода сейчас составляют 577 рублей в месяц за квадрат, на Харьковской горе – 644 рубля, на Крейде –</w:t>
      </w:r>
      <w:r>
        <w:rPr>
          <w:rFonts w:asciiTheme="majorHAnsi" w:eastAsiaTheme="minorHAnsi" w:hAnsiTheme="majorHAnsi"/>
          <w:spacing w:val="-6"/>
          <w:sz w:val="20"/>
          <w:szCs w:val="20"/>
          <w:lang w:eastAsia="en-US"/>
        </w:rPr>
        <w:t xml:space="preserve"> 417 рублей.</w:t>
      </w:r>
      <w:r w:rsidRPr="00271973">
        <w:rPr>
          <w:rFonts w:asciiTheme="majorHAnsi" w:eastAsiaTheme="minorHAnsi" w:hAnsiTheme="majorHAnsi"/>
          <w:spacing w:val="-6"/>
          <w:sz w:val="20"/>
          <w:szCs w:val="20"/>
          <w:lang w:eastAsia="en-US"/>
        </w:rPr>
        <w:t xml:space="preserve"> </w:t>
      </w:r>
    </w:p>
    <w:p w:rsidR="00271973" w:rsidRDefault="00271973" w:rsidP="00271973">
      <w:pPr>
        <w:pStyle w:val="af6"/>
        <w:spacing w:before="0" w:after="0"/>
        <w:rPr>
          <w:rFonts w:asciiTheme="majorHAnsi" w:eastAsiaTheme="minorHAnsi" w:hAnsiTheme="majorHAnsi"/>
          <w:spacing w:val="-6"/>
          <w:sz w:val="20"/>
          <w:szCs w:val="20"/>
          <w:lang w:eastAsia="en-US"/>
        </w:rPr>
      </w:pPr>
      <w:r>
        <w:rPr>
          <w:rFonts w:asciiTheme="majorHAnsi" w:eastAsiaTheme="minorHAnsi" w:hAnsiTheme="majorHAnsi"/>
          <w:spacing w:val="-6"/>
          <w:sz w:val="20"/>
          <w:szCs w:val="20"/>
          <w:lang w:eastAsia="en-US"/>
        </w:rPr>
        <w:t>Р</w:t>
      </w:r>
      <w:r w:rsidRPr="00271973">
        <w:rPr>
          <w:rFonts w:asciiTheme="majorHAnsi" w:eastAsiaTheme="minorHAnsi" w:hAnsiTheme="majorHAnsi"/>
          <w:spacing w:val="-6"/>
          <w:sz w:val="20"/>
          <w:szCs w:val="20"/>
          <w:lang w:eastAsia="en-US"/>
        </w:rPr>
        <w:t xml:space="preserve">ынок демонстрирует </w:t>
      </w:r>
      <w:r w:rsidRPr="00271973">
        <w:rPr>
          <w:rFonts w:asciiTheme="majorHAnsi" w:eastAsiaTheme="minorHAnsi" w:hAnsiTheme="majorHAnsi"/>
          <w:bCs/>
          <w:spacing w:val="-6"/>
          <w:sz w:val="20"/>
          <w:szCs w:val="20"/>
          <w:lang w:eastAsia="en-US"/>
        </w:rPr>
        <w:t>снижение инвестиционной активности</w:t>
      </w:r>
      <w:r w:rsidRPr="00271973">
        <w:rPr>
          <w:rFonts w:asciiTheme="majorHAnsi" w:eastAsiaTheme="minorHAnsi" w:hAnsiTheme="majorHAnsi"/>
          <w:spacing w:val="-6"/>
          <w:sz w:val="20"/>
          <w:szCs w:val="20"/>
          <w:lang w:eastAsia="en-US"/>
        </w:rPr>
        <w:t>: в этом году площадь строящихся и планируемых к строительству торговых объектов снизилась на 35 % и составила 45 тыс. кв. м. Сильно упало количество желающих арендовать помещения под общепит: всего три открытых предло</w:t>
      </w:r>
      <w:r>
        <w:rPr>
          <w:rFonts w:asciiTheme="majorHAnsi" w:eastAsiaTheme="minorHAnsi" w:hAnsiTheme="majorHAnsi"/>
          <w:spacing w:val="-6"/>
          <w:sz w:val="20"/>
          <w:szCs w:val="20"/>
          <w:lang w:eastAsia="en-US"/>
        </w:rPr>
        <w:t>жения против 12 в прошлом году.</w:t>
      </w:r>
    </w:p>
    <w:p w:rsidR="00271973" w:rsidRDefault="00271973" w:rsidP="00271973">
      <w:pPr>
        <w:pStyle w:val="af6"/>
        <w:spacing w:before="0" w:after="0"/>
        <w:rPr>
          <w:rFonts w:asciiTheme="majorHAnsi" w:eastAsiaTheme="minorHAnsi" w:hAnsiTheme="majorHAnsi"/>
          <w:spacing w:val="-6"/>
          <w:sz w:val="20"/>
          <w:szCs w:val="20"/>
          <w:lang w:eastAsia="en-US"/>
        </w:rPr>
      </w:pPr>
      <w:r w:rsidRPr="00271973">
        <w:rPr>
          <w:rFonts w:asciiTheme="majorHAnsi" w:eastAsiaTheme="minorHAnsi" w:hAnsiTheme="majorHAnsi"/>
          <w:spacing w:val="-6"/>
          <w:sz w:val="20"/>
          <w:szCs w:val="20"/>
          <w:lang w:eastAsia="en-US"/>
        </w:rPr>
        <w:t xml:space="preserve">Несмотря на начавшуюся стагнацию на рынке недвижимости Белгорода, отдельные собственники не теряют надежды продать коммерческие объекты прямо-таки по космическим ценам. </w:t>
      </w:r>
      <w:r w:rsidRPr="00271973">
        <w:rPr>
          <w:rFonts w:asciiTheme="majorHAnsi" w:eastAsiaTheme="minorHAnsi" w:hAnsiTheme="majorHAnsi"/>
          <w:bCs/>
          <w:spacing w:val="-6"/>
          <w:sz w:val="20"/>
          <w:szCs w:val="20"/>
          <w:lang w:eastAsia="en-US"/>
        </w:rPr>
        <w:t>Самым дорогим объектом коммерческой недвижимости</w:t>
      </w:r>
      <w:r w:rsidRPr="00271973">
        <w:rPr>
          <w:rFonts w:asciiTheme="majorHAnsi" w:eastAsiaTheme="minorHAnsi" w:hAnsiTheme="majorHAnsi"/>
          <w:b/>
          <w:bCs/>
          <w:spacing w:val="-6"/>
          <w:sz w:val="20"/>
          <w:szCs w:val="20"/>
          <w:lang w:eastAsia="en-US"/>
        </w:rPr>
        <w:t xml:space="preserve"> </w:t>
      </w:r>
      <w:r w:rsidRPr="00271973">
        <w:rPr>
          <w:rFonts w:asciiTheme="majorHAnsi" w:eastAsiaTheme="minorHAnsi" w:hAnsiTheme="majorHAnsi"/>
          <w:spacing w:val="-6"/>
          <w:sz w:val="20"/>
          <w:szCs w:val="20"/>
          <w:lang w:eastAsia="en-US"/>
        </w:rPr>
        <w:t>остаётся недостроенный торгово-офисный центр на ул Чапаева площадью 41 тыс. кв. м. Он был выставлен на продажу больше шести лет назад. В 201</w:t>
      </w:r>
      <w:r>
        <w:rPr>
          <w:rFonts w:asciiTheme="majorHAnsi" w:eastAsiaTheme="minorHAnsi" w:hAnsiTheme="majorHAnsi"/>
          <w:spacing w:val="-6"/>
          <w:sz w:val="20"/>
          <w:szCs w:val="20"/>
          <w:lang w:eastAsia="en-US"/>
        </w:rPr>
        <w:t>6</w:t>
      </w:r>
      <w:r w:rsidRPr="00271973">
        <w:rPr>
          <w:rFonts w:asciiTheme="majorHAnsi" w:eastAsiaTheme="minorHAnsi" w:hAnsiTheme="majorHAnsi"/>
          <w:spacing w:val="-6"/>
          <w:sz w:val="20"/>
          <w:szCs w:val="20"/>
          <w:lang w:eastAsia="en-US"/>
        </w:rPr>
        <w:t xml:space="preserve"> году его цена с 1,2 млрд рублей упала до 850 млн рублей. Хотя если пересчитать по стоимости квадратного метра, то получается 20,7 тыс. рублей за квадрат.</w:t>
      </w:r>
      <w:r w:rsidRPr="00271973">
        <w:rPr>
          <w:rFonts w:asciiTheme="majorHAnsi" w:eastAsiaTheme="minorHAnsi" w:hAnsiTheme="majorHAnsi"/>
          <w:spacing w:val="-6"/>
          <w:sz w:val="20"/>
          <w:szCs w:val="20"/>
          <w:lang w:eastAsia="en-US"/>
        </w:rPr>
        <w:br/>
      </w:r>
      <w:r w:rsidRPr="00271973">
        <w:rPr>
          <w:rFonts w:asciiTheme="majorHAnsi" w:eastAsiaTheme="minorHAnsi" w:hAnsiTheme="majorHAnsi"/>
          <w:bCs/>
          <w:spacing w:val="-6"/>
          <w:sz w:val="20"/>
          <w:szCs w:val="20"/>
          <w:lang w:eastAsia="en-US"/>
        </w:rPr>
        <w:t>Самое дешёвое торгово-офисное здание</w:t>
      </w:r>
      <w:r w:rsidRPr="00271973">
        <w:rPr>
          <w:rFonts w:asciiTheme="majorHAnsi" w:eastAsiaTheme="minorHAnsi" w:hAnsiTheme="majorHAnsi"/>
          <w:spacing w:val="-6"/>
          <w:sz w:val="20"/>
          <w:szCs w:val="20"/>
          <w:lang w:eastAsia="en-US"/>
        </w:rPr>
        <w:t xml:space="preserve"> продаётся на ул. М. Горького. Площадь 108 кв. м </w:t>
      </w:r>
      <w:r>
        <w:rPr>
          <w:rFonts w:asciiTheme="majorHAnsi" w:eastAsiaTheme="minorHAnsi" w:hAnsiTheme="majorHAnsi"/>
          <w:spacing w:val="-6"/>
          <w:sz w:val="20"/>
          <w:szCs w:val="20"/>
          <w:lang w:eastAsia="en-US"/>
        </w:rPr>
        <w:t>продавец оценил в 3 млн рублей.</w:t>
      </w:r>
    </w:p>
    <w:p w:rsidR="00271973" w:rsidRDefault="00271973" w:rsidP="00271973">
      <w:pPr>
        <w:pStyle w:val="af6"/>
        <w:spacing w:before="0" w:after="0"/>
        <w:rPr>
          <w:rFonts w:asciiTheme="majorHAnsi" w:eastAsiaTheme="minorHAnsi" w:hAnsiTheme="majorHAnsi"/>
          <w:spacing w:val="-6"/>
          <w:sz w:val="20"/>
          <w:szCs w:val="20"/>
          <w:lang w:eastAsia="en-US"/>
        </w:rPr>
      </w:pPr>
      <w:r w:rsidRPr="00271973">
        <w:rPr>
          <w:rFonts w:asciiTheme="majorHAnsi" w:eastAsiaTheme="minorHAnsi" w:hAnsiTheme="majorHAnsi"/>
          <w:spacing w:val="-6"/>
          <w:sz w:val="20"/>
          <w:szCs w:val="20"/>
          <w:lang w:eastAsia="en-US"/>
        </w:rPr>
        <w:t>Наиболее дорогим действующим бизнесом, выставленным на продажу, стала производственная база на ул. Студенческой – 130 млн рублей, а самым дешёвым – станция технического обслуживания всего за 1,9 млн рублей.</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 xml:space="preserve">Рынок коммерческой недвижимости Белгорода демонстрирует прирост предложения и снижение объемов спроса. Это содействует снижению стоимости аренды и продажи недвижимости. Доходность таковой ниже, чем в среднем по РФ. Однако проверить это могут лишь отечественные инвесторы полностью доминирующие на рынке недвижимости Белгорода. Рассмотрим более детально ключевые характеристики и тренды, которые </w:t>
      </w:r>
      <w:r w:rsidRPr="00BA2029">
        <w:rPr>
          <w:rFonts w:ascii="Cambria" w:hAnsi="Cambria"/>
          <w:sz w:val="20"/>
          <w:szCs w:val="20"/>
        </w:rPr>
        <w:t>демонстрирует </w:t>
      </w:r>
      <w:hyperlink r:id="rId76" w:tgtFrame="blank" w:history="1">
        <w:r w:rsidRPr="00BA2029">
          <w:rPr>
            <w:rFonts w:ascii="Cambria" w:hAnsi="Cambria"/>
            <w:sz w:val="20"/>
            <w:szCs w:val="20"/>
          </w:rPr>
          <w:t>коммерческая недвижимость Белгорода</w:t>
        </w:r>
      </w:hyperlink>
      <w:r w:rsidRPr="00BA2029">
        <w:rPr>
          <w:rFonts w:ascii="Cambria" w:hAnsi="Cambria"/>
          <w:color w:val="000000"/>
          <w:sz w:val="20"/>
          <w:szCs w:val="20"/>
        </w:rPr>
        <w:t>.</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b/>
          <w:bCs/>
          <w:color w:val="3D3D3D"/>
          <w:sz w:val="20"/>
          <w:szCs w:val="20"/>
        </w:rPr>
        <w:t>Предложение и спрос</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 xml:space="preserve">На начало </w:t>
      </w:r>
      <w:r>
        <w:rPr>
          <w:rFonts w:ascii="Cambria" w:hAnsi="Cambria"/>
          <w:color w:val="000000"/>
          <w:sz w:val="20"/>
          <w:szCs w:val="20"/>
        </w:rPr>
        <w:t>октября</w:t>
      </w:r>
      <w:r w:rsidRPr="00BA2029">
        <w:rPr>
          <w:rFonts w:ascii="Cambria" w:hAnsi="Cambria"/>
          <w:color w:val="000000"/>
          <w:sz w:val="20"/>
          <w:szCs w:val="20"/>
        </w:rPr>
        <w:t xml:space="preserve"> в Белгороде единовременно экспонировалось около 750 единиц коммерческой недвижимости. 65% данного предложения приходилась на объекты, сдаваемые в аренду. 35% экспонируемых объектов было выставлено на продажу. Объем потенциального спроса оценивался в размере 100 единиц, что в 7,5 раз меньше имеющегося предложения. Четыре пятых спроса относилось к аренде недвижимости. Лишь каждая пятая заявка предполагала поиск недвижимости для покупки.</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В общем объеме сдаваемой недвижимости доминируют офисы и помещения свободного назначения. На них приходится по 30% предложения. Еще 20% недвижимости представлено магазинами и ТЦ. Складские помещения формируют 10% предложения. Еще 6% приходится на производственные помещения. 1,5% предложения обеспечивают пункты общественного питания. Оставшиеся 2,5% рынка представлены иными типами недвижимости. При этом объекты гостиничной недвижимости являются самыми дефицитными на рынке аренды коммерческой недвижимости Белгорода. На территории такового сдается в аренду лишь один отель. Он расположен в районе Западный. Стоимость аренды объекта составляет 125 тыс. руб. в месяц.</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На субрынке продажи недвижимости в общем объеме предложения доминируют помещения свободного назначения. На них приходится 44% рынка. Торговая недвижимость отличается аналогичным значением в размере 19%. Офисная недвижимость формирует 15% предложения. Еще 14% приходится на производственные помещения. 5% предложения обеспечивают складские помещения. Еще 3% недвижимости представлено пунктами общественного питания. Наиболее редко реализуемым типом коммерческой недвижимости в Белгороде являются гостиницы. В городе продается лишь один отель. Объект, расположенный в районе Восточный реализуется за 50 млн. руб.</w:t>
      </w:r>
    </w:p>
    <w:p w:rsidR="00BA2029" w:rsidRPr="00BA2029" w:rsidRDefault="00601157" w:rsidP="00BA2029">
      <w:pPr>
        <w:shd w:val="clear" w:color="auto" w:fill="FFFFFF"/>
        <w:jc w:val="center"/>
        <w:rPr>
          <w:rFonts w:ascii="Cambria" w:hAnsi="Cambria"/>
          <w:color w:val="000000"/>
          <w:sz w:val="20"/>
          <w:szCs w:val="20"/>
        </w:rPr>
      </w:pPr>
      <w:r>
        <w:rPr>
          <w:rFonts w:ascii="Calibri" w:hAnsi="Calibri"/>
          <w:noProof/>
          <w:sz w:val="22"/>
          <w:szCs w:val="22"/>
        </w:rPr>
        <w:lastRenderedPageBreak/>
        <w:drawing>
          <wp:inline distT="0" distB="0" distL="0" distR="0" wp14:anchorId="263793C7" wp14:editId="3D2D0798">
            <wp:extent cx="304800" cy="304800"/>
            <wp:effectExtent l="0" t="0" r="0" b="0"/>
            <wp:docPr id="184" name="Рисунок 45" descr="160416_1460755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60416_146075596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BA2029" w:rsidRPr="00BA2029">
        <w:rPr>
          <w:rFonts w:ascii="Calibri" w:hAnsi="Calibri"/>
          <w:noProof/>
          <w:sz w:val="22"/>
          <w:szCs w:val="22"/>
        </w:rPr>
        <w:drawing>
          <wp:inline distT="0" distB="0" distL="0" distR="0" wp14:anchorId="038924F2" wp14:editId="3F5AF968">
            <wp:extent cx="4371975" cy="24955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a:extLst>
                        <a:ext uri="{28A0092B-C50C-407E-A947-70E740481C1C}">
                          <a14:useLocalDpi xmlns:a14="http://schemas.microsoft.com/office/drawing/2010/main" val="0"/>
                        </a:ext>
                      </a:extLst>
                    </a:blip>
                    <a:srcRect l="17931" t="26237" r="37714" b="33911"/>
                    <a:stretch>
                      <a:fillRect/>
                    </a:stretch>
                  </pic:blipFill>
                  <pic:spPr bwMode="auto">
                    <a:xfrm>
                      <a:off x="0" y="0"/>
                      <a:ext cx="4371975" cy="2495550"/>
                    </a:xfrm>
                    <a:prstGeom prst="rect">
                      <a:avLst/>
                    </a:prstGeom>
                    <a:noFill/>
                    <a:ln>
                      <a:noFill/>
                    </a:ln>
                  </pic:spPr>
                </pic:pic>
              </a:graphicData>
            </a:graphic>
          </wp:inline>
        </w:drawing>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В общей структуре спроса на арендную недвижимость доминирует торговая недвижимость. Она обеспечивает 43% всего предложения. На втором месте по значимости находятся помещения свободного назначения, формирующие 24% всего спроса. Офисная недвижимость занимает 17% всего рынка. Производственные помещения обеспечили 11% всего предложения. Еще 3% пришлось на помещения общественного питания. Складские помещения и гостиницы заняли последнее место, обеспечив по 2% всего предложения.</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В структуре спроса на реализуемую коммерческую недвижимость доминируют помещения свободного назначения. Таковые обеспечивают 52% всего предложения. На втором месте по значимости находятся производственные помещения, вбирающие 17% рынка. По 11% приходится на торговую и складскую недвижимость. Офисная недвижимость обеспечивает еще 9% рынка.</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Помещения свободного назначения доминируют по объему предложения на субрынках продажи и аренды коммерческой недвижимости. При этом в Белгороде активнее сдается в аренду офисная, а не торговая недвижимость. Противоположная ситуация наблюдается при продаже данных типов недвижимости. Гостиницы являются аутсайдерами по объему предложения в обоих сегментах.</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Наиболее активным спросом в городе пользуются торговые помещения (аренда) и помещения свободного назначения (продажа). Гостиницы являются аутсайдерами на рынке аренды и продажи коммерческой недвижимости.</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При этом спрос соответствует структуре предложения по топовой позиции: помещениям свободного назначения. Таковые в подавляющем большинстве случаев лидируют как по объему предложения, так и спроса. Однако по объему обоих показателей ближе всего к друг другу гостиницы. В данном сегменте спрос максимально соответствует предложению. Причем в сегменте аренды объем искомых к аренде гостиниц в два раза превосходит объем предложения таковых. Вследствие этого сегмент гостиничной недвижимости можно считать наиболее устойчивым в ценовом плане на рынке коммерческой недвижимости Белгорода. В целом же спрос на коммерческую недвижимость снизился в среднем на четверть. При этом сильнее всего сократилась востребованность пунктов общественного питания. Таковые отметились снижением спроса на 75%. Для сравнения объем предложения коммерческой недвижимости в сегменте аренды возрос примерно в два раза. Не смотря на это, в Белгороде продолжают возводиться значительные объемы коммерческой недвижимости. Например, площадь строящихся торговых помещений составляет 45 тыс. кв.м. В 2014 году площадь возведенной торговой недвижимости составила 37 тыс.кв.м. При этом введенные в эксплуатацию объекты общественного питания были рассчитаны на 352 посадочных места. В целом же средний срок экспозиции объекта коммерческой недвижимости в Белгороде составляет 1 год.</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b/>
          <w:bCs/>
          <w:color w:val="3D3D3D"/>
          <w:sz w:val="20"/>
          <w:szCs w:val="20"/>
        </w:rPr>
        <w:t>Цены</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Стоимость продажи объектов коммерческой недвижимости варьируется в Белгороде от 270 тыс. до 850 млн. руб. Самым дешевым объектом является помещение свободного назначения площадью в 100 кв.м. Объект продается по адресу: ул. Коммунальная, район Восточный. Наиболее дорогим из реализуемых объектов является МФК площадью в 41 тыс. кв.м. Объект располагается в районе Восточный на улице Чапаева, где занимает земельный участок площадью в 13 тыс.кв.м.</w:t>
      </w:r>
    </w:p>
    <w:p w:rsid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Стоимость аренды коммерческой недвижимости в городе варьируется от 10 тыс. до 682 тыс. руб. в месяц. Дешевле всего сдается складской бокс площадью в 72 кв.м. на улице Новая в районе Западный. Наиболее дорогим из сдаваемых объектов является помещение свободного назначения на улице Есенина в районе Западный. Площадь объекта составляет 1300 кв.м.</w:t>
      </w:r>
    </w:p>
    <w:p w:rsidR="00D811D8" w:rsidRDefault="00D811D8" w:rsidP="00BA2029">
      <w:pPr>
        <w:shd w:val="clear" w:color="auto" w:fill="FFFFFF"/>
        <w:ind w:firstLine="709"/>
        <w:jc w:val="both"/>
        <w:rPr>
          <w:rFonts w:ascii="Cambria" w:hAnsi="Cambria"/>
          <w:color w:val="000000"/>
          <w:sz w:val="20"/>
          <w:szCs w:val="20"/>
        </w:rPr>
      </w:pPr>
    </w:p>
    <w:p w:rsidR="00D811D8" w:rsidRDefault="00D811D8" w:rsidP="00BA2029">
      <w:pPr>
        <w:shd w:val="clear" w:color="auto" w:fill="FFFFFF"/>
        <w:ind w:firstLine="709"/>
        <w:jc w:val="both"/>
        <w:rPr>
          <w:rFonts w:ascii="Cambria" w:hAnsi="Cambria"/>
          <w:color w:val="000000"/>
          <w:sz w:val="20"/>
          <w:szCs w:val="20"/>
        </w:rPr>
      </w:pPr>
    </w:p>
    <w:p w:rsidR="00D811D8" w:rsidRDefault="00D811D8" w:rsidP="00BA2029">
      <w:pPr>
        <w:shd w:val="clear" w:color="auto" w:fill="FFFFFF"/>
        <w:ind w:firstLine="709"/>
        <w:jc w:val="both"/>
        <w:rPr>
          <w:rFonts w:ascii="Cambria" w:hAnsi="Cambria"/>
          <w:color w:val="000000"/>
          <w:sz w:val="20"/>
          <w:szCs w:val="20"/>
        </w:rPr>
      </w:pPr>
    </w:p>
    <w:p w:rsidR="00D811D8" w:rsidRDefault="00D811D8" w:rsidP="00BA2029">
      <w:pPr>
        <w:shd w:val="clear" w:color="auto" w:fill="FFFFFF"/>
        <w:ind w:firstLine="709"/>
        <w:jc w:val="both"/>
        <w:rPr>
          <w:rFonts w:ascii="Cambria" w:hAnsi="Cambria"/>
          <w:color w:val="000000"/>
          <w:sz w:val="20"/>
          <w:szCs w:val="20"/>
        </w:rPr>
      </w:pPr>
    </w:p>
    <w:p w:rsidR="00D811D8" w:rsidRDefault="00D811D8" w:rsidP="00BA2029">
      <w:pPr>
        <w:shd w:val="clear" w:color="auto" w:fill="FFFFFF"/>
        <w:ind w:firstLine="709"/>
        <w:jc w:val="both"/>
        <w:rPr>
          <w:rFonts w:ascii="Cambria" w:hAnsi="Cambria"/>
          <w:color w:val="000000"/>
          <w:sz w:val="20"/>
          <w:szCs w:val="20"/>
        </w:rPr>
      </w:pPr>
    </w:p>
    <w:p w:rsidR="00D811D8" w:rsidRDefault="00D811D8" w:rsidP="00D811D8">
      <w:pPr>
        <w:pStyle w:val="af6"/>
        <w:spacing w:before="0" w:after="0"/>
        <w:jc w:val="right"/>
        <w:rPr>
          <w:rFonts w:asciiTheme="majorHAnsi" w:eastAsiaTheme="minorHAnsi" w:hAnsiTheme="majorHAnsi"/>
          <w:spacing w:val="-6"/>
          <w:sz w:val="20"/>
          <w:szCs w:val="20"/>
          <w:lang w:eastAsia="en-US"/>
        </w:rPr>
      </w:pPr>
      <w:r w:rsidRPr="00271973">
        <w:rPr>
          <w:rFonts w:asciiTheme="majorHAnsi" w:eastAsiaTheme="minorHAnsi" w:hAnsiTheme="majorHAnsi"/>
          <w:b/>
          <w:bCs/>
          <w:spacing w:val="-6"/>
          <w:sz w:val="20"/>
          <w:szCs w:val="20"/>
          <w:lang w:eastAsia="en-US"/>
        </w:rPr>
        <w:t xml:space="preserve">Таблица </w:t>
      </w:r>
      <w:r w:rsidR="00662682">
        <w:rPr>
          <w:rFonts w:asciiTheme="majorHAnsi" w:eastAsiaTheme="minorHAnsi" w:hAnsiTheme="majorHAnsi"/>
          <w:b/>
          <w:bCs/>
          <w:spacing w:val="-6"/>
          <w:sz w:val="20"/>
          <w:szCs w:val="20"/>
          <w:lang w:eastAsia="en-US"/>
        </w:rPr>
        <w:t>3</w:t>
      </w:r>
      <w:r w:rsidRPr="00271973">
        <w:rPr>
          <w:rFonts w:asciiTheme="majorHAnsi" w:eastAsiaTheme="minorHAnsi" w:hAnsiTheme="majorHAnsi"/>
          <w:bCs/>
          <w:spacing w:val="-6"/>
          <w:sz w:val="20"/>
          <w:szCs w:val="20"/>
          <w:lang w:eastAsia="en-US"/>
        </w:rPr>
        <w:t xml:space="preserve">. </w:t>
      </w:r>
      <w:r>
        <w:rPr>
          <w:rFonts w:asciiTheme="majorHAnsi" w:eastAsiaTheme="minorHAnsi" w:hAnsiTheme="majorHAnsi"/>
          <w:spacing w:val="-6"/>
          <w:sz w:val="20"/>
          <w:szCs w:val="20"/>
          <w:lang w:eastAsia="en-US"/>
        </w:rPr>
        <w:t xml:space="preserve">Динамика цен </w:t>
      </w:r>
      <w:r w:rsidR="001667DB">
        <w:rPr>
          <w:rFonts w:asciiTheme="majorHAnsi" w:eastAsiaTheme="minorHAnsi" w:hAnsiTheme="majorHAnsi"/>
          <w:spacing w:val="-6"/>
          <w:sz w:val="20"/>
          <w:szCs w:val="20"/>
          <w:lang w:eastAsia="en-US"/>
        </w:rPr>
        <w:t xml:space="preserve">продажу и аренду ком. Недвижимости в </w:t>
      </w:r>
      <w:r>
        <w:rPr>
          <w:rFonts w:asciiTheme="majorHAnsi" w:eastAsiaTheme="minorHAnsi" w:hAnsiTheme="majorHAnsi"/>
          <w:spacing w:val="-6"/>
          <w:sz w:val="20"/>
          <w:szCs w:val="20"/>
          <w:lang w:eastAsia="en-US"/>
        </w:rPr>
        <w:t xml:space="preserve"> г. Белгород за </w:t>
      </w:r>
      <w:r w:rsidR="001667DB">
        <w:rPr>
          <w:rFonts w:asciiTheme="majorHAnsi" w:eastAsiaTheme="minorHAnsi" w:hAnsiTheme="majorHAnsi"/>
          <w:spacing w:val="-6"/>
          <w:sz w:val="20"/>
          <w:szCs w:val="20"/>
          <w:lang w:eastAsia="en-US"/>
        </w:rPr>
        <w:t>период с 21.08.2016 по 21.08.2017</w:t>
      </w:r>
      <w:r>
        <w:rPr>
          <w:rFonts w:asciiTheme="majorHAnsi" w:eastAsiaTheme="minorHAnsi" w:hAnsiTheme="majorHAnsi"/>
          <w:spacing w:val="-6"/>
          <w:sz w:val="20"/>
          <w:szCs w:val="20"/>
          <w:lang w:eastAsia="en-US"/>
        </w:rPr>
        <w:t xml:space="preserve"> г.</w:t>
      </w:r>
    </w:p>
    <w:p w:rsidR="001667DB" w:rsidRDefault="00D811D8" w:rsidP="001667DB">
      <w:pPr>
        <w:pStyle w:val="af6"/>
        <w:spacing w:before="0" w:after="0"/>
        <w:jc w:val="left"/>
        <w:rPr>
          <w:rFonts w:asciiTheme="majorHAnsi" w:eastAsiaTheme="minorHAnsi" w:hAnsiTheme="majorHAnsi"/>
          <w:spacing w:val="-6"/>
          <w:sz w:val="20"/>
          <w:szCs w:val="20"/>
          <w:lang w:eastAsia="en-US"/>
        </w:rPr>
      </w:pPr>
      <w:r>
        <w:rPr>
          <w:rFonts w:asciiTheme="majorHAnsi" w:eastAsiaTheme="minorHAnsi" w:hAnsiTheme="majorHAnsi"/>
          <w:spacing w:val="-6"/>
          <w:sz w:val="20"/>
          <w:szCs w:val="20"/>
          <w:lang w:eastAsia="en-US"/>
        </w:rPr>
        <w:br/>
      </w:r>
      <w:r w:rsidR="001667DB">
        <w:rPr>
          <w:noProof/>
        </w:rPr>
        <w:drawing>
          <wp:inline distT="0" distB="0" distL="0" distR="0" wp14:anchorId="201EEC0A" wp14:editId="5D520CA1">
            <wp:extent cx="6298934" cy="1897811"/>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10717" b="46664"/>
                    <a:stretch/>
                  </pic:blipFill>
                  <pic:spPr bwMode="auto">
                    <a:xfrm>
                      <a:off x="0" y="0"/>
                      <a:ext cx="6317286" cy="1903340"/>
                    </a:xfrm>
                    <a:prstGeom prst="rect">
                      <a:avLst/>
                    </a:prstGeom>
                    <a:ln>
                      <a:noFill/>
                    </a:ln>
                    <a:extLst>
                      <a:ext uri="{53640926-AAD7-44D8-BBD7-CCE9431645EC}">
                        <a14:shadowObscured xmlns:a14="http://schemas.microsoft.com/office/drawing/2010/main"/>
                      </a:ext>
                    </a:extLst>
                  </pic:spPr>
                </pic:pic>
              </a:graphicData>
            </a:graphic>
          </wp:inline>
        </w:drawing>
      </w:r>
    </w:p>
    <w:p w:rsidR="001667DB" w:rsidRDefault="001667DB" w:rsidP="001667DB">
      <w:pPr>
        <w:pStyle w:val="af6"/>
        <w:spacing w:before="0" w:after="0"/>
        <w:jc w:val="left"/>
        <w:rPr>
          <w:rFonts w:asciiTheme="majorHAnsi" w:eastAsiaTheme="minorHAnsi" w:hAnsiTheme="majorHAnsi"/>
          <w:spacing w:val="-6"/>
          <w:sz w:val="20"/>
          <w:szCs w:val="20"/>
          <w:lang w:eastAsia="en-US"/>
        </w:rPr>
      </w:pPr>
    </w:p>
    <w:p w:rsidR="001667DB" w:rsidRDefault="001667DB" w:rsidP="00D811D8">
      <w:pPr>
        <w:pStyle w:val="af6"/>
        <w:spacing w:before="0" w:after="0"/>
        <w:ind w:firstLine="0"/>
        <w:jc w:val="center"/>
        <w:rPr>
          <w:rFonts w:asciiTheme="majorHAnsi" w:eastAsiaTheme="minorHAnsi" w:hAnsiTheme="majorHAnsi"/>
          <w:spacing w:val="-6"/>
          <w:sz w:val="20"/>
          <w:szCs w:val="20"/>
          <w:lang w:eastAsia="en-US"/>
        </w:rPr>
      </w:pPr>
      <w:r>
        <w:rPr>
          <w:noProof/>
        </w:rPr>
        <w:drawing>
          <wp:inline distT="0" distB="0" distL="0" distR="0" wp14:anchorId="2FBB63E4" wp14:editId="42F3EEC8">
            <wp:extent cx="6268787" cy="2691442"/>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918" t="22650" r="3315" b="24250"/>
                    <a:stretch/>
                  </pic:blipFill>
                  <pic:spPr bwMode="auto">
                    <a:xfrm>
                      <a:off x="0" y="0"/>
                      <a:ext cx="6309820" cy="2709059"/>
                    </a:xfrm>
                    <a:prstGeom prst="rect">
                      <a:avLst/>
                    </a:prstGeom>
                    <a:ln>
                      <a:noFill/>
                    </a:ln>
                    <a:extLst>
                      <a:ext uri="{53640926-AAD7-44D8-BBD7-CCE9431645EC}">
                        <a14:shadowObscured xmlns:a14="http://schemas.microsoft.com/office/drawing/2010/main"/>
                      </a:ext>
                    </a:extLst>
                  </pic:spPr>
                </pic:pic>
              </a:graphicData>
            </a:graphic>
          </wp:inline>
        </w:drawing>
      </w:r>
    </w:p>
    <w:p w:rsidR="00D811D8" w:rsidRDefault="001667DB" w:rsidP="00D811D8">
      <w:pPr>
        <w:pStyle w:val="af6"/>
        <w:spacing w:before="0" w:after="0"/>
        <w:ind w:firstLine="0"/>
        <w:jc w:val="center"/>
        <w:rPr>
          <w:rFonts w:asciiTheme="majorHAnsi" w:hAnsiTheme="majorHAnsi"/>
          <w:sz w:val="20"/>
          <w:szCs w:val="20"/>
        </w:rPr>
      </w:pPr>
      <w:r>
        <w:rPr>
          <w:noProof/>
        </w:rPr>
        <w:drawing>
          <wp:inline distT="0" distB="0" distL="0" distR="0" wp14:anchorId="231C370A" wp14:editId="0C783FF2">
            <wp:extent cx="6124755" cy="3890841"/>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5204" t="9744" r="11532" b="7696"/>
                    <a:stretch/>
                  </pic:blipFill>
                  <pic:spPr bwMode="auto">
                    <a:xfrm>
                      <a:off x="0" y="0"/>
                      <a:ext cx="6169195" cy="3919072"/>
                    </a:xfrm>
                    <a:prstGeom prst="rect">
                      <a:avLst/>
                    </a:prstGeom>
                    <a:ln>
                      <a:noFill/>
                    </a:ln>
                    <a:extLst>
                      <a:ext uri="{53640926-AAD7-44D8-BBD7-CCE9431645EC}">
                        <a14:shadowObscured xmlns:a14="http://schemas.microsoft.com/office/drawing/2010/main"/>
                      </a:ext>
                    </a:extLst>
                  </pic:spPr>
                </pic:pic>
              </a:graphicData>
            </a:graphic>
          </wp:inline>
        </w:drawing>
      </w:r>
      <w:r w:rsidR="00D811D8">
        <w:rPr>
          <w:rFonts w:asciiTheme="majorHAnsi" w:eastAsiaTheme="minorHAnsi" w:hAnsiTheme="majorHAnsi"/>
          <w:spacing w:val="-6"/>
          <w:sz w:val="20"/>
          <w:szCs w:val="20"/>
          <w:lang w:eastAsia="en-US"/>
        </w:rPr>
        <w:br/>
        <w:t>Источни</w:t>
      </w:r>
      <w:r w:rsidR="00D811D8" w:rsidRPr="001667DB">
        <w:rPr>
          <w:rFonts w:asciiTheme="majorHAnsi" w:eastAsiaTheme="minorHAnsi" w:hAnsiTheme="majorHAnsi"/>
          <w:spacing w:val="-6"/>
          <w:sz w:val="20"/>
          <w:szCs w:val="20"/>
          <w:lang w:eastAsia="en-US"/>
        </w:rPr>
        <w:t xml:space="preserve">к: </w:t>
      </w:r>
      <w:hyperlink r:id="rId82" w:history="1">
        <w:r w:rsidR="004B0641" w:rsidRPr="00E2175A">
          <w:rPr>
            <w:rStyle w:val="af0"/>
            <w:rFonts w:asciiTheme="majorHAnsi" w:hAnsiTheme="majorHAnsi"/>
            <w:sz w:val="20"/>
            <w:szCs w:val="20"/>
          </w:rPr>
          <w:t>https://regionalrealty.ru/belgorod/stats/commercial/</w:t>
        </w:r>
      </w:hyperlink>
    </w:p>
    <w:p w:rsidR="004B0641" w:rsidRDefault="004B0641" w:rsidP="00D811D8">
      <w:pPr>
        <w:pStyle w:val="af6"/>
        <w:spacing w:before="0" w:after="0"/>
        <w:ind w:firstLine="0"/>
        <w:jc w:val="center"/>
        <w:rPr>
          <w:rFonts w:asciiTheme="majorHAnsi" w:eastAsiaTheme="minorHAnsi" w:hAnsiTheme="majorHAnsi"/>
          <w:spacing w:val="-6"/>
          <w:sz w:val="20"/>
          <w:szCs w:val="20"/>
          <w:lang w:eastAsia="en-US"/>
        </w:rPr>
      </w:pPr>
    </w:p>
    <w:p w:rsidR="00D811D8" w:rsidRDefault="00D811D8" w:rsidP="00D811D8">
      <w:pPr>
        <w:pStyle w:val="af6"/>
        <w:spacing w:before="0" w:after="0"/>
        <w:ind w:firstLine="0"/>
        <w:jc w:val="center"/>
        <w:rPr>
          <w:rFonts w:asciiTheme="majorHAnsi" w:eastAsiaTheme="minorHAnsi" w:hAnsiTheme="majorHAnsi"/>
          <w:spacing w:val="-6"/>
          <w:sz w:val="20"/>
          <w:szCs w:val="20"/>
          <w:lang w:eastAsia="en-US"/>
        </w:rPr>
      </w:pPr>
    </w:p>
    <w:p w:rsidR="00D811D8" w:rsidRDefault="00D811D8" w:rsidP="00D811D8">
      <w:pPr>
        <w:pStyle w:val="af6"/>
        <w:spacing w:before="0" w:after="0"/>
        <w:ind w:firstLine="0"/>
        <w:jc w:val="center"/>
        <w:rPr>
          <w:rFonts w:asciiTheme="majorHAnsi" w:eastAsiaTheme="minorHAnsi" w:hAnsiTheme="majorHAnsi"/>
          <w:spacing w:val="-6"/>
          <w:sz w:val="20"/>
          <w:szCs w:val="20"/>
          <w:lang w:eastAsia="en-US"/>
        </w:rPr>
      </w:pPr>
    </w:p>
    <w:p w:rsidR="00D811D8" w:rsidRPr="00D811D8" w:rsidRDefault="00D811D8" w:rsidP="00D811D8">
      <w:pPr>
        <w:shd w:val="clear" w:color="auto" w:fill="FFFFFF"/>
        <w:ind w:firstLine="709"/>
        <w:jc w:val="both"/>
        <w:rPr>
          <w:rFonts w:ascii="Cambria" w:hAnsi="Cambria"/>
          <w:color w:val="000000"/>
          <w:sz w:val="20"/>
          <w:szCs w:val="20"/>
        </w:rPr>
      </w:pPr>
      <w:r w:rsidRPr="00D811D8">
        <w:rPr>
          <w:rFonts w:ascii="Cambria" w:hAnsi="Cambria"/>
          <w:color w:val="000000"/>
          <w:sz w:val="20"/>
          <w:szCs w:val="20"/>
        </w:rPr>
        <w:t xml:space="preserve">В таблице приведены </w:t>
      </w:r>
      <w:r w:rsidRPr="00D811D8">
        <w:rPr>
          <w:rFonts w:ascii="Cambria" w:hAnsi="Cambria"/>
          <w:b/>
          <w:bCs/>
          <w:color w:val="000000"/>
          <w:sz w:val="20"/>
          <w:szCs w:val="20"/>
        </w:rPr>
        <w:t>медианные</w:t>
      </w:r>
      <w:r w:rsidRPr="00D811D8">
        <w:rPr>
          <w:rFonts w:ascii="Cambria" w:hAnsi="Cambria"/>
          <w:color w:val="000000"/>
          <w:sz w:val="20"/>
          <w:szCs w:val="20"/>
        </w:rPr>
        <w:t xml:space="preserve"> цены, полученные путем анализа объявлений, где говорится </w:t>
      </w:r>
      <w:r w:rsidR="001667DB">
        <w:rPr>
          <w:rFonts w:ascii="Cambria" w:hAnsi="Cambria"/>
          <w:color w:val="000000"/>
          <w:sz w:val="20"/>
          <w:szCs w:val="20"/>
        </w:rPr>
        <w:t xml:space="preserve">о продаже/аренде коммерческих </w:t>
      </w:r>
      <w:r w:rsidRPr="00D811D8">
        <w:rPr>
          <w:rFonts w:ascii="Cambria" w:hAnsi="Cambria"/>
          <w:color w:val="000000"/>
          <w:sz w:val="20"/>
          <w:szCs w:val="20"/>
        </w:rPr>
        <w:t xml:space="preserve"> помещения в городе Белгород.</w:t>
      </w:r>
    </w:p>
    <w:p w:rsidR="00D811D8" w:rsidRPr="00BA2029" w:rsidRDefault="00D811D8" w:rsidP="00BA2029">
      <w:pPr>
        <w:shd w:val="clear" w:color="auto" w:fill="FFFFFF"/>
        <w:ind w:firstLine="709"/>
        <w:jc w:val="both"/>
        <w:rPr>
          <w:rFonts w:ascii="Cambria" w:hAnsi="Cambria"/>
          <w:color w:val="000000"/>
          <w:sz w:val="20"/>
          <w:szCs w:val="20"/>
        </w:rPr>
      </w:pP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Высший ценовой сегмент рынка характеризуется завышенной стоимостью, что приводит к существенным дисконтам при появлении реального покупателя. Скидки в данном случае достигают четверти от первоначальной стоимости. В среднем по рынку дисконт составляет 10-15%. Не соответствие ценовых ожиданий покупателей и продавцов существенно снижает оборот рынка.</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 xml:space="preserve">Превышение предложения над спросом оказывает нисходящее давление на цены. Особенно ярко это видно в сегменте аренды доминирующем в общем объеме предложении и спроса. Так ключевые типы коммерческой недвижимости за год утратили более четверти от первоначальных арендных ставок. За этот же период стоимость аренды торговой недвижимости сократилась на 25,66%. </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Для сравнения средняя стоимость продажи офисной недвижимости снизилась за год на 20,32%</w:t>
      </w:r>
      <w:r w:rsidR="004B0641">
        <w:rPr>
          <w:rFonts w:ascii="Cambria" w:hAnsi="Cambria"/>
          <w:color w:val="000000"/>
          <w:sz w:val="20"/>
          <w:szCs w:val="20"/>
        </w:rPr>
        <w:t>.</w:t>
      </w:r>
      <w:r w:rsidRPr="00BA2029">
        <w:rPr>
          <w:rFonts w:ascii="Cambria" w:hAnsi="Cambria"/>
          <w:color w:val="000000"/>
          <w:sz w:val="20"/>
          <w:szCs w:val="20"/>
        </w:rPr>
        <w:t xml:space="preserve"> В сегменте торговой недвижимости наоборот отмечалось повышение цен в размере 6,65%. При этом с января по март 201</w:t>
      </w:r>
      <w:r w:rsidR="004B0641">
        <w:rPr>
          <w:rFonts w:ascii="Cambria" w:hAnsi="Cambria"/>
          <w:color w:val="000000"/>
          <w:sz w:val="20"/>
          <w:szCs w:val="20"/>
        </w:rPr>
        <w:t>7</w:t>
      </w:r>
      <w:r w:rsidRPr="00BA2029">
        <w:rPr>
          <w:rFonts w:ascii="Cambria" w:hAnsi="Cambria"/>
          <w:color w:val="000000"/>
          <w:sz w:val="20"/>
          <w:szCs w:val="20"/>
        </w:rPr>
        <w:t xml:space="preserve"> года стоимость продажи офисной и торговой недвижимости снизилась на 7,21% и 3,6% соответственно. Это позволяет утверждать, что незначительное подорожание магазинов в годовой амплитуде обуславливается сезонным колебанием спроса. Последний в преддверии лета особенно активизируется на субрынке нестационарных объектов торговой недвижимости, что приводит к повышению цен на них. Это так же увеличивает средний уровень цен на рынке.</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b/>
          <w:bCs/>
          <w:color w:val="3D3D3D"/>
          <w:sz w:val="20"/>
          <w:szCs w:val="20"/>
        </w:rPr>
        <w:t>Инвестиции</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Годовой оборот рынка коммерческой недвижимости Белгорода составляет около 4,5 млрд. рублей. При этом средний срок экспозиции равняется 1 году. В общем объеме сделок доминируют помещения свободного назначения, вбирающие 45 всех инвестиционных сделок. Еще 30% транзакций приходится на торговую недвижимость. Офисная недвижимость обеспечивает около 20% всех сделок. Пять процентов рынка формируют помещения иного назначения. При этом стоит отметить, что субрынок помещений свободного назначения по большей степени включает в себя объекты сервисного обслуживания, а так складскую и индустриальную недвижимость, используемую для легкого производства.</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Доходность офисной недвижимости в Белгороде составляет 8,5%. В то время как торговая недвижимость генерирует доход в размере 7%. Ставки капитализации помещений свободного назначения составляют 7,6%. Эта же доходность свойственна складским помещениям. Проанализировать динамику данных показателей сейчас крайне трудно, вследствие причин указанных в разделе "Тренды". Вместе с тем можно утверждать, что доходность объектов коммерческой недвижимости в Белгороде меньше чем в среднем по стране. Так офисная и торговая недвижимость в общенациональном формате характеризовалась доходностью в размере 9,5–10,5%. Склады отличились ставками капитализации в размере 12-13%.</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На рынке купли-продажи коммерческой недвижимости Белгорода отсутствует зарубежный капитал. Подавляющее большинство сделок заключается региональными бизнесменами. При этом имеются прецеденты участия федерального капитала.</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b/>
          <w:bCs/>
          <w:color w:val="3D3D3D"/>
          <w:sz w:val="20"/>
          <w:szCs w:val="20"/>
        </w:rPr>
        <w:t>Тренды</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На рынке торговой недвижимости Белгорода отмечается ужесточение конкуренции между торговыми центрами. Арендаторы стараются выбрать лучшие объекты, используя для переезда снизившиеся ставки аренды. При этом в менее выигрышном положении оказываются верхние этажи ТЦ. Именно с них в первую очередь съезжают продавцы. При этом мелкие и средние торговые центры теряют клиентов быстрее крупных ТЦ. Последние выигрывают от ротации арендаторов, большая часть которых стремится переехать именно в крупные объекты торговой недвижимости. Это позволяет таковым замедлить, а то и вовсе остановить снижение арендных ставок.</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На рынке офисной недвижимости отмечается стремление компаний оптимизировать занимаемые площади или же переехать в более дешевые БЦ. В данном контексте активизируется аренда квартир, которые становятся альтернативой профессиональным офисным помещениям. При этом арендодатели существенно теряют от отсутствия в городе современных БЦ сертифицированных на соответствие энергоэффективным технологиям. Данные объекты при сравнительно большей стоимости позволяют сэкономить 25-30% операционных расходов, что оставляет существенные возможности для ценового демпинга с целью привлечения арендаторов. Заполняемость данных объектов на 2-16% больше чем обычных.</w:t>
      </w:r>
    </w:p>
    <w:p w:rsidR="00BA2029" w:rsidRPr="00BA2029" w:rsidRDefault="00BA2029" w:rsidP="00BA2029">
      <w:pPr>
        <w:shd w:val="clear" w:color="auto" w:fill="FFFFFF"/>
        <w:ind w:firstLine="709"/>
        <w:jc w:val="both"/>
        <w:rPr>
          <w:rFonts w:ascii="Cambria" w:hAnsi="Cambria"/>
          <w:color w:val="000000"/>
          <w:sz w:val="20"/>
          <w:szCs w:val="20"/>
        </w:rPr>
      </w:pPr>
      <w:r w:rsidRPr="00BA2029">
        <w:rPr>
          <w:rFonts w:ascii="Cambria" w:hAnsi="Cambria"/>
          <w:color w:val="000000"/>
          <w:sz w:val="20"/>
          <w:szCs w:val="20"/>
        </w:rPr>
        <w:t xml:space="preserve">За 2015 год практические все собственники коммерческой недвижимости перешли на рублевые ставки аренды. Исключение составляют лишь владельцы самых качественных и востребованных объектов, чьи ставки по-прежнему номинированы в валюте. В целом же сильная волатильность рубля существенно затрудняет оценку активов. Эта же причина содействовала росту временных скидок и фиксации курсов, что существенно ограничило деятельность инвесторов затрудняющихся просчитать возможную доходность объекта. Так же активность таковых снизила слабая популярность рынка коммерческой недвижимости Белгорода в общенациональном масштабе. Например, в 2015 году ни одна иностранная розничная сеть не </w:t>
      </w:r>
      <w:r w:rsidRPr="00BA2029">
        <w:rPr>
          <w:rFonts w:ascii="Cambria" w:hAnsi="Cambria"/>
          <w:color w:val="000000"/>
          <w:sz w:val="20"/>
          <w:szCs w:val="20"/>
        </w:rPr>
        <w:lastRenderedPageBreak/>
        <w:t>выбрала Белгород для начала своей работы в России. Ритейлеры входящие на рынок торговой недвижимости страны открывали свои первые магазины в Москве, Санкт-Петербурге, Смоленске, Казани, Ростове-на-Дону, Тюмени, Омске. Это же можно сказать о сегменте офисной и складской недвижимости.</w:t>
      </w:r>
    </w:p>
    <w:p w:rsidR="00BA2029" w:rsidRPr="00BA2029" w:rsidRDefault="009D75BF" w:rsidP="00BA2029">
      <w:pPr>
        <w:shd w:val="clear" w:color="auto" w:fill="FFFFFF"/>
        <w:ind w:firstLine="709"/>
        <w:jc w:val="both"/>
        <w:rPr>
          <w:rFonts w:ascii="Cambria" w:hAnsi="Cambria"/>
          <w:color w:val="000000"/>
          <w:sz w:val="20"/>
          <w:szCs w:val="20"/>
        </w:rPr>
      </w:pPr>
      <w:r>
        <w:rPr>
          <w:rFonts w:ascii="Cambria" w:hAnsi="Cambria"/>
          <w:b/>
          <w:bCs/>
          <w:color w:val="3D3D3D"/>
          <w:sz w:val="20"/>
          <w:szCs w:val="20"/>
        </w:rPr>
        <w:t>Выводы и прогнозы</w:t>
      </w:r>
    </w:p>
    <w:p w:rsidR="00BA2029" w:rsidRPr="00BA2029" w:rsidRDefault="00BA2029" w:rsidP="00BA2029">
      <w:pPr>
        <w:shd w:val="clear" w:color="auto" w:fill="FFFFFF"/>
        <w:ind w:firstLine="709"/>
        <w:jc w:val="both"/>
        <w:rPr>
          <w:rFonts w:ascii="Cambria" w:hAnsi="Cambria"/>
          <w:color w:val="000000"/>
          <w:sz w:val="20"/>
          <w:szCs w:val="20"/>
        </w:rPr>
      </w:pPr>
      <w:r>
        <w:rPr>
          <w:rFonts w:ascii="Cambria" w:hAnsi="Cambria"/>
          <w:color w:val="000000"/>
          <w:sz w:val="20"/>
          <w:szCs w:val="20"/>
        </w:rPr>
        <w:t xml:space="preserve">К концу </w:t>
      </w:r>
      <w:r w:rsidRPr="00BA2029">
        <w:rPr>
          <w:rFonts w:ascii="Cambria" w:hAnsi="Cambria"/>
          <w:color w:val="000000"/>
          <w:sz w:val="20"/>
          <w:szCs w:val="20"/>
        </w:rPr>
        <w:t xml:space="preserve">2016 году на рынке коммерческой недвижимости Белгорода ожидается стабилизация арендных ставок и снижение стоимости продажи. Это окажет восходящее давление на доходность объектов </w:t>
      </w:r>
      <w:r w:rsidR="00662682">
        <w:rPr>
          <w:rFonts w:ascii="Cambria" w:hAnsi="Cambria"/>
          <w:color w:val="000000"/>
          <w:sz w:val="20"/>
          <w:szCs w:val="20"/>
        </w:rPr>
        <w:t>коммерческой</w:t>
      </w:r>
      <w:r w:rsidRPr="00BA2029">
        <w:rPr>
          <w:rFonts w:ascii="Cambria" w:hAnsi="Cambria"/>
          <w:color w:val="000000"/>
          <w:sz w:val="20"/>
          <w:szCs w:val="20"/>
        </w:rPr>
        <w:t xml:space="preserve"> недвижимости. Спрос на объекты коммерческой недвижимости продолжит снижаться, чему будет содействовать сокращение ключевых показателей областной экономики. Например, товарооборот в регионе снизился за 2015 год на 11%, что существенно ослабило рынок торговой недвижимости. Индекс промышленного производства с января по </w:t>
      </w:r>
      <w:r>
        <w:rPr>
          <w:rFonts w:ascii="Cambria" w:hAnsi="Cambria"/>
          <w:color w:val="000000"/>
          <w:sz w:val="20"/>
          <w:szCs w:val="20"/>
        </w:rPr>
        <w:t>сентябрь</w:t>
      </w:r>
      <w:r w:rsidRPr="00BA2029">
        <w:rPr>
          <w:rFonts w:ascii="Cambria" w:hAnsi="Cambria"/>
          <w:color w:val="000000"/>
          <w:sz w:val="20"/>
          <w:szCs w:val="20"/>
        </w:rPr>
        <w:t xml:space="preserve"> 2016 года снизился на 3,1%, что ослабило рынки офисной и производственно-складской недвижимости.</w:t>
      </w:r>
    </w:p>
    <w:p w:rsidR="00BA2029" w:rsidRPr="009D75BF" w:rsidRDefault="00BA2029" w:rsidP="009D75BF">
      <w:pPr>
        <w:shd w:val="clear" w:color="auto" w:fill="FFFFFF"/>
        <w:ind w:firstLine="709"/>
        <w:jc w:val="both"/>
        <w:rPr>
          <w:rFonts w:ascii="Cambria" w:hAnsi="Cambria"/>
          <w:color w:val="000000"/>
          <w:sz w:val="20"/>
          <w:szCs w:val="20"/>
        </w:rPr>
      </w:pPr>
      <w:r w:rsidRPr="00BA2029">
        <w:rPr>
          <w:rFonts w:ascii="Cambria" w:hAnsi="Cambria"/>
          <w:color w:val="000000"/>
          <w:sz w:val="20"/>
          <w:szCs w:val="20"/>
        </w:rPr>
        <w:t>На этом фоне в регионе продолжится реализация новых проектов коммерческой недвижимости. Девелоперы попросту не могут резко остановить реализацию ранее запланированных проектов. Причем именно эти объекты, выводимые на рынок в период кризиса, будут характеризоваться наибольшими дисконтами, что сделает их наиболее привлекательными для долгосрочной аренды компаниями с длительными горизонтами планирования. Не смотря на то, что кардинальных изменений на рынке недвижимости Белгорода не произойдет, таковой в период кризиса предоставляет лучшие возможности для долгосрочных инвестиционных стратегий. Существенным препятствием для реализации таковых может только стать дефицит кредитования, собственного капитала и собственно долгосрочных горизонтов планирования у местных участников рынка.</w:t>
      </w:r>
    </w:p>
    <w:p w:rsidR="003A0AB0" w:rsidRPr="00271973" w:rsidRDefault="00271973" w:rsidP="00271973">
      <w:pPr>
        <w:pStyle w:val="af6"/>
        <w:spacing w:before="0" w:after="0"/>
        <w:ind w:firstLine="0"/>
        <w:jc w:val="center"/>
        <w:rPr>
          <w:rFonts w:asciiTheme="majorHAnsi" w:eastAsiaTheme="minorHAnsi" w:hAnsiTheme="majorHAnsi"/>
          <w:spacing w:val="-6"/>
          <w:sz w:val="20"/>
          <w:szCs w:val="20"/>
          <w:lang w:eastAsia="en-US"/>
        </w:rPr>
      </w:pPr>
      <w:r w:rsidRPr="00DC365C">
        <w:rPr>
          <w:rFonts w:asciiTheme="majorHAnsi" w:eastAsia="Calibri" w:hAnsiTheme="majorHAnsi"/>
          <w:b/>
          <w:bCs/>
          <w:i/>
          <w:iCs/>
          <w:sz w:val="20"/>
          <w:szCs w:val="20"/>
          <w:lang w:eastAsia="en-US"/>
        </w:rPr>
        <w:t>Источник</w:t>
      </w:r>
      <w:r w:rsidRPr="00DC365C">
        <w:rPr>
          <w:rFonts w:asciiTheme="majorHAnsi" w:eastAsia="Calibri" w:hAnsiTheme="majorHAnsi"/>
          <w:i/>
          <w:iCs/>
          <w:sz w:val="20"/>
          <w:szCs w:val="20"/>
          <w:lang w:eastAsia="en-US"/>
        </w:rPr>
        <w:t xml:space="preserve">: </w:t>
      </w:r>
      <w:r w:rsidRPr="00271973">
        <w:rPr>
          <w:bCs/>
          <w:i/>
          <w:iCs/>
          <w:sz w:val="20"/>
          <w:szCs w:val="20"/>
        </w:rPr>
        <w:t>Росриэлт®</w:t>
      </w:r>
    </w:p>
    <w:p w:rsidR="003A0AB0" w:rsidRDefault="003A0AB0" w:rsidP="00246E4F">
      <w:pPr>
        <w:ind w:firstLine="708"/>
        <w:jc w:val="both"/>
        <w:rPr>
          <w:rFonts w:asciiTheme="majorHAnsi" w:hAnsiTheme="majorHAnsi"/>
          <w:sz w:val="20"/>
          <w:szCs w:val="20"/>
        </w:rPr>
      </w:pPr>
    </w:p>
    <w:p w:rsidR="00612870" w:rsidRPr="0041224F" w:rsidRDefault="00612870" w:rsidP="0090764B">
      <w:pPr>
        <w:pStyle w:val="af3"/>
        <w:numPr>
          <w:ilvl w:val="1"/>
          <w:numId w:val="11"/>
        </w:numPr>
        <w:ind w:left="709"/>
        <w:rPr>
          <w:rFonts w:asciiTheme="majorHAnsi" w:hAnsiTheme="majorHAnsi"/>
          <w:b/>
          <w:sz w:val="20"/>
          <w:szCs w:val="20"/>
          <w:lang w:val="ru-RU"/>
        </w:rPr>
      </w:pPr>
      <w:r w:rsidRPr="0041224F">
        <w:rPr>
          <w:rFonts w:asciiTheme="majorHAnsi" w:hAnsiTheme="majorHAnsi"/>
          <w:b/>
          <w:sz w:val="20"/>
          <w:szCs w:val="20"/>
          <w:lang w:val="ru-RU"/>
        </w:rPr>
        <w:t xml:space="preserve">Результаты исследования рынка в сегменте, к которому относятся  оцениваемые объекты </w:t>
      </w:r>
    </w:p>
    <w:p w:rsidR="0041224F" w:rsidRDefault="0041224F" w:rsidP="006358BA">
      <w:pPr>
        <w:ind w:firstLine="708"/>
        <w:jc w:val="both"/>
        <w:rPr>
          <w:rFonts w:asciiTheme="majorHAnsi" w:hAnsiTheme="majorHAnsi"/>
          <w:b/>
          <w:sz w:val="20"/>
          <w:szCs w:val="20"/>
        </w:rPr>
      </w:pPr>
      <w:r w:rsidRPr="0041224F">
        <w:rPr>
          <w:rFonts w:asciiTheme="majorHAnsi" w:hAnsiTheme="majorHAnsi"/>
          <w:sz w:val="20"/>
          <w:szCs w:val="20"/>
        </w:rPr>
        <w:t xml:space="preserve">Предложение по аренде </w:t>
      </w:r>
      <w:hyperlink r:id="rId83" w:tgtFrame="_blank" w:history="1">
        <w:r w:rsidR="000522DE">
          <w:rPr>
            <w:rFonts w:asciiTheme="majorHAnsi" w:hAnsiTheme="majorHAnsi"/>
            <w:sz w:val="20"/>
            <w:szCs w:val="20"/>
          </w:rPr>
          <w:t>производственно-складских</w:t>
        </w:r>
        <w:r w:rsidRPr="0041224F">
          <w:rPr>
            <w:rFonts w:asciiTheme="majorHAnsi" w:hAnsiTheme="majorHAnsi"/>
            <w:sz w:val="20"/>
            <w:szCs w:val="20"/>
          </w:rPr>
          <w:t xml:space="preserve"> помещений в Белгороде</w:t>
        </w:r>
      </w:hyperlink>
      <w:r w:rsidRPr="0041224F">
        <w:rPr>
          <w:rFonts w:asciiTheme="majorHAnsi" w:hAnsiTheme="majorHAnsi"/>
          <w:sz w:val="20"/>
          <w:szCs w:val="20"/>
        </w:rPr>
        <w:t xml:space="preserve"> превысило спрос, это ведет к падению ставок. Власти областного центра отмечают несколько причин перенасыщения на рынке </w:t>
      </w:r>
      <w:r>
        <w:rPr>
          <w:rFonts w:asciiTheme="majorHAnsi" w:hAnsiTheme="majorHAnsi"/>
          <w:sz w:val="20"/>
          <w:szCs w:val="20"/>
        </w:rPr>
        <w:t xml:space="preserve">производственной </w:t>
      </w:r>
      <w:r w:rsidRPr="0041224F">
        <w:rPr>
          <w:rFonts w:asciiTheme="majorHAnsi" w:hAnsiTheme="majorHAnsi"/>
          <w:sz w:val="20"/>
          <w:szCs w:val="20"/>
        </w:rPr>
        <w:t>недвижимости. Во-первых, это экономический кризис, из-за которого многие предприниматели не могут «потянуть» арендные ставки. Во-вторых, Белгород входит в пятёрку лидеров по объёму строительства, и эта активность, которая недавно считалась положительной тенденцией, сейчас также привела к тому, что предложение заметно превысило спрос. При этом власти областного центра не теряют оптимизма и надеются, что хорошая обеспеченность города различными инвестплощадками в конце концов привлечет бизнесменов с идеями новых проектов.  </w:t>
      </w:r>
      <w:r w:rsidRPr="0041224F">
        <w:rPr>
          <w:rFonts w:asciiTheme="majorHAnsi" w:hAnsiTheme="majorHAnsi"/>
          <w:b/>
          <w:sz w:val="20"/>
          <w:szCs w:val="20"/>
        </w:rPr>
        <w:t xml:space="preserve"> </w:t>
      </w:r>
    </w:p>
    <w:p w:rsidR="00612870" w:rsidRDefault="00612870" w:rsidP="006358BA">
      <w:pPr>
        <w:ind w:firstLine="708"/>
        <w:jc w:val="both"/>
        <w:rPr>
          <w:rFonts w:asciiTheme="majorHAnsi" w:hAnsiTheme="majorHAnsi"/>
          <w:b/>
          <w:sz w:val="20"/>
          <w:szCs w:val="20"/>
        </w:rPr>
      </w:pPr>
      <w:r w:rsidRPr="00E03510">
        <w:rPr>
          <w:rFonts w:asciiTheme="majorHAnsi" w:hAnsiTheme="majorHAnsi"/>
          <w:b/>
          <w:sz w:val="20"/>
          <w:szCs w:val="20"/>
        </w:rPr>
        <w:t>В части диапазонов цен, они назначаются индивидуально, имеют общие тенденции, но в вопросах ценообразования</w:t>
      </w:r>
      <w:r w:rsidR="000522DE">
        <w:rPr>
          <w:rFonts w:asciiTheme="majorHAnsi" w:hAnsiTheme="majorHAnsi"/>
          <w:b/>
          <w:sz w:val="20"/>
          <w:szCs w:val="20"/>
        </w:rPr>
        <w:t xml:space="preserve"> довольно таки дифференцированы:</w:t>
      </w:r>
    </w:p>
    <w:p w:rsidR="000522DE" w:rsidRDefault="000522DE" w:rsidP="000522DE">
      <w:pPr>
        <w:spacing w:before="120" w:after="120"/>
        <w:ind w:firstLine="709"/>
        <w:jc w:val="right"/>
        <w:rPr>
          <w:rFonts w:ascii="Cambria" w:eastAsiaTheme="minorHAnsi" w:hAnsi="Cambria" w:cstheme="minorBidi"/>
          <w:sz w:val="20"/>
          <w:szCs w:val="20"/>
        </w:rPr>
      </w:pPr>
      <w:r w:rsidRPr="00DC365C">
        <w:rPr>
          <w:rFonts w:asciiTheme="majorHAnsi" w:eastAsia="Calibri" w:hAnsiTheme="majorHAnsi"/>
          <w:b/>
          <w:bCs/>
          <w:sz w:val="20"/>
          <w:szCs w:val="20"/>
          <w:lang w:eastAsia="ar-SA"/>
        </w:rPr>
        <w:t xml:space="preserve">Таблица </w:t>
      </w:r>
      <w:r>
        <w:rPr>
          <w:rFonts w:asciiTheme="majorHAnsi" w:eastAsia="Calibri" w:hAnsiTheme="majorHAnsi"/>
          <w:b/>
          <w:bCs/>
          <w:sz w:val="20"/>
          <w:szCs w:val="20"/>
          <w:lang w:eastAsia="ar-SA"/>
        </w:rPr>
        <w:t xml:space="preserve">4 </w:t>
      </w:r>
      <w:r w:rsidRPr="000522DE">
        <w:rPr>
          <w:rFonts w:ascii="Cambria" w:eastAsiaTheme="minorHAnsi" w:hAnsi="Cambria" w:cstheme="minorBidi"/>
          <w:sz w:val="20"/>
          <w:szCs w:val="20"/>
        </w:rPr>
        <w:t>Сведения о фактических данных о ценах предложений с объектами недвижимости из сегментов рынка, к котор</w:t>
      </w:r>
      <w:r>
        <w:rPr>
          <w:rFonts w:ascii="Cambria" w:eastAsiaTheme="minorHAnsi" w:hAnsi="Cambria" w:cstheme="minorBidi"/>
          <w:sz w:val="20"/>
          <w:szCs w:val="20"/>
        </w:rPr>
        <w:t>о</w:t>
      </w:r>
      <w:r w:rsidRPr="000522DE">
        <w:rPr>
          <w:rFonts w:ascii="Cambria" w:eastAsiaTheme="minorHAnsi" w:hAnsi="Cambria" w:cstheme="minorBidi"/>
          <w:sz w:val="20"/>
          <w:szCs w:val="20"/>
        </w:rPr>
        <w:t>м</w:t>
      </w:r>
      <w:r>
        <w:rPr>
          <w:rFonts w:ascii="Cambria" w:eastAsiaTheme="minorHAnsi" w:hAnsi="Cambria" w:cstheme="minorBidi"/>
          <w:sz w:val="20"/>
          <w:szCs w:val="20"/>
        </w:rPr>
        <w:t>у</w:t>
      </w:r>
      <w:r w:rsidRPr="000522DE">
        <w:rPr>
          <w:rFonts w:ascii="Cambria" w:eastAsiaTheme="minorHAnsi" w:hAnsi="Cambria" w:cstheme="minorBidi"/>
          <w:sz w:val="20"/>
          <w:szCs w:val="20"/>
        </w:rPr>
        <w:t xml:space="preserve"> может быть отнесен оцениваемый объект при фактическом, а также при альтернативных вариантах его использования, с у</w:t>
      </w:r>
      <w:r>
        <w:rPr>
          <w:rFonts w:ascii="Cambria" w:eastAsiaTheme="minorHAnsi" w:hAnsi="Cambria" w:cstheme="minorBidi"/>
          <w:sz w:val="20"/>
          <w:szCs w:val="20"/>
        </w:rPr>
        <w:t>казанием интервала значений цен.</w:t>
      </w:r>
    </w:p>
    <w:p w:rsidR="004B0641" w:rsidRDefault="004B0641" w:rsidP="004B0641">
      <w:pPr>
        <w:tabs>
          <w:tab w:val="left" w:pos="2925"/>
        </w:tabs>
        <w:spacing w:before="120" w:after="120"/>
        <w:ind w:firstLine="709"/>
        <w:jc w:val="both"/>
        <w:rPr>
          <w:rFonts w:ascii="Cambria" w:hAnsi="Cambria"/>
          <w:b/>
          <w:bCs/>
          <w:sz w:val="20"/>
          <w:szCs w:val="20"/>
        </w:rPr>
      </w:pPr>
      <w:r>
        <w:rPr>
          <w:rFonts w:ascii="Cambria" w:hAnsi="Cambria"/>
          <w:b/>
          <w:bCs/>
          <w:sz w:val="20"/>
          <w:szCs w:val="20"/>
        </w:rPr>
        <w:t>– производственный комплекс</w:t>
      </w:r>
    </w:p>
    <w:tbl>
      <w:tblPr>
        <w:tblW w:w="9933"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4542"/>
        <w:gridCol w:w="1701"/>
        <w:gridCol w:w="2012"/>
        <w:gridCol w:w="1678"/>
      </w:tblGrid>
      <w:tr w:rsidR="000522DE" w:rsidRPr="000522DE" w:rsidTr="00722D7B">
        <w:trPr>
          <w:trHeight w:val="23"/>
          <w:jc w:val="center"/>
        </w:trPr>
        <w:tc>
          <w:tcPr>
            <w:tcW w:w="6243" w:type="dxa"/>
            <w:gridSpan w:val="2"/>
            <w:tcBorders>
              <w:top w:val="double" w:sz="4" w:space="0" w:color="auto"/>
              <w:left w:val="double" w:sz="4" w:space="0" w:color="auto"/>
              <w:bottom w:val="single" w:sz="6" w:space="0" w:color="auto"/>
              <w:right w:val="single" w:sz="6" w:space="0" w:color="auto"/>
            </w:tcBorders>
            <w:shd w:val="clear" w:color="auto" w:fill="F2F2F2" w:themeFill="background1" w:themeFillShade="F2"/>
            <w:noWrap/>
            <w:vAlign w:val="center"/>
            <w:hideMark/>
          </w:tcPr>
          <w:p w:rsidR="000522DE" w:rsidRPr="000522DE" w:rsidRDefault="000522DE" w:rsidP="000522DE">
            <w:pPr>
              <w:spacing w:line="254" w:lineRule="auto"/>
              <w:jc w:val="center"/>
              <w:rPr>
                <w:rFonts w:asciiTheme="majorHAnsi" w:hAnsiTheme="majorHAnsi"/>
                <w:color w:val="000000"/>
                <w:sz w:val="18"/>
                <w:szCs w:val="18"/>
              </w:rPr>
            </w:pPr>
            <w:r w:rsidRPr="000522DE">
              <w:rPr>
                <w:rFonts w:asciiTheme="majorHAnsi" w:hAnsiTheme="majorHAnsi"/>
                <w:color w:val="000000"/>
                <w:sz w:val="18"/>
                <w:szCs w:val="18"/>
              </w:rPr>
              <w:t> </w:t>
            </w:r>
          </w:p>
        </w:tc>
        <w:tc>
          <w:tcPr>
            <w:tcW w:w="3690" w:type="dxa"/>
            <w:gridSpan w:val="2"/>
            <w:tcBorders>
              <w:top w:val="double" w:sz="4" w:space="0" w:color="auto"/>
              <w:left w:val="single" w:sz="6" w:space="0" w:color="auto"/>
              <w:bottom w:val="single" w:sz="6" w:space="0" w:color="auto"/>
              <w:right w:val="double" w:sz="4" w:space="0" w:color="auto"/>
            </w:tcBorders>
            <w:shd w:val="clear" w:color="auto" w:fill="F2F2F2" w:themeFill="background1" w:themeFillShade="F2"/>
            <w:noWrap/>
            <w:vAlign w:val="center"/>
            <w:hideMark/>
          </w:tcPr>
          <w:p w:rsidR="000522DE" w:rsidRPr="000522DE" w:rsidRDefault="000522DE" w:rsidP="000522DE">
            <w:pPr>
              <w:spacing w:line="254" w:lineRule="auto"/>
              <w:jc w:val="center"/>
              <w:rPr>
                <w:rFonts w:asciiTheme="majorHAnsi" w:hAnsiTheme="majorHAnsi"/>
                <w:color w:val="000000"/>
                <w:sz w:val="18"/>
                <w:szCs w:val="18"/>
              </w:rPr>
            </w:pPr>
            <w:r w:rsidRPr="000522DE">
              <w:rPr>
                <w:rFonts w:asciiTheme="majorHAnsi" w:hAnsiTheme="majorHAnsi"/>
                <w:color w:val="000000"/>
                <w:sz w:val="18"/>
                <w:szCs w:val="18"/>
              </w:rPr>
              <w:t>Интервал цен предложений для места фактического расположения</w:t>
            </w:r>
          </w:p>
        </w:tc>
      </w:tr>
      <w:tr w:rsidR="000522DE" w:rsidRPr="000522DE" w:rsidTr="00722D7B">
        <w:trPr>
          <w:trHeight w:val="23"/>
          <w:jc w:val="center"/>
        </w:trPr>
        <w:tc>
          <w:tcPr>
            <w:tcW w:w="4542" w:type="dxa"/>
            <w:tcBorders>
              <w:top w:val="single" w:sz="6" w:space="0" w:color="auto"/>
              <w:left w:val="double" w:sz="4" w:space="0" w:color="auto"/>
              <w:bottom w:val="single" w:sz="6" w:space="0" w:color="auto"/>
              <w:right w:val="single" w:sz="6" w:space="0" w:color="auto"/>
            </w:tcBorders>
            <w:vAlign w:val="center"/>
            <w:hideMark/>
          </w:tcPr>
          <w:p w:rsidR="000522DE" w:rsidRPr="000522DE" w:rsidRDefault="000522DE" w:rsidP="000522DE">
            <w:pPr>
              <w:spacing w:line="254" w:lineRule="auto"/>
              <w:jc w:val="center"/>
              <w:rPr>
                <w:rFonts w:asciiTheme="majorHAnsi" w:hAnsiTheme="majorHAnsi"/>
                <w:color w:val="000000"/>
                <w:sz w:val="18"/>
                <w:szCs w:val="18"/>
              </w:rPr>
            </w:pPr>
            <w:r w:rsidRPr="000522DE">
              <w:rPr>
                <w:rFonts w:asciiTheme="majorHAnsi" w:hAnsiTheme="majorHAnsi"/>
                <w:color w:val="000000"/>
                <w:sz w:val="18"/>
                <w:szCs w:val="18"/>
              </w:rPr>
              <w:t>Фактический вариант использования (разрешенное использование земельного участка)</w:t>
            </w:r>
          </w:p>
        </w:tc>
        <w:tc>
          <w:tcPr>
            <w:tcW w:w="1701" w:type="dxa"/>
            <w:tcBorders>
              <w:top w:val="single" w:sz="6" w:space="0" w:color="auto"/>
              <w:left w:val="single" w:sz="6" w:space="0" w:color="auto"/>
              <w:bottom w:val="single" w:sz="6" w:space="0" w:color="auto"/>
              <w:right w:val="single" w:sz="6" w:space="0" w:color="auto"/>
            </w:tcBorders>
            <w:vAlign w:val="center"/>
            <w:hideMark/>
          </w:tcPr>
          <w:p w:rsidR="000522DE" w:rsidRPr="000522DE" w:rsidRDefault="000522DE" w:rsidP="000522DE">
            <w:pPr>
              <w:spacing w:line="254" w:lineRule="auto"/>
              <w:jc w:val="center"/>
              <w:rPr>
                <w:rFonts w:asciiTheme="majorHAnsi" w:hAnsiTheme="majorHAnsi"/>
                <w:color w:val="000000"/>
                <w:sz w:val="18"/>
                <w:szCs w:val="18"/>
              </w:rPr>
            </w:pPr>
            <w:r w:rsidRPr="000522DE">
              <w:rPr>
                <w:rFonts w:asciiTheme="majorHAnsi" w:hAnsiTheme="majorHAnsi"/>
                <w:color w:val="000000"/>
                <w:sz w:val="18"/>
                <w:szCs w:val="18"/>
              </w:rPr>
              <w:t>Производственно-складское</w:t>
            </w:r>
          </w:p>
        </w:tc>
        <w:tc>
          <w:tcPr>
            <w:tcW w:w="3690" w:type="dxa"/>
            <w:gridSpan w:val="2"/>
            <w:tcBorders>
              <w:top w:val="single" w:sz="6" w:space="0" w:color="auto"/>
              <w:left w:val="single" w:sz="6" w:space="0" w:color="auto"/>
              <w:bottom w:val="single" w:sz="6" w:space="0" w:color="auto"/>
              <w:right w:val="double" w:sz="4" w:space="0" w:color="auto"/>
            </w:tcBorders>
            <w:noWrap/>
            <w:vAlign w:val="center"/>
            <w:hideMark/>
          </w:tcPr>
          <w:p w:rsidR="000522DE" w:rsidRPr="000522DE" w:rsidRDefault="000522DE" w:rsidP="000522DE">
            <w:pPr>
              <w:spacing w:line="254" w:lineRule="auto"/>
              <w:jc w:val="center"/>
              <w:rPr>
                <w:rFonts w:asciiTheme="majorHAnsi" w:hAnsiTheme="majorHAnsi"/>
                <w:color w:val="000000"/>
                <w:sz w:val="18"/>
                <w:szCs w:val="18"/>
              </w:rPr>
            </w:pPr>
            <w:r w:rsidRPr="000522DE">
              <w:rPr>
                <w:rFonts w:asciiTheme="majorHAnsi" w:hAnsiTheme="majorHAnsi"/>
                <w:color w:val="000000"/>
                <w:sz w:val="18"/>
                <w:szCs w:val="18"/>
              </w:rPr>
              <w:t xml:space="preserve">От </w:t>
            </w:r>
            <w:r>
              <w:rPr>
                <w:rFonts w:asciiTheme="majorHAnsi" w:hAnsiTheme="majorHAnsi"/>
                <w:color w:val="000000"/>
                <w:sz w:val="18"/>
                <w:szCs w:val="18"/>
              </w:rPr>
              <w:t>7</w:t>
            </w:r>
            <w:r w:rsidRPr="000522DE">
              <w:rPr>
                <w:rFonts w:asciiTheme="majorHAnsi" w:hAnsiTheme="majorHAnsi"/>
                <w:color w:val="000000"/>
                <w:sz w:val="18"/>
                <w:szCs w:val="18"/>
              </w:rPr>
              <w:t>500 руб. за кв. м.</w:t>
            </w:r>
          </w:p>
        </w:tc>
      </w:tr>
      <w:tr w:rsidR="000522DE" w:rsidRPr="000522DE" w:rsidTr="00722D7B">
        <w:trPr>
          <w:trHeight w:val="23"/>
          <w:jc w:val="center"/>
        </w:trPr>
        <w:tc>
          <w:tcPr>
            <w:tcW w:w="6243" w:type="dxa"/>
            <w:gridSpan w:val="2"/>
            <w:tcBorders>
              <w:top w:val="single" w:sz="6" w:space="0" w:color="auto"/>
              <w:left w:val="double" w:sz="4" w:space="0" w:color="auto"/>
              <w:bottom w:val="double" w:sz="4" w:space="0" w:color="auto"/>
              <w:right w:val="single" w:sz="6" w:space="0" w:color="auto"/>
            </w:tcBorders>
            <w:vAlign w:val="center"/>
            <w:hideMark/>
          </w:tcPr>
          <w:p w:rsidR="000522DE" w:rsidRPr="000522DE" w:rsidRDefault="000522DE" w:rsidP="000522DE">
            <w:pPr>
              <w:spacing w:line="254" w:lineRule="auto"/>
              <w:jc w:val="center"/>
              <w:rPr>
                <w:rFonts w:asciiTheme="majorHAnsi" w:hAnsiTheme="majorHAnsi"/>
                <w:color w:val="000000"/>
                <w:sz w:val="18"/>
                <w:szCs w:val="18"/>
              </w:rPr>
            </w:pPr>
            <w:r w:rsidRPr="000522DE">
              <w:rPr>
                <w:rFonts w:asciiTheme="majorHAnsi" w:hAnsiTheme="majorHAnsi"/>
                <w:color w:val="000000"/>
                <w:sz w:val="18"/>
                <w:szCs w:val="18"/>
              </w:rPr>
              <w:t>Альтернативные варианты использования (в соответствии с предполагаемым использованием результатов оценки - при разрешенном использовании земельного участка)</w:t>
            </w:r>
          </w:p>
        </w:tc>
        <w:tc>
          <w:tcPr>
            <w:tcW w:w="2012" w:type="dxa"/>
            <w:tcBorders>
              <w:top w:val="single" w:sz="6" w:space="0" w:color="auto"/>
              <w:left w:val="single" w:sz="6" w:space="0" w:color="auto"/>
              <w:bottom w:val="double" w:sz="4" w:space="0" w:color="auto"/>
              <w:right w:val="single" w:sz="6" w:space="0" w:color="auto"/>
            </w:tcBorders>
            <w:noWrap/>
            <w:vAlign w:val="center"/>
            <w:hideMark/>
          </w:tcPr>
          <w:p w:rsidR="000522DE" w:rsidRPr="000522DE" w:rsidRDefault="000522DE" w:rsidP="000522DE">
            <w:pPr>
              <w:spacing w:line="254" w:lineRule="auto"/>
              <w:jc w:val="center"/>
              <w:rPr>
                <w:rFonts w:asciiTheme="majorHAnsi" w:hAnsiTheme="majorHAnsi"/>
                <w:color w:val="000000"/>
                <w:sz w:val="18"/>
                <w:szCs w:val="18"/>
              </w:rPr>
            </w:pPr>
            <w:r w:rsidRPr="000522DE">
              <w:rPr>
                <w:rFonts w:asciiTheme="majorHAnsi" w:hAnsiTheme="majorHAnsi"/>
                <w:color w:val="000000"/>
                <w:sz w:val="18"/>
                <w:szCs w:val="18"/>
              </w:rPr>
              <w:t>Размещение ОКС коммерческого назначения</w:t>
            </w:r>
          </w:p>
        </w:tc>
        <w:tc>
          <w:tcPr>
            <w:tcW w:w="1678" w:type="dxa"/>
            <w:tcBorders>
              <w:top w:val="single" w:sz="6" w:space="0" w:color="auto"/>
              <w:left w:val="single" w:sz="6" w:space="0" w:color="auto"/>
              <w:bottom w:val="double" w:sz="4" w:space="0" w:color="auto"/>
              <w:right w:val="double" w:sz="4" w:space="0" w:color="auto"/>
            </w:tcBorders>
            <w:vAlign w:val="center"/>
            <w:hideMark/>
          </w:tcPr>
          <w:p w:rsidR="000522DE" w:rsidRPr="000522DE" w:rsidRDefault="000522DE" w:rsidP="000522DE">
            <w:pPr>
              <w:spacing w:before="100" w:beforeAutospacing="1" w:line="254" w:lineRule="auto"/>
              <w:jc w:val="center"/>
              <w:rPr>
                <w:rFonts w:asciiTheme="majorHAnsi" w:hAnsiTheme="majorHAnsi"/>
                <w:color w:val="000000"/>
                <w:sz w:val="18"/>
                <w:szCs w:val="18"/>
              </w:rPr>
            </w:pPr>
            <w:r w:rsidRPr="000522DE">
              <w:rPr>
                <w:rFonts w:asciiTheme="majorHAnsi" w:hAnsiTheme="majorHAnsi"/>
                <w:color w:val="000000"/>
                <w:sz w:val="18"/>
                <w:szCs w:val="18"/>
              </w:rPr>
              <w:t xml:space="preserve">От </w:t>
            </w:r>
            <w:r>
              <w:rPr>
                <w:rFonts w:asciiTheme="majorHAnsi" w:hAnsiTheme="majorHAnsi"/>
                <w:color w:val="000000"/>
                <w:sz w:val="18"/>
                <w:szCs w:val="18"/>
              </w:rPr>
              <w:t xml:space="preserve">9 </w:t>
            </w:r>
            <w:r w:rsidRPr="000522DE">
              <w:rPr>
                <w:rFonts w:asciiTheme="majorHAnsi" w:hAnsiTheme="majorHAnsi"/>
                <w:color w:val="000000"/>
                <w:sz w:val="18"/>
                <w:szCs w:val="18"/>
              </w:rPr>
              <w:t>500 руб. за кв. м.</w:t>
            </w:r>
          </w:p>
        </w:tc>
      </w:tr>
    </w:tbl>
    <w:p w:rsidR="00722D7B" w:rsidRDefault="00722D7B" w:rsidP="006358BA">
      <w:pPr>
        <w:ind w:firstLine="708"/>
        <w:jc w:val="both"/>
        <w:rPr>
          <w:rFonts w:asciiTheme="majorHAnsi" w:hAnsiTheme="majorHAnsi"/>
          <w:b/>
          <w:sz w:val="20"/>
          <w:szCs w:val="20"/>
        </w:rPr>
      </w:pPr>
    </w:p>
    <w:p w:rsidR="000522DE" w:rsidRDefault="004B0641" w:rsidP="006358BA">
      <w:pPr>
        <w:ind w:firstLine="708"/>
        <w:jc w:val="both"/>
        <w:rPr>
          <w:rFonts w:asciiTheme="majorHAnsi" w:hAnsiTheme="majorHAnsi"/>
          <w:b/>
          <w:sz w:val="20"/>
          <w:szCs w:val="20"/>
        </w:rPr>
      </w:pPr>
      <w:r w:rsidRPr="004B0641">
        <w:rPr>
          <w:rFonts w:asciiTheme="majorHAnsi" w:hAnsiTheme="majorHAnsi"/>
          <w:b/>
          <w:sz w:val="20"/>
          <w:szCs w:val="20"/>
        </w:rPr>
        <w:t>– административно-бытовой комплекс</w:t>
      </w:r>
      <w:r>
        <w:rPr>
          <w:rFonts w:asciiTheme="majorHAnsi" w:hAnsiTheme="majorHAnsi"/>
          <w:b/>
          <w:sz w:val="20"/>
          <w:szCs w:val="20"/>
        </w:rPr>
        <w:t>:</w:t>
      </w:r>
    </w:p>
    <w:p w:rsidR="00722D7B" w:rsidRDefault="00722D7B" w:rsidP="006358BA">
      <w:pPr>
        <w:ind w:firstLine="708"/>
        <w:jc w:val="both"/>
        <w:rPr>
          <w:rFonts w:asciiTheme="majorHAnsi" w:hAnsiTheme="majorHAnsi"/>
          <w:b/>
          <w:sz w:val="20"/>
          <w:szCs w:val="20"/>
        </w:rPr>
      </w:pPr>
    </w:p>
    <w:tbl>
      <w:tblPr>
        <w:tblW w:w="9933"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4542"/>
        <w:gridCol w:w="1701"/>
        <w:gridCol w:w="2012"/>
        <w:gridCol w:w="1678"/>
      </w:tblGrid>
      <w:tr w:rsidR="004B0641" w:rsidRPr="004B0641" w:rsidTr="00722D7B">
        <w:trPr>
          <w:trHeight w:val="23"/>
          <w:jc w:val="center"/>
        </w:trPr>
        <w:tc>
          <w:tcPr>
            <w:tcW w:w="6243" w:type="dxa"/>
            <w:gridSpan w:val="2"/>
            <w:tcBorders>
              <w:top w:val="double" w:sz="4" w:space="0" w:color="auto"/>
              <w:left w:val="double" w:sz="4" w:space="0" w:color="auto"/>
              <w:bottom w:val="single" w:sz="6" w:space="0" w:color="auto"/>
              <w:right w:val="single" w:sz="6" w:space="0" w:color="auto"/>
            </w:tcBorders>
            <w:shd w:val="clear" w:color="auto" w:fill="F2F2F2" w:themeFill="background1" w:themeFillShade="F2"/>
            <w:noWrap/>
            <w:vAlign w:val="center"/>
            <w:hideMark/>
          </w:tcPr>
          <w:p w:rsidR="004B0641" w:rsidRPr="004B0641" w:rsidRDefault="004B0641" w:rsidP="004B0641">
            <w:pPr>
              <w:spacing w:line="254" w:lineRule="auto"/>
              <w:jc w:val="center"/>
              <w:rPr>
                <w:rFonts w:asciiTheme="majorHAnsi" w:hAnsiTheme="majorHAnsi"/>
                <w:color w:val="000000"/>
                <w:sz w:val="18"/>
                <w:szCs w:val="18"/>
              </w:rPr>
            </w:pPr>
            <w:r w:rsidRPr="004B0641">
              <w:rPr>
                <w:rFonts w:asciiTheme="majorHAnsi" w:hAnsiTheme="majorHAnsi"/>
                <w:color w:val="000000"/>
                <w:sz w:val="18"/>
                <w:szCs w:val="18"/>
              </w:rPr>
              <w:t> </w:t>
            </w:r>
          </w:p>
        </w:tc>
        <w:tc>
          <w:tcPr>
            <w:tcW w:w="3690" w:type="dxa"/>
            <w:gridSpan w:val="2"/>
            <w:tcBorders>
              <w:top w:val="double" w:sz="4" w:space="0" w:color="auto"/>
              <w:left w:val="single" w:sz="6" w:space="0" w:color="auto"/>
              <w:bottom w:val="single" w:sz="6" w:space="0" w:color="auto"/>
              <w:right w:val="double" w:sz="4" w:space="0" w:color="auto"/>
            </w:tcBorders>
            <w:shd w:val="clear" w:color="auto" w:fill="F2F2F2" w:themeFill="background1" w:themeFillShade="F2"/>
            <w:noWrap/>
            <w:vAlign w:val="center"/>
            <w:hideMark/>
          </w:tcPr>
          <w:p w:rsidR="004B0641" w:rsidRPr="004B0641" w:rsidRDefault="004B0641" w:rsidP="004B0641">
            <w:pPr>
              <w:spacing w:line="254" w:lineRule="auto"/>
              <w:jc w:val="center"/>
              <w:rPr>
                <w:rFonts w:asciiTheme="majorHAnsi" w:hAnsiTheme="majorHAnsi"/>
                <w:color w:val="000000"/>
                <w:sz w:val="18"/>
                <w:szCs w:val="18"/>
              </w:rPr>
            </w:pPr>
            <w:r w:rsidRPr="004B0641">
              <w:rPr>
                <w:rFonts w:asciiTheme="majorHAnsi" w:hAnsiTheme="majorHAnsi"/>
                <w:color w:val="000000"/>
                <w:sz w:val="18"/>
                <w:szCs w:val="18"/>
              </w:rPr>
              <w:t>Интервал цен предложений для места фактического расположения</w:t>
            </w:r>
          </w:p>
        </w:tc>
      </w:tr>
      <w:tr w:rsidR="004B0641" w:rsidRPr="004B0641" w:rsidTr="00722D7B">
        <w:trPr>
          <w:trHeight w:val="23"/>
          <w:jc w:val="center"/>
        </w:trPr>
        <w:tc>
          <w:tcPr>
            <w:tcW w:w="4542" w:type="dxa"/>
            <w:tcBorders>
              <w:top w:val="single" w:sz="6" w:space="0" w:color="auto"/>
              <w:left w:val="double" w:sz="4" w:space="0" w:color="auto"/>
              <w:bottom w:val="single" w:sz="6" w:space="0" w:color="auto"/>
              <w:right w:val="single" w:sz="6" w:space="0" w:color="auto"/>
            </w:tcBorders>
            <w:vAlign w:val="center"/>
            <w:hideMark/>
          </w:tcPr>
          <w:p w:rsidR="004B0641" w:rsidRPr="004B0641" w:rsidRDefault="004B0641" w:rsidP="004B0641">
            <w:pPr>
              <w:spacing w:line="254" w:lineRule="auto"/>
              <w:jc w:val="center"/>
              <w:rPr>
                <w:rFonts w:asciiTheme="majorHAnsi" w:hAnsiTheme="majorHAnsi"/>
                <w:color w:val="000000"/>
                <w:sz w:val="18"/>
                <w:szCs w:val="18"/>
              </w:rPr>
            </w:pPr>
            <w:r w:rsidRPr="004B0641">
              <w:rPr>
                <w:rFonts w:asciiTheme="majorHAnsi" w:hAnsiTheme="majorHAnsi"/>
                <w:color w:val="000000"/>
                <w:sz w:val="18"/>
                <w:szCs w:val="18"/>
              </w:rPr>
              <w:t>Фактический вариант использования (разрешенное использование земельного участка)</w:t>
            </w:r>
          </w:p>
        </w:tc>
        <w:tc>
          <w:tcPr>
            <w:tcW w:w="1701" w:type="dxa"/>
            <w:tcBorders>
              <w:top w:val="single" w:sz="6" w:space="0" w:color="auto"/>
              <w:left w:val="single" w:sz="6" w:space="0" w:color="auto"/>
              <w:bottom w:val="single" w:sz="6" w:space="0" w:color="auto"/>
              <w:right w:val="single" w:sz="6" w:space="0" w:color="auto"/>
            </w:tcBorders>
            <w:vAlign w:val="center"/>
            <w:hideMark/>
          </w:tcPr>
          <w:p w:rsidR="004B0641" w:rsidRPr="004B0641" w:rsidRDefault="004B0641" w:rsidP="004B0641">
            <w:pPr>
              <w:spacing w:line="254" w:lineRule="auto"/>
              <w:ind w:left="-214" w:right="-216"/>
              <w:jc w:val="center"/>
              <w:rPr>
                <w:rFonts w:asciiTheme="majorHAnsi" w:hAnsiTheme="majorHAnsi"/>
                <w:color w:val="000000"/>
                <w:sz w:val="18"/>
                <w:szCs w:val="18"/>
              </w:rPr>
            </w:pPr>
            <w:r>
              <w:rPr>
                <w:rFonts w:asciiTheme="majorHAnsi" w:hAnsiTheme="majorHAnsi"/>
                <w:color w:val="000000"/>
                <w:sz w:val="18"/>
                <w:szCs w:val="18"/>
              </w:rPr>
              <w:t>Административное</w:t>
            </w:r>
          </w:p>
        </w:tc>
        <w:tc>
          <w:tcPr>
            <w:tcW w:w="3690" w:type="dxa"/>
            <w:gridSpan w:val="2"/>
            <w:tcBorders>
              <w:top w:val="single" w:sz="6" w:space="0" w:color="auto"/>
              <w:left w:val="single" w:sz="6" w:space="0" w:color="auto"/>
              <w:bottom w:val="single" w:sz="6" w:space="0" w:color="auto"/>
              <w:right w:val="double" w:sz="4" w:space="0" w:color="auto"/>
            </w:tcBorders>
            <w:noWrap/>
            <w:vAlign w:val="center"/>
            <w:hideMark/>
          </w:tcPr>
          <w:p w:rsidR="004B0641" w:rsidRPr="004B0641" w:rsidRDefault="004B0641" w:rsidP="004B0641">
            <w:pPr>
              <w:spacing w:line="254" w:lineRule="auto"/>
              <w:jc w:val="center"/>
              <w:rPr>
                <w:rFonts w:asciiTheme="majorHAnsi" w:hAnsiTheme="majorHAnsi"/>
                <w:color w:val="000000"/>
                <w:sz w:val="18"/>
                <w:szCs w:val="18"/>
              </w:rPr>
            </w:pPr>
            <w:r w:rsidRPr="004B0641">
              <w:rPr>
                <w:rFonts w:asciiTheme="majorHAnsi" w:hAnsiTheme="majorHAnsi"/>
                <w:color w:val="000000"/>
                <w:sz w:val="18"/>
                <w:szCs w:val="18"/>
              </w:rPr>
              <w:t xml:space="preserve">От </w:t>
            </w:r>
            <w:r>
              <w:rPr>
                <w:rFonts w:asciiTheme="majorHAnsi" w:hAnsiTheme="majorHAnsi"/>
                <w:color w:val="000000"/>
                <w:sz w:val="18"/>
                <w:szCs w:val="18"/>
              </w:rPr>
              <w:t>1</w:t>
            </w:r>
            <w:r w:rsidRPr="004B0641">
              <w:rPr>
                <w:rFonts w:asciiTheme="majorHAnsi" w:hAnsiTheme="majorHAnsi"/>
                <w:color w:val="000000"/>
                <w:sz w:val="18"/>
                <w:szCs w:val="18"/>
              </w:rPr>
              <w:t>7</w:t>
            </w:r>
            <w:r>
              <w:rPr>
                <w:rFonts w:asciiTheme="majorHAnsi" w:hAnsiTheme="majorHAnsi"/>
                <w:color w:val="000000"/>
                <w:sz w:val="18"/>
                <w:szCs w:val="18"/>
              </w:rPr>
              <w:t xml:space="preserve"> </w:t>
            </w:r>
            <w:r w:rsidRPr="004B0641">
              <w:rPr>
                <w:rFonts w:asciiTheme="majorHAnsi" w:hAnsiTheme="majorHAnsi"/>
                <w:color w:val="000000"/>
                <w:sz w:val="18"/>
                <w:szCs w:val="18"/>
              </w:rPr>
              <w:t>500 руб. за кв. м.</w:t>
            </w:r>
          </w:p>
        </w:tc>
      </w:tr>
      <w:tr w:rsidR="004B0641" w:rsidRPr="004B0641" w:rsidTr="00722D7B">
        <w:trPr>
          <w:trHeight w:val="23"/>
          <w:jc w:val="center"/>
        </w:trPr>
        <w:tc>
          <w:tcPr>
            <w:tcW w:w="6243" w:type="dxa"/>
            <w:gridSpan w:val="2"/>
            <w:tcBorders>
              <w:top w:val="single" w:sz="6" w:space="0" w:color="auto"/>
              <w:left w:val="double" w:sz="4" w:space="0" w:color="auto"/>
              <w:bottom w:val="double" w:sz="4" w:space="0" w:color="auto"/>
              <w:right w:val="single" w:sz="6" w:space="0" w:color="auto"/>
            </w:tcBorders>
            <w:vAlign w:val="center"/>
            <w:hideMark/>
          </w:tcPr>
          <w:p w:rsidR="004B0641" w:rsidRPr="004B0641" w:rsidRDefault="004B0641" w:rsidP="004B0641">
            <w:pPr>
              <w:spacing w:line="254" w:lineRule="auto"/>
              <w:jc w:val="center"/>
              <w:rPr>
                <w:rFonts w:asciiTheme="majorHAnsi" w:hAnsiTheme="majorHAnsi"/>
                <w:color w:val="000000"/>
                <w:sz w:val="18"/>
                <w:szCs w:val="18"/>
              </w:rPr>
            </w:pPr>
            <w:r w:rsidRPr="004B0641">
              <w:rPr>
                <w:rFonts w:asciiTheme="majorHAnsi" w:hAnsiTheme="majorHAnsi"/>
                <w:color w:val="000000"/>
                <w:sz w:val="18"/>
                <w:szCs w:val="18"/>
              </w:rPr>
              <w:t>Альтернативные варианты использования (в соответствии с предполагаемым использованием результатов оценки - при разрешенном использовании земельного участка)</w:t>
            </w:r>
          </w:p>
        </w:tc>
        <w:tc>
          <w:tcPr>
            <w:tcW w:w="2012" w:type="dxa"/>
            <w:tcBorders>
              <w:top w:val="single" w:sz="6" w:space="0" w:color="auto"/>
              <w:left w:val="single" w:sz="6" w:space="0" w:color="auto"/>
              <w:bottom w:val="double" w:sz="4" w:space="0" w:color="auto"/>
              <w:right w:val="single" w:sz="6" w:space="0" w:color="auto"/>
            </w:tcBorders>
            <w:noWrap/>
            <w:vAlign w:val="center"/>
            <w:hideMark/>
          </w:tcPr>
          <w:p w:rsidR="004B0641" w:rsidRPr="004B0641" w:rsidRDefault="004B0641" w:rsidP="00722D7B">
            <w:pPr>
              <w:spacing w:line="254" w:lineRule="auto"/>
              <w:jc w:val="center"/>
              <w:rPr>
                <w:rFonts w:asciiTheme="majorHAnsi" w:hAnsiTheme="majorHAnsi"/>
                <w:color w:val="000000"/>
                <w:sz w:val="18"/>
                <w:szCs w:val="18"/>
              </w:rPr>
            </w:pPr>
            <w:r w:rsidRPr="004B0641">
              <w:rPr>
                <w:rFonts w:asciiTheme="majorHAnsi" w:hAnsiTheme="majorHAnsi"/>
                <w:color w:val="000000"/>
                <w:sz w:val="18"/>
                <w:szCs w:val="18"/>
              </w:rPr>
              <w:t xml:space="preserve">Размещение ОКС </w:t>
            </w:r>
            <w:r w:rsidR="00722D7B">
              <w:rPr>
                <w:rFonts w:asciiTheme="majorHAnsi" w:hAnsiTheme="majorHAnsi"/>
                <w:color w:val="000000"/>
                <w:sz w:val="18"/>
                <w:szCs w:val="18"/>
              </w:rPr>
              <w:t xml:space="preserve">офисно-торгового </w:t>
            </w:r>
            <w:r w:rsidRPr="004B0641">
              <w:rPr>
                <w:rFonts w:asciiTheme="majorHAnsi" w:hAnsiTheme="majorHAnsi"/>
                <w:color w:val="000000"/>
                <w:sz w:val="18"/>
                <w:szCs w:val="18"/>
              </w:rPr>
              <w:t>назначения</w:t>
            </w:r>
          </w:p>
        </w:tc>
        <w:tc>
          <w:tcPr>
            <w:tcW w:w="1678" w:type="dxa"/>
            <w:tcBorders>
              <w:top w:val="single" w:sz="6" w:space="0" w:color="auto"/>
              <w:left w:val="single" w:sz="6" w:space="0" w:color="auto"/>
              <w:bottom w:val="double" w:sz="4" w:space="0" w:color="auto"/>
              <w:right w:val="double" w:sz="4" w:space="0" w:color="auto"/>
            </w:tcBorders>
            <w:vAlign w:val="center"/>
            <w:hideMark/>
          </w:tcPr>
          <w:p w:rsidR="004B0641" w:rsidRPr="004B0641" w:rsidRDefault="004B0641" w:rsidP="00722D7B">
            <w:pPr>
              <w:spacing w:before="100" w:beforeAutospacing="1" w:line="254" w:lineRule="auto"/>
              <w:jc w:val="center"/>
              <w:rPr>
                <w:rFonts w:asciiTheme="majorHAnsi" w:hAnsiTheme="majorHAnsi"/>
                <w:color w:val="000000"/>
                <w:sz w:val="18"/>
                <w:szCs w:val="18"/>
              </w:rPr>
            </w:pPr>
            <w:r w:rsidRPr="004B0641">
              <w:rPr>
                <w:rFonts w:asciiTheme="majorHAnsi" w:hAnsiTheme="majorHAnsi"/>
                <w:color w:val="000000"/>
                <w:sz w:val="18"/>
                <w:szCs w:val="18"/>
              </w:rPr>
              <w:t xml:space="preserve">От </w:t>
            </w:r>
            <w:r w:rsidR="00722D7B">
              <w:rPr>
                <w:rFonts w:asciiTheme="majorHAnsi" w:hAnsiTheme="majorHAnsi"/>
                <w:color w:val="000000"/>
                <w:sz w:val="18"/>
                <w:szCs w:val="18"/>
              </w:rPr>
              <w:t>50 0</w:t>
            </w:r>
            <w:r w:rsidRPr="004B0641">
              <w:rPr>
                <w:rFonts w:asciiTheme="majorHAnsi" w:hAnsiTheme="majorHAnsi"/>
                <w:color w:val="000000"/>
                <w:sz w:val="18"/>
                <w:szCs w:val="18"/>
              </w:rPr>
              <w:t>00 руб. за кв. м.</w:t>
            </w:r>
          </w:p>
        </w:tc>
      </w:tr>
    </w:tbl>
    <w:p w:rsidR="004B0641" w:rsidRPr="00E03510" w:rsidRDefault="004B0641" w:rsidP="006358BA">
      <w:pPr>
        <w:ind w:firstLine="708"/>
        <w:jc w:val="both"/>
        <w:rPr>
          <w:rFonts w:asciiTheme="majorHAnsi" w:hAnsiTheme="majorHAnsi"/>
          <w:b/>
          <w:sz w:val="20"/>
          <w:szCs w:val="20"/>
        </w:rPr>
      </w:pPr>
    </w:p>
    <w:p w:rsidR="00612870" w:rsidRPr="00E03510" w:rsidRDefault="00612870" w:rsidP="0090764B">
      <w:pPr>
        <w:pStyle w:val="af3"/>
        <w:numPr>
          <w:ilvl w:val="1"/>
          <w:numId w:val="11"/>
        </w:numPr>
        <w:ind w:left="709"/>
        <w:rPr>
          <w:rFonts w:asciiTheme="majorHAnsi" w:eastAsiaTheme="majorEastAsia" w:hAnsiTheme="majorHAnsi" w:cstheme="majorBidi"/>
          <w:b/>
          <w:bCs/>
          <w:sz w:val="20"/>
          <w:szCs w:val="20"/>
          <w:lang w:val="ru-RU" w:bidi="ar-SA"/>
        </w:rPr>
      </w:pPr>
      <w:bookmarkStart w:id="64" w:name="_Toc451953132"/>
      <w:r w:rsidRPr="00E03510">
        <w:rPr>
          <w:rFonts w:asciiTheme="majorHAnsi" w:eastAsiaTheme="majorEastAsia" w:hAnsiTheme="majorHAnsi" w:cstheme="majorBidi"/>
          <w:b/>
          <w:bCs/>
          <w:sz w:val="20"/>
          <w:szCs w:val="20"/>
          <w:lang w:val="ru-RU" w:bidi="ar-SA"/>
        </w:rPr>
        <w:t>Анализ других внешних факторов, не относящихся непосредственно к объекту оценки, но влияющих на его стоимость</w:t>
      </w:r>
      <w:bookmarkEnd w:id="64"/>
    </w:p>
    <w:p w:rsidR="00F97472" w:rsidRDefault="00612870" w:rsidP="00FF5C20">
      <w:pPr>
        <w:ind w:firstLine="708"/>
      </w:pPr>
      <w:r w:rsidRPr="00E03510">
        <w:rPr>
          <w:rFonts w:asciiTheme="majorHAnsi" w:hAnsiTheme="majorHAnsi"/>
          <w:sz w:val="20"/>
          <w:szCs w:val="20"/>
        </w:rPr>
        <w:t>Сведения о других факторах, не относящихся непосредственно к объекту оценки, но влияющих на его стоимость отсутствуют.</w:t>
      </w:r>
    </w:p>
    <w:p w:rsidR="003262B9" w:rsidRPr="003A0AB0" w:rsidRDefault="00FF5C20" w:rsidP="003262B9">
      <w:pPr>
        <w:keepNext/>
        <w:keepLines/>
        <w:spacing w:before="100" w:beforeAutospacing="1" w:after="100" w:afterAutospacing="1"/>
        <w:ind w:right="-2"/>
        <w:jc w:val="center"/>
        <w:outlineLvl w:val="0"/>
        <w:rPr>
          <w:rFonts w:asciiTheme="majorHAnsi" w:eastAsiaTheme="majorEastAsia" w:hAnsiTheme="majorHAnsi" w:cstheme="majorBidi"/>
          <w:b/>
          <w:bCs/>
          <w:sz w:val="20"/>
          <w:szCs w:val="20"/>
        </w:rPr>
      </w:pPr>
      <w:bookmarkStart w:id="65" w:name="_Toc491763303"/>
      <w:r>
        <w:rPr>
          <w:rFonts w:eastAsiaTheme="majorEastAsia" w:cstheme="majorBidi"/>
          <w:b/>
          <w:bCs/>
          <w:sz w:val="28"/>
          <w:szCs w:val="28"/>
        </w:rPr>
        <w:lastRenderedPageBreak/>
        <w:t>9</w:t>
      </w:r>
      <w:r w:rsidR="003262B9">
        <w:rPr>
          <w:rFonts w:eastAsiaTheme="majorEastAsia" w:cstheme="majorBidi"/>
          <w:b/>
          <w:bCs/>
          <w:sz w:val="28"/>
          <w:szCs w:val="28"/>
        </w:rPr>
        <w:t>. Описание процесса оценки объекта оценки в части применения доходного, затратного и сравнительного подходов к оценке.</w:t>
      </w:r>
      <w:bookmarkEnd w:id="65"/>
    </w:p>
    <w:p w:rsidR="00FF5C20" w:rsidRPr="003A0AB0" w:rsidRDefault="00FF5C20" w:rsidP="0090764B">
      <w:pPr>
        <w:pStyle w:val="20"/>
        <w:numPr>
          <w:ilvl w:val="1"/>
          <w:numId w:val="9"/>
        </w:numPr>
        <w:spacing w:before="120" w:beforeAutospacing="0" w:after="120" w:afterAutospacing="0"/>
        <w:jc w:val="both"/>
        <w:rPr>
          <w:sz w:val="20"/>
          <w:szCs w:val="20"/>
        </w:rPr>
      </w:pPr>
      <w:bookmarkStart w:id="66" w:name="_Toc451953134"/>
      <w:bookmarkStart w:id="67" w:name="_Toc491763304"/>
      <w:bookmarkStart w:id="68" w:name="_Toc254512017"/>
      <w:bookmarkStart w:id="69" w:name="_Toc393186584"/>
      <w:r w:rsidRPr="003A0AB0">
        <w:rPr>
          <w:sz w:val="20"/>
          <w:szCs w:val="20"/>
        </w:rPr>
        <w:t>Описание последовательности определения стоимости объекта оценки.</w:t>
      </w:r>
      <w:bookmarkEnd w:id="66"/>
      <w:bookmarkEnd w:id="67"/>
    </w:p>
    <w:p w:rsidR="00FF5C20" w:rsidRPr="003A0AB0" w:rsidRDefault="00FF5C20" w:rsidP="00FF5C20">
      <w:pPr>
        <w:ind w:firstLine="709"/>
        <w:jc w:val="both"/>
        <w:rPr>
          <w:rFonts w:asciiTheme="majorHAnsi" w:hAnsiTheme="majorHAnsi"/>
          <w:sz w:val="20"/>
          <w:szCs w:val="20"/>
        </w:rPr>
      </w:pPr>
      <w:r w:rsidRPr="003A0AB0">
        <w:rPr>
          <w:rFonts w:asciiTheme="majorHAnsi" w:hAnsiTheme="majorHAnsi"/>
          <w:sz w:val="20"/>
          <w:szCs w:val="20"/>
        </w:rPr>
        <w:t>Оценщик осуществляет сбор и анализ информации, необходимой для проведения оценки объекта оценки. Оценщик изучает количественные и качественные характеристики объекта оценки, собирает информацию, существенную для определения стоимости объекта оценки теми подходами и методами, которые на основании суждения оценщика должны быть применены при проведении оценки.</w:t>
      </w:r>
    </w:p>
    <w:p w:rsidR="00FF5C20" w:rsidRPr="003A0AB0" w:rsidRDefault="00FF5C20" w:rsidP="00FF5C20">
      <w:pPr>
        <w:ind w:firstLine="709"/>
        <w:jc w:val="both"/>
        <w:rPr>
          <w:rFonts w:asciiTheme="majorHAnsi" w:hAnsiTheme="majorHAnsi"/>
          <w:sz w:val="20"/>
          <w:szCs w:val="20"/>
        </w:rPr>
      </w:pPr>
      <w:r w:rsidRPr="003A0AB0">
        <w:rPr>
          <w:rFonts w:asciiTheme="majorHAnsi" w:hAnsiTheme="majorHAnsi"/>
          <w:sz w:val="20"/>
          <w:szCs w:val="20"/>
        </w:rPr>
        <w:t>Далее Оценщик проводит оценку с учетом применения подходов к оценке, включая выбор методов оценки и осуществления необходимых расчетов.</w:t>
      </w:r>
    </w:p>
    <w:p w:rsidR="00FF5C20" w:rsidRPr="003A0AB0" w:rsidRDefault="00FF5C20" w:rsidP="00FF5C20">
      <w:pPr>
        <w:ind w:firstLine="709"/>
        <w:jc w:val="both"/>
        <w:rPr>
          <w:rFonts w:asciiTheme="majorHAnsi" w:hAnsiTheme="majorHAnsi"/>
          <w:sz w:val="20"/>
          <w:szCs w:val="20"/>
        </w:rPr>
      </w:pPr>
      <w:r w:rsidRPr="003A0AB0">
        <w:rPr>
          <w:rFonts w:asciiTheme="majorHAnsi" w:hAnsiTheme="majorHAnsi"/>
          <w:sz w:val="20"/>
          <w:szCs w:val="20"/>
        </w:rPr>
        <w:t>Проводится согласование (в случае необходимости) результатов и определение величины стоимости объекта оценки.</w:t>
      </w:r>
    </w:p>
    <w:p w:rsidR="00FF5C20" w:rsidRPr="003A0AB0" w:rsidRDefault="00FF5C20" w:rsidP="00FF5C20">
      <w:pPr>
        <w:ind w:firstLine="709"/>
        <w:jc w:val="both"/>
        <w:rPr>
          <w:rFonts w:asciiTheme="majorHAnsi" w:hAnsiTheme="majorHAnsi"/>
          <w:sz w:val="20"/>
          <w:szCs w:val="20"/>
        </w:rPr>
      </w:pPr>
      <w:r w:rsidRPr="003A0AB0">
        <w:rPr>
          <w:rFonts w:asciiTheme="majorHAnsi" w:hAnsiTheme="majorHAnsi"/>
          <w:sz w:val="20"/>
          <w:szCs w:val="20"/>
        </w:rPr>
        <w:t>Оценщик составляет Отчет об оценке.</w:t>
      </w:r>
    </w:p>
    <w:p w:rsidR="00FF5C20" w:rsidRPr="003A0AB0" w:rsidRDefault="00FF5C20" w:rsidP="00FF5C20">
      <w:pPr>
        <w:ind w:firstLine="709"/>
        <w:jc w:val="both"/>
        <w:rPr>
          <w:rFonts w:asciiTheme="majorHAnsi" w:hAnsiTheme="majorHAnsi"/>
          <w:sz w:val="20"/>
          <w:szCs w:val="20"/>
        </w:rPr>
      </w:pPr>
    </w:p>
    <w:p w:rsidR="00FF5C20" w:rsidRPr="003A0AB0" w:rsidRDefault="00FF5C20" w:rsidP="0090764B">
      <w:pPr>
        <w:pStyle w:val="20"/>
        <w:numPr>
          <w:ilvl w:val="1"/>
          <w:numId w:val="9"/>
        </w:numPr>
        <w:spacing w:before="120" w:beforeAutospacing="0" w:after="120" w:afterAutospacing="0"/>
        <w:jc w:val="both"/>
        <w:rPr>
          <w:sz w:val="20"/>
          <w:szCs w:val="20"/>
        </w:rPr>
      </w:pPr>
      <w:bookmarkStart w:id="70" w:name="_Toc451953135"/>
      <w:bookmarkStart w:id="71" w:name="_Toc491763305"/>
      <w:r w:rsidRPr="003A0AB0">
        <w:rPr>
          <w:sz w:val="20"/>
          <w:szCs w:val="20"/>
        </w:rPr>
        <w:t>Обоснование применения либо отказа от применения подходов при проведении оценки.</w:t>
      </w:r>
      <w:bookmarkEnd w:id="70"/>
      <w:bookmarkEnd w:id="71"/>
    </w:p>
    <w:p w:rsidR="0041224F" w:rsidRPr="0041224F" w:rsidRDefault="0041224F" w:rsidP="0041224F">
      <w:pPr>
        <w:pStyle w:val="af6"/>
        <w:rPr>
          <w:rFonts w:asciiTheme="majorHAnsi" w:hAnsiTheme="majorHAnsi"/>
          <w:sz w:val="20"/>
          <w:szCs w:val="20"/>
        </w:rPr>
      </w:pPr>
      <w:r w:rsidRPr="0041224F">
        <w:rPr>
          <w:rFonts w:asciiTheme="majorHAnsi" w:hAnsiTheme="majorHAnsi"/>
          <w:sz w:val="20"/>
          <w:szCs w:val="20"/>
        </w:rPr>
        <w:t>Оценщик при выборе используемых при проведении оценки подходов учитывает возможность применения каждого из подходов, цели и задачи оценки, предполагаемое использование результатов оценки, допущения, полноту и достоверность исходной информации.</w:t>
      </w:r>
    </w:p>
    <w:p w:rsidR="0041224F" w:rsidRPr="0041224F" w:rsidRDefault="0041224F" w:rsidP="0041224F">
      <w:pPr>
        <w:pStyle w:val="af6"/>
        <w:rPr>
          <w:rFonts w:asciiTheme="majorHAnsi" w:hAnsiTheme="majorHAnsi"/>
          <w:sz w:val="20"/>
          <w:szCs w:val="20"/>
        </w:rPr>
      </w:pPr>
      <w:r w:rsidRPr="0041224F">
        <w:rPr>
          <w:rFonts w:asciiTheme="majorHAnsi" w:hAnsiTheme="majorHAnsi"/>
          <w:sz w:val="20"/>
          <w:szCs w:val="20"/>
        </w:rPr>
        <w:t>На основе анализа указанных факторов обосновывается выбор используемых подходов.</w:t>
      </w:r>
    </w:p>
    <w:p w:rsidR="0041224F" w:rsidRPr="0041224F" w:rsidRDefault="0041224F" w:rsidP="0041224F">
      <w:pPr>
        <w:pStyle w:val="af6"/>
        <w:rPr>
          <w:rFonts w:asciiTheme="majorHAnsi" w:hAnsiTheme="majorHAnsi"/>
          <w:sz w:val="20"/>
          <w:szCs w:val="20"/>
        </w:rPr>
      </w:pPr>
      <w:r w:rsidRPr="0041224F">
        <w:rPr>
          <w:rFonts w:asciiTheme="majorHAnsi" w:hAnsiTheme="majorHAnsi"/>
          <w:sz w:val="20"/>
          <w:szCs w:val="20"/>
        </w:rPr>
        <w:t xml:space="preserve">При использовании </w:t>
      </w:r>
      <w:r w:rsidRPr="0041224F">
        <w:rPr>
          <w:rFonts w:asciiTheme="majorHAnsi" w:hAnsiTheme="majorHAnsi"/>
          <w:b/>
          <w:sz w:val="20"/>
          <w:szCs w:val="20"/>
        </w:rPr>
        <w:t>затратного подхода</w:t>
      </w:r>
      <w:r w:rsidRPr="0041224F">
        <w:rPr>
          <w:rFonts w:asciiTheme="majorHAnsi" w:hAnsiTheme="majorHAnsi"/>
          <w:sz w:val="20"/>
          <w:szCs w:val="20"/>
        </w:rPr>
        <w:t xml:space="preserve"> оцениваются затраты на полное восстановление или замещение объекта, из которых вычитается величина оцененного износа объекта. При оценке объекта недвижимости к полученной величине прибавляется рыночная стоимость участка земли, а так же прибыль застройщика (предпринимательский доход). Результатом является оцененная стоимость объекта. Затратный подход основан на принципе, согласно которому осведомленный покупатель не заплатит цену, большую, чем цена воссоздания собственности, имеющей полезность, одинаковую с рассматриваемой собственностью. Затратный подход требует определения трех видов износа здания: физического, функционального и износа внешнего воздействия (экономического). Наиболее предпочтительным с теоретической точки зрения является определение стоимости замещения, т. е. текущая стоимость строительства нового объекта, эквивалентного по полезности оцениваемому, но построенного в соответствии с текущими требованиями и стандартами. </w:t>
      </w:r>
    </w:p>
    <w:p w:rsidR="0041224F" w:rsidRPr="0041224F" w:rsidRDefault="0041224F" w:rsidP="0041224F">
      <w:pPr>
        <w:pStyle w:val="af6"/>
        <w:rPr>
          <w:rFonts w:asciiTheme="majorHAnsi" w:hAnsiTheme="majorHAnsi"/>
          <w:sz w:val="20"/>
          <w:szCs w:val="20"/>
        </w:rPr>
      </w:pPr>
      <w:r w:rsidRPr="0041224F">
        <w:rPr>
          <w:rFonts w:asciiTheme="majorHAnsi" w:hAnsiTheme="majorHAnsi"/>
          <w:sz w:val="20"/>
          <w:szCs w:val="20"/>
        </w:rPr>
        <w:t>Затратный подход применяется, когда существует возможность заменить объект оценки другим объектом, который либо является точной копией объекта оценки, либо имеет аналогичные полезные свойства. Если объекту оценки свойственно уменьшение стоимости в связи с физическим состоянием, функциональным или экономическим устареванием, при применении затратного подхода необходимо учитывать износ и все виды устаревании.</w:t>
      </w:r>
    </w:p>
    <w:p w:rsidR="0041224F" w:rsidRPr="0041224F" w:rsidRDefault="0041224F" w:rsidP="0061127A">
      <w:pPr>
        <w:spacing w:before="100" w:beforeAutospacing="1" w:after="100" w:afterAutospacing="1"/>
        <w:ind w:firstLine="708"/>
        <w:rPr>
          <w:rFonts w:asciiTheme="majorHAnsi" w:hAnsiTheme="majorHAnsi"/>
          <w:b/>
          <w:bCs/>
          <w:caps/>
          <w:smallCaps/>
          <w:u w:val="single"/>
        </w:rPr>
      </w:pPr>
      <w:r w:rsidRPr="0041224F">
        <w:rPr>
          <w:rFonts w:asciiTheme="majorHAnsi" w:hAnsiTheme="majorHAnsi"/>
          <w:sz w:val="20"/>
          <w:szCs w:val="20"/>
        </w:rPr>
        <w:t>ОБОСНОВАНИЕ ПРИМЕНЕНИЯ ЛИБО ОТКАЗА:</w:t>
      </w:r>
    </w:p>
    <w:tbl>
      <w:tblPr>
        <w:tblStyle w:val="341"/>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784"/>
        <w:gridCol w:w="4786"/>
      </w:tblGrid>
      <w:tr w:rsidR="0041224F" w:rsidRPr="0041224F" w:rsidTr="0061127A">
        <w:trPr>
          <w:jc w:val="center"/>
        </w:trPr>
        <w:tc>
          <w:tcPr>
            <w:tcW w:w="4784" w:type="dxa"/>
            <w:tcBorders>
              <w:top w:val="double" w:sz="4" w:space="0" w:color="auto"/>
              <w:left w:val="double" w:sz="4" w:space="0" w:color="auto"/>
              <w:bottom w:val="single" w:sz="4" w:space="0" w:color="auto"/>
              <w:right w:val="single" w:sz="4" w:space="0" w:color="auto"/>
            </w:tcBorders>
            <w:vAlign w:val="center"/>
            <w:hideMark/>
          </w:tcPr>
          <w:p w:rsidR="0041224F" w:rsidRPr="0041224F" w:rsidRDefault="0041224F" w:rsidP="0041224F">
            <w:pPr>
              <w:jc w:val="center"/>
              <w:rPr>
                <w:rFonts w:asciiTheme="majorHAnsi" w:eastAsiaTheme="minorHAnsi" w:hAnsiTheme="majorHAnsi" w:cstheme="minorBidi"/>
                <w:smallCaps/>
                <w:sz w:val="20"/>
                <w:u w:val="single"/>
                <w:lang w:eastAsia="en-US"/>
              </w:rPr>
            </w:pPr>
            <w:r w:rsidRPr="0041224F">
              <w:rPr>
                <w:rFonts w:asciiTheme="majorHAnsi" w:eastAsiaTheme="minorHAnsi" w:hAnsiTheme="majorHAnsi" w:cstheme="minorBidi"/>
                <w:smallCaps/>
                <w:sz w:val="20"/>
                <w:u w:val="single"/>
                <w:lang w:eastAsia="en-US"/>
              </w:rPr>
              <w:t>Условия применения метода</w:t>
            </w:r>
          </w:p>
        </w:tc>
        <w:tc>
          <w:tcPr>
            <w:tcW w:w="4786" w:type="dxa"/>
            <w:tcBorders>
              <w:top w:val="double" w:sz="4" w:space="0" w:color="auto"/>
              <w:left w:val="single" w:sz="4" w:space="0" w:color="auto"/>
              <w:bottom w:val="single" w:sz="4" w:space="0" w:color="auto"/>
              <w:right w:val="double" w:sz="4" w:space="0" w:color="auto"/>
            </w:tcBorders>
            <w:vAlign w:val="center"/>
            <w:hideMark/>
          </w:tcPr>
          <w:p w:rsidR="0041224F" w:rsidRPr="0041224F" w:rsidRDefault="0041224F" w:rsidP="0041224F">
            <w:pPr>
              <w:jc w:val="center"/>
              <w:rPr>
                <w:rFonts w:asciiTheme="majorHAnsi" w:eastAsiaTheme="minorHAnsi" w:hAnsiTheme="majorHAnsi" w:cstheme="minorBidi"/>
                <w:smallCaps/>
                <w:sz w:val="20"/>
                <w:u w:val="single"/>
                <w:lang w:eastAsia="en-US"/>
              </w:rPr>
            </w:pPr>
            <w:r w:rsidRPr="0041224F">
              <w:rPr>
                <w:rFonts w:asciiTheme="majorHAnsi" w:eastAsiaTheme="minorHAnsi" w:hAnsiTheme="majorHAnsi" w:cstheme="minorBidi"/>
                <w:smallCaps/>
                <w:sz w:val="20"/>
                <w:u w:val="single"/>
                <w:lang w:eastAsia="en-US"/>
              </w:rPr>
              <w:t>Возможность соблюдения условий</w:t>
            </w:r>
          </w:p>
        </w:tc>
      </w:tr>
      <w:tr w:rsidR="0041224F" w:rsidRPr="0041224F" w:rsidTr="0061127A">
        <w:trPr>
          <w:jc w:val="center"/>
        </w:trPr>
        <w:tc>
          <w:tcPr>
            <w:tcW w:w="4784" w:type="dxa"/>
            <w:tcBorders>
              <w:top w:val="single" w:sz="4" w:space="0" w:color="auto"/>
              <w:left w:val="double" w:sz="4" w:space="0" w:color="auto"/>
              <w:bottom w:val="single" w:sz="4" w:space="0" w:color="auto"/>
              <w:right w:val="single" w:sz="4" w:space="0" w:color="auto"/>
            </w:tcBorders>
            <w:vAlign w:val="center"/>
            <w:hideMark/>
          </w:tcPr>
          <w:p w:rsidR="0041224F" w:rsidRPr="0041224F" w:rsidRDefault="0041224F" w:rsidP="0041224F">
            <w:pPr>
              <w:jc w:val="center"/>
              <w:rPr>
                <w:rFonts w:asciiTheme="majorHAnsi" w:eastAsiaTheme="minorHAnsi" w:hAnsiTheme="majorHAnsi" w:cstheme="minorBidi"/>
                <w:smallCaps/>
                <w:color w:val="C0504D" w:themeColor="accent2"/>
                <w:sz w:val="20"/>
                <w:u w:val="single"/>
                <w:lang w:eastAsia="en-US"/>
              </w:rPr>
            </w:pPr>
            <w:r w:rsidRPr="0041224F">
              <w:rPr>
                <w:rFonts w:asciiTheme="majorHAnsi" w:eastAsiaTheme="minorHAnsi" w:hAnsiTheme="majorHAnsi" w:cstheme="minorBidi"/>
                <w:sz w:val="20"/>
                <w:lang w:eastAsia="en-US"/>
              </w:rPr>
              <w:t>Существует возможность заменить объект оценки другим объектом, который либо является точной копией объекта оценки, либо имеет аналогичные полезные свойства</w:t>
            </w:r>
          </w:p>
        </w:tc>
        <w:tc>
          <w:tcPr>
            <w:tcW w:w="4786" w:type="dxa"/>
            <w:tcBorders>
              <w:top w:val="single" w:sz="4" w:space="0" w:color="auto"/>
              <w:left w:val="single" w:sz="4" w:space="0" w:color="auto"/>
              <w:bottom w:val="single" w:sz="4" w:space="0" w:color="auto"/>
              <w:right w:val="double" w:sz="4" w:space="0" w:color="auto"/>
            </w:tcBorders>
            <w:vAlign w:val="center"/>
            <w:hideMark/>
          </w:tcPr>
          <w:p w:rsidR="0041224F" w:rsidRPr="0041224F" w:rsidRDefault="0041224F" w:rsidP="0041224F">
            <w:pPr>
              <w:jc w:val="center"/>
              <w:rPr>
                <w:rFonts w:asciiTheme="majorHAnsi" w:eastAsiaTheme="minorHAnsi" w:hAnsiTheme="majorHAnsi" w:cstheme="minorBidi"/>
                <w:sz w:val="20"/>
              </w:rPr>
            </w:pPr>
            <w:r w:rsidRPr="0041224F">
              <w:rPr>
                <w:rFonts w:asciiTheme="majorHAnsi" w:eastAsiaTheme="minorHAnsi" w:hAnsiTheme="majorHAnsi" w:cstheme="minorBidi"/>
                <w:sz w:val="20"/>
              </w:rPr>
              <w:t>Возможно, техническая документация имеется</w:t>
            </w:r>
          </w:p>
        </w:tc>
      </w:tr>
      <w:tr w:rsidR="0041224F" w:rsidRPr="0041224F" w:rsidTr="0061127A">
        <w:trPr>
          <w:jc w:val="center"/>
        </w:trPr>
        <w:tc>
          <w:tcPr>
            <w:tcW w:w="4784" w:type="dxa"/>
            <w:tcBorders>
              <w:top w:val="single" w:sz="4" w:space="0" w:color="auto"/>
              <w:left w:val="double" w:sz="4" w:space="0" w:color="auto"/>
              <w:bottom w:val="double" w:sz="4" w:space="0" w:color="auto"/>
              <w:right w:val="single" w:sz="4" w:space="0" w:color="auto"/>
            </w:tcBorders>
            <w:vAlign w:val="center"/>
            <w:hideMark/>
          </w:tcPr>
          <w:p w:rsidR="0041224F" w:rsidRPr="0041224F" w:rsidRDefault="0041224F" w:rsidP="0041224F">
            <w:pPr>
              <w:jc w:val="center"/>
              <w:rPr>
                <w:rFonts w:asciiTheme="majorHAnsi" w:eastAsiaTheme="minorHAnsi" w:hAnsiTheme="majorHAnsi" w:cstheme="minorBidi"/>
                <w:sz w:val="20"/>
              </w:rPr>
            </w:pPr>
            <w:r w:rsidRPr="0041224F">
              <w:rPr>
                <w:rFonts w:asciiTheme="majorHAnsi" w:eastAsiaTheme="minorHAnsi" w:hAnsiTheme="majorHAnsi" w:cstheme="minorBidi"/>
                <w:sz w:val="20"/>
              </w:rPr>
              <w:t>Возможно учитывать износ и все виды устаревании</w:t>
            </w:r>
          </w:p>
        </w:tc>
        <w:tc>
          <w:tcPr>
            <w:tcW w:w="4786" w:type="dxa"/>
            <w:tcBorders>
              <w:top w:val="single" w:sz="4" w:space="0" w:color="auto"/>
              <w:left w:val="single" w:sz="4" w:space="0" w:color="auto"/>
              <w:bottom w:val="double" w:sz="4" w:space="0" w:color="auto"/>
              <w:right w:val="double" w:sz="4" w:space="0" w:color="auto"/>
            </w:tcBorders>
            <w:vAlign w:val="center"/>
            <w:hideMark/>
          </w:tcPr>
          <w:p w:rsidR="0041224F" w:rsidRPr="0041224F" w:rsidRDefault="0041224F" w:rsidP="0041224F">
            <w:pPr>
              <w:jc w:val="center"/>
              <w:rPr>
                <w:rFonts w:asciiTheme="majorHAnsi" w:eastAsiaTheme="minorHAnsi" w:hAnsiTheme="majorHAnsi" w:cstheme="minorBidi"/>
                <w:sz w:val="20"/>
              </w:rPr>
            </w:pPr>
            <w:r w:rsidRPr="0041224F">
              <w:rPr>
                <w:rFonts w:asciiTheme="majorHAnsi" w:eastAsiaTheme="minorHAnsi" w:hAnsiTheme="majorHAnsi" w:cstheme="minorBidi"/>
                <w:sz w:val="20"/>
              </w:rPr>
              <w:t>Возможно</w:t>
            </w:r>
          </w:p>
        </w:tc>
      </w:tr>
    </w:tbl>
    <w:p w:rsidR="0041224F" w:rsidRPr="0041224F" w:rsidRDefault="0041224F" w:rsidP="0041224F">
      <w:pPr>
        <w:autoSpaceDE w:val="0"/>
        <w:autoSpaceDN w:val="0"/>
        <w:adjustRightInd w:val="0"/>
        <w:spacing w:before="120" w:after="120"/>
        <w:ind w:firstLine="485"/>
        <w:jc w:val="both"/>
        <w:rPr>
          <w:rFonts w:ascii="Cambria" w:eastAsiaTheme="minorHAnsi" w:hAnsi="Cambria" w:cstheme="minorBidi"/>
          <w:smallCaps/>
          <w:color w:val="000000" w:themeColor="text1"/>
          <w:sz w:val="20"/>
          <w:szCs w:val="22"/>
          <w:u w:val="single"/>
          <w:lang w:eastAsia="en-US"/>
        </w:rPr>
      </w:pPr>
      <w:r w:rsidRPr="0041224F">
        <w:rPr>
          <w:rFonts w:ascii="Cambria" w:eastAsiaTheme="minorHAnsi" w:hAnsi="Cambria" w:cstheme="minorBidi"/>
          <w:smallCaps/>
          <w:color w:val="000000" w:themeColor="text1"/>
          <w:sz w:val="20"/>
          <w:szCs w:val="22"/>
          <w:u w:val="single"/>
          <w:lang w:eastAsia="en-US"/>
        </w:rPr>
        <w:t xml:space="preserve">Затратный подход для оценки рыночной стоимости </w:t>
      </w:r>
      <w:r w:rsidR="0061127A">
        <w:rPr>
          <w:rFonts w:ascii="Cambria" w:eastAsiaTheme="minorHAnsi" w:hAnsi="Cambria" w:cstheme="minorBidi"/>
          <w:smallCaps/>
          <w:color w:val="000000" w:themeColor="text1"/>
          <w:sz w:val="20"/>
          <w:szCs w:val="22"/>
          <w:u w:val="single"/>
          <w:lang w:eastAsia="en-US"/>
        </w:rPr>
        <w:t>коммерческой недвижимости (торговой, производственной, складской)</w:t>
      </w:r>
      <w:r w:rsidRPr="0041224F">
        <w:rPr>
          <w:rFonts w:ascii="Cambria" w:eastAsiaTheme="minorHAnsi" w:hAnsi="Cambria" w:cstheme="minorBidi"/>
          <w:smallCaps/>
          <w:color w:val="000000" w:themeColor="text1"/>
          <w:sz w:val="20"/>
          <w:szCs w:val="22"/>
          <w:u w:val="single"/>
          <w:lang w:eastAsia="en-US"/>
        </w:rPr>
        <w:t xml:space="preserve"> возможен к применению при условии достаточных сведений о технических характеристиках объектов капитального строительства. </w:t>
      </w:r>
    </w:p>
    <w:p w:rsidR="0041224F" w:rsidRPr="0061127A" w:rsidRDefault="0041224F" w:rsidP="0061127A">
      <w:pPr>
        <w:autoSpaceDE w:val="0"/>
        <w:autoSpaceDN w:val="0"/>
        <w:adjustRightInd w:val="0"/>
        <w:spacing w:before="120" w:after="120"/>
        <w:ind w:firstLine="485"/>
        <w:jc w:val="both"/>
        <w:rPr>
          <w:rFonts w:ascii="Cambria" w:eastAsiaTheme="minorHAnsi" w:hAnsi="Cambria" w:cstheme="minorBidi"/>
          <w:smallCaps/>
          <w:color w:val="000000" w:themeColor="text1"/>
          <w:sz w:val="20"/>
          <w:szCs w:val="22"/>
          <w:u w:val="single"/>
          <w:lang w:eastAsia="en-US"/>
        </w:rPr>
      </w:pPr>
      <w:r w:rsidRPr="0041224F">
        <w:rPr>
          <w:rFonts w:ascii="Cambria" w:eastAsiaTheme="minorHAnsi" w:hAnsi="Cambria" w:cstheme="minorBidi"/>
          <w:smallCaps/>
          <w:color w:val="000000" w:themeColor="text1"/>
          <w:sz w:val="20"/>
          <w:szCs w:val="22"/>
          <w:u w:val="single"/>
          <w:lang w:eastAsia="en-US"/>
        </w:rPr>
        <w:t>Невозможен к Земельному участку.</w:t>
      </w:r>
    </w:p>
    <w:p w:rsidR="0041224F" w:rsidRPr="0041224F" w:rsidRDefault="0041224F" w:rsidP="0041224F">
      <w:pPr>
        <w:pStyle w:val="af6"/>
        <w:rPr>
          <w:rFonts w:asciiTheme="majorHAnsi" w:hAnsiTheme="majorHAnsi"/>
          <w:sz w:val="20"/>
          <w:szCs w:val="20"/>
        </w:rPr>
      </w:pPr>
      <w:r w:rsidRPr="0061127A">
        <w:rPr>
          <w:rFonts w:asciiTheme="majorHAnsi" w:hAnsiTheme="majorHAnsi"/>
          <w:b/>
          <w:sz w:val="20"/>
          <w:szCs w:val="20"/>
        </w:rPr>
        <w:t>Сравнительный подход</w:t>
      </w:r>
      <w:r w:rsidRPr="0041224F">
        <w:rPr>
          <w:rFonts w:asciiTheme="majorHAnsi" w:hAnsiTheme="majorHAnsi"/>
          <w:sz w:val="20"/>
          <w:szCs w:val="20"/>
        </w:rPr>
        <w:t xml:space="preserve"> основан на принципе, согласно которому осведомленный покупатель не заплатит за собственность больше, чем цена приобретения другой собственности, имеющей равную полезность. Данный подход служит для оценки рыночной стоимости объекта, исходя из данных о совершаемых на рынке сделках. При этом рассматриваются сопоставимые объекты собственности, которые были проданы или, по крайней мере, предложены на продажу. В условиях «пассивного» рынка продаж некоторые выводы могут быть сделаны и из информации о ценах предложения, которые характеризуют сам факт существования на рынке предложений подобных объектов. Сравнительный подход применяется, </w:t>
      </w:r>
      <w:r w:rsidRPr="0041224F">
        <w:rPr>
          <w:rFonts w:asciiTheme="majorHAnsi" w:hAnsiTheme="majorHAnsi"/>
          <w:sz w:val="20"/>
          <w:szCs w:val="20"/>
        </w:rPr>
        <w:lastRenderedPageBreak/>
        <w:t>когда существует достоверная и доступная для анализа информация о ценах и характеристиках объектов-аналогов.</w:t>
      </w:r>
    </w:p>
    <w:p w:rsidR="0041224F" w:rsidRPr="0041224F" w:rsidRDefault="0041224F" w:rsidP="0041224F">
      <w:pPr>
        <w:pStyle w:val="af6"/>
        <w:rPr>
          <w:rFonts w:asciiTheme="majorHAnsi" w:hAnsiTheme="majorHAnsi"/>
          <w:sz w:val="20"/>
          <w:szCs w:val="20"/>
        </w:rPr>
      </w:pPr>
      <w:r w:rsidRPr="0041224F">
        <w:rPr>
          <w:rFonts w:asciiTheme="majorHAnsi" w:hAnsiTheme="majorHAnsi"/>
          <w:sz w:val="20"/>
          <w:szCs w:val="20"/>
        </w:rPr>
        <w:t>Сравнительный подход применяется для оценки недвижимости, когда можно подобрать достаточное для оценки количество объектов-аналогов с известными ценами сделок и (или) предложений.</w:t>
      </w:r>
    </w:p>
    <w:p w:rsidR="0041224F" w:rsidRPr="0041224F" w:rsidRDefault="0041224F" w:rsidP="0041224F">
      <w:pPr>
        <w:pStyle w:val="af6"/>
        <w:rPr>
          <w:rFonts w:asciiTheme="majorHAnsi" w:hAnsiTheme="majorHAnsi"/>
          <w:sz w:val="20"/>
          <w:szCs w:val="20"/>
        </w:rPr>
      </w:pPr>
      <w:r w:rsidRPr="0041224F">
        <w:rPr>
          <w:rFonts w:asciiTheme="majorHAnsi" w:hAnsiTheme="majorHAnsi"/>
          <w:sz w:val="20"/>
          <w:szCs w:val="20"/>
        </w:rPr>
        <w:t xml:space="preserve"> Применяя сравнительный подход к оценке, оценщик должен:</w:t>
      </w:r>
    </w:p>
    <w:p w:rsidR="0041224F" w:rsidRPr="0041224F" w:rsidRDefault="0041224F" w:rsidP="0041224F">
      <w:pPr>
        <w:pStyle w:val="af6"/>
        <w:rPr>
          <w:rFonts w:asciiTheme="majorHAnsi" w:hAnsiTheme="majorHAnsi"/>
          <w:sz w:val="20"/>
          <w:szCs w:val="20"/>
        </w:rPr>
      </w:pPr>
      <w:r w:rsidRPr="0041224F">
        <w:rPr>
          <w:rFonts w:asciiTheme="majorHAnsi" w:hAnsiTheme="majorHAnsi"/>
          <w:sz w:val="20"/>
          <w:szCs w:val="20"/>
        </w:rPr>
        <w:t>а) выбрать единицы сравнения и провести сравнительный анализ объекта оценки и каждого объекта-аналога по всем элементам сравнения. По каждому объекту-аналогу может быть выбрано несколько единиц сравнения. Выбор единиц сравнения должен быть обоснован оценщиком. Оценщик должен обосновать отказ от использования других единиц сравнения, принятых при проведении оценки и связанных с факторами спроса и предложения. В качестве объектов-аналогов используются объекты недвижимости, которые относятся к одному с оцениваемым объектом сегменту рынка и сопоставимы с ним по ценообразующим факторам. При этом для всех объектов недвижимости, включая оцениваемый, ценообразование по каждому из указанных факторов должно быть единообразным;</w:t>
      </w:r>
    </w:p>
    <w:p w:rsidR="0041224F" w:rsidRPr="0041224F" w:rsidRDefault="0041224F" w:rsidP="0041224F">
      <w:pPr>
        <w:pStyle w:val="af6"/>
        <w:rPr>
          <w:rFonts w:asciiTheme="majorHAnsi" w:hAnsiTheme="majorHAnsi"/>
          <w:sz w:val="20"/>
          <w:szCs w:val="20"/>
        </w:rPr>
      </w:pPr>
      <w:r w:rsidRPr="0041224F">
        <w:rPr>
          <w:rFonts w:asciiTheme="majorHAnsi" w:hAnsiTheme="majorHAnsi"/>
          <w:sz w:val="20"/>
          <w:szCs w:val="20"/>
        </w:rPr>
        <w:t>б) скорректировать значения единицы сравнения для объектов-аналогов по каждому элементу сравнения в зависимости от соотношения характеристик объекта оценки и объекта-аналога по данному элементу сравнения. При внесении корректировок оценщик должен ввести и обосновать шкалу корректировок и привести объяснение того, при каких условиях значения введенных корректировок будут иными. Шкала и процедура корректирования единицы сравнения не должны меняться от одного объекта-аналога к другому;</w:t>
      </w:r>
    </w:p>
    <w:p w:rsidR="0041224F" w:rsidRPr="0041224F" w:rsidRDefault="0041224F" w:rsidP="0041224F">
      <w:pPr>
        <w:pStyle w:val="af6"/>
        <w:rPr>
          <w:rFonts w:asciiTheme="majorHAnsi" w:hAnsiTheme="majorHAnsi"/>
          <w:sz w:val="20"/>
          <w:szCs w:val="20"/>
        </w:rPr>
      </w:pPr>
      <w:r w:rsidRPr="0041224F">
        <w:rPr>
          <w:rFonts w:asciiTheme="majorHAnsi" w:hAnsiTheme="majorHAnsi"/>
          <w:sz w:val="20"/>
          <w:szCs w:val="20"/>
        </w:rPr>
        <w:t>в) согласовать результаты корректирования значений единиц сравнения по выбранным объектам-аналогам. Оценщик должен обосновать схему согласования скорректированных значений единиц сравнения и скорректированных цен объектов-аналогов.</w:t>
      </w:r>
    </w:p>
    <w:p w:rsidR="0041224F" w:rsidRPr="0041224F" w:rsidRDefault="0041224F" w:rsidP="0041224F">
      <w:pPr>
        <w:pStyle w:val="af6"/>
        <w:rPr>
          <w:rFonts w:asciiTheme="majorHAnsi" w:hAnsiTheme="majorHAnsi"/>
          <w:sz w:val="20"/>
          <w:szCs w:val="20"/>
        </w:rPr>
      </w:pPr>
      <w:r w:rsidRPr="0041224F">
        <w:rPr>
          <w:rFonts w:asciiTheme="majorHAnsi" w:hAnsiTheme="majorHAnsi"/>
          <w:sz w:val="20"/>
          <w:szCs w:val="20"/>
        </w:rPr>
        <w:t xml:space="preserve">В отношении земельных участков на сравнительном подходе основаны метод сравнения продаж, метод выделения, метод распределения. </w:t>
      </w:r>
    </w:p>
    <w:p w:rsidR="0061127A" w:rsidRPr="0041224F" w:rsidRDefault="0041224F" w:rsidP="0061127A">
      <w:pPr>
        <w:pStyle w:val="af6"/>
        <w:rPr>
          <w:rFonts w:asciiTheme="majorHAnsi" w:hAnsiTheme="majorHAnsi"/>
          <w:sz w:val="20"/>
          <w:szCs w:val="20"/>
        </w:rPr>
      </w:pPr>
      <w:r w:rsidRPr="0041224F">
        <w:rPr>
          <w:rFonts w:asciiTheme="majorHAnsi" w:hAnsiTheme="majorHAnsi"/>
          <w:sz w:val="20"/>
          <w:szCs w:val="20"/>
        </w:rPr>
        <w:t>ОБОС</w:t>
      </w:r>
      <w:r w:rsidR="0061127A" w:rsidRPr="0061127A">
        <w:rPr>
          <w:rFonts w:asciiTheme="majorHAnsi" w:hAnsiTheme="majorHAnsi"/>
          <w:sz w:val="20"/>
          <w:szCs w:val="20"/>
        </w:rPr>
        <w:t>НОВАНИЕ ПРИМЕНЕНИЯ ЛИБО ОТКАЗА:</w:t>
      </w:r>
    </w:p>
    <w:tbl>
      <w:tblPr>
        <w:tblStyle w:val="350"/>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784"/>
        <w:gridCol w:w="4680"/>
      </w:tblGrid>
      <w:tr w:rsidR="0061127A" w:rsidRPr="0061127A" w:rsidTr="0061127A">
        <w:trPr>
          <w:jc w:val="center"/>
        </w:trPr>
        <w:tc>
          <w:tcPr>
            <w:tcW w:w="4784" w:type="dxa"/>
            <w:tcBorders>
              <w:top w:val="double" w:sz="4" w:space="0" w:color="auto"/>
              <w:left w:val="double" w:sz="4" w:space="0" w:color="auto"/>
              <w:bottom w:val="single" w:sz="4" w:space="0" w:color="auto"/>
              <w:right w:val="single" w:sz="4" w:space="0" w:color="auto"/>
            </w:tcBorders>
            <w:vAlign w:val="center"/>
            <w:hideMark/>
          </w:tcPr>
          <w:p w:rsidR="0061127A" w:rsidRPr="0061127A" w:rsidRDefault="0061127A" w:rsidP="0061127A">
            <w:pPr>
              <w:jc w:val="center"/>
              <w:rPr>
                <w:rFonts w:asciiTheme="majorHAnsi" w:eastAsiaTheme="minorHAnsi" w:hAnsiTheme="majorHAnsi" w:cstheme="minorBidi"/>
                <w:smallCaps/>
                <w:sz w:val="20"/>
                <w:u w:val="single"/>
                <w:lang w:eastAsia="en-US"/>
              </w:rPr>
            </w:pPr>
            <w:r w:rsidRPr="0061127A">
              <w:rPr>
                <w:rFonts w:asciiTheme="majorHAnsi" w:eastAsiaTheme="minorHAnsi" w:hAnsiTheme="majorHAnsi" w:cstheme="minorBidi"/>
                <w:smallCaps/>
                <w:sz w:val="20"/>
                <w:u w:val="single"/>
                <w:lang w:eastAsia="en-US"/>
              </w:rPr>
              <w:t>Условия применения метода</w:t>
            </w:r>
          </w:p>
        </w:tc>
        <w:tc>
          <w:tcPr>
            <w:tcW w:w="4680" w:type="dxa"/>
            <w:tcBorders>
              <w:top w:val="double" w:sz="4" w:space="0" w:color="auto"/>
              <w:left w:val="single" w:sz="4" w:space="0" w:color="auto"/>
              <w:bottom w:val="single" w:sz="4" w:space="0" w:color="auto"/>
              <w:right w:val="double" w:sz="4" w:space="0" w:color="auto"/>
            </w:tcBorders>
            <w:vAlign w:val="center"/>
            <w:hideMark/>
          </w:tcPr>
          <w:p w:rsidR="0061127A" w:rsidRPr="0061127A" w:rsidRDefault="0061127A" w:rsidP="0061127A">
            <w:pPr>
              <w:jc w:val="center"/>
              <w:rPr>
                <w:rFonts w:asciiTheme="majorHAnsi" w:eastAsiaTheme="minorHAnsi" w:hAnsiTheme="majorHAnsi" w:cstheme="minorBidi"/>
                <w:smallCaps/>
                <w:sz w:val="20"/>
                <w:u w:val="single"/>
                <w:lang w:eastAsia="en-US"/>
              </w:rPr>
            </w:pPr>
            <w:r w:rsidRPr="0061127A">
              <w:rPr>
                <w:rFonts w:asciiTheme="majorHAnsi" w:eastAsiaTheme="minorHAnsi" w:hAnsiTheme="majorHAnsi" w:cstheme="minorBidi"/>
                <w:smallCaps/>
                <w:sz w:val="20"/>
                <w:u w:val="single"/>
                <w:lang w:eastAsia="en-US"/>
              </w:rPr>
              <w:t>Возможность соблюдения условий</w:t>
            </w:r>
          </w:p>
        </w:tc>
      </w:tr>
      <w:tr w:rsidR="0061127A" w:rsidRPr="0061127A" w:rsidTr="0061127A">
        <w:trPr>
          <w:jc w:val="center"/>
        </w:trPr>
        <w:tc>
          <w:tcPr>
            <w:tcW w:w="4784" w:type="dxa"/>
            <w:tcBorders>
              <w:top w:val="single" w:sz="4" w:space="0" w:color="auto"/>
              <w:left w:val="double" w:sz="4" w:space="0" w:color="auto"/>
              <w:bottom w:val="double" w:sz="4" w:space="0" w:color="auto"/>
              <w:right w:val="single" w:sz="4" w:space="0" w:color="auto"/>
            </w:tcBorders>
            <w:vAlign w:val="center"/>
            <w:hideMark/>
          </w:tcPr>
          <w:p w:rsidR="0061127A" w:rsidRPr="0061127A" w:rsidRDefault="0061127A" w:rsidP="0061127A">
            <w:pPr>
              <w:spacing w:before="120" w:after="120"/>
              <w:jc w:val="center"/>
              <w:rPr>
                <w:rFonts w:asciiTheme="majorHAnsi" w:eastAsiaTheme="minorHAnsi" w:hAnsiTheme="majorHAnsi" w:cstheme="minorBidi"/>
                <w:smallCaps/>
                <w:color w:val="C0504D" w:themeColor="accent2"/>
                <w:sz w:val="20"/>
                <w:u w:val="single"/>
                <w:lang w:eastAsia="en-US"/>
              </w:rPr>
            </w:pPr>
            <w:r w:rsidRPr="0061127A">
              <w:rPr>
                <w:rFonts w:asciiTheme="majorHAnsi" w:eastAsiaTheme="minorHAnsi" w:hAnsiTheme="majorHAnsi" w:cstheme="minorBidi"/>
                <w:sz w:val="20"/>
                <w:lang w:eastAsia="en-US"/>
              </w:rPr>
              <w:t>Можно подобрать достаточное для оценки количество объектов-аналогов с известными ценами сделок и (или) предложений</w:t>
            </w:r>
            <w:r w:rsidRPr="0061127A">
              <w:rPr>
                <w:rFonts w:asciiTheme="majorHAnsi" w:eastAsiaTheme="minorHAnsi" w:hAnsiTheme="majorHAnsi" w:cstheme="minorBidi"/>
                <w:sz w:val="20"/>
                <w:vertAlign w:val="superscript"/>
                <w:lang w:eastAsia="en-US"/>
              </w:rPr>
              <w:footnoteReference w:id="5"/>
            </w:r>
          </w:p>
        </w:tc>
        <w:tc>
          <w:tcPr>
            <w:tcW w:w="4680" w:type="dxa"/>
            <w:tcBorders>
              <w:top w:val="single" w:sz="4" w:space="0" w:color="auto"/>
              <w:left w:val="single" w:sz="4" w:space="0" w:color="auto"/>
              <w:bottom w:val="double" w:sz="4" w:space="0" w:color="auto"/>
              <w:right w:val="double" w:sz="4" w:space="0" w:color="auto"/>
            </w:tcBorders>
            <w:vAlign w:val="center"/>
            <w:hideMark/>
          </w:tcPr>
          <w:p w:rsidR="0061127A" w:rsidRDefault="00684972" w:rsidP="0090764B">
            <w:pPr>
              <w:pStyle w:val="af3"/>
              <w:numPr>
                <w:ilvl w:val="0"/>
                <w:numId w:val="21"/>
              </w:numPr>
              <w:ind w:left="-17"/>
              <w:jc w:val="center"/>
              <w:rPr>
                <w:rFonts w:ascii="Cambria" w:eastAsiaTheme="minorHAnsi" w:hAnsi="Cambria" w:cstheme="minorBidi"/>
                <w:color w:val="000000" w:themeColor="text1"/>
                <w:sz w:val="20"/>
                <w:u w:val="single"/>
                <w:lang w:val="ru-RU" w:eastAsia="en-US"/>
              </w:rPr>
            </w:pPr>
            <w:r>
              <w:rPr>
                <w:rFonts w:ascii="Cambria" w:eastAsiaTheme="minorHAnsi" w:hAnsi="Cambria" w:cstheme="minorBidi"/>
                <w:color w:val="000000" w:themeColor="text1"/>
                <w:sz w:val="20"/>
                <w:u w:val="single"/>
                <w:lang w:val="ru-RU" w:eastAsia="en-US"/>
              </w:rPr>
              <w:t xml:space="preserve">В публичных источниках </w:t>
            </w:r>
            <w:r w:rsidR="0061127A" w:rsidRPr="0061127A">
              <w:rPr>
                <w:rFonts w:ascii="Cambria" w:eastAsiaTheme="minorHAnsi" w:hAnsi="Cambria" w:cstheme="minorBidi"/>
                <w:color w:val="000000" w:themeColor="text1"/>
                <w:sz w:val="20"/>
                <w:u w:val="single"/>
                <w:lang w:val="ru-RU" w:eastAsia="en-US"/>
              </w:rPr>
              <w:t xml:space="preserve">достаточно необходимой информации о ценах </w:t>
            </w:r>
            <w:r>
              <w:rPr>
                <w:rFonts w:ascii="Cambria" w:eastAsiaTheme="minorHAnsi" w:hAnsi="Cambria" w:cstheme="minorBidi"/>
                <w:color w:val="000000" w:themeColor="text1"/>
                <w:sz w:val="20"/>
                <w:u w:val="single"/>
                <w:lang w:val="ru-RU" w:eastAsia="en-US"/>
              </w:rPr>
              <w:t>предложений аналогичных объект</w:t>
            </w:r>
            <w:r w:rsidR="0068381D">
              <w:rPr>
                <w:rFonts w:ascii="Cambria" w:eastAsiaTheme="minorHAnsi" w:hAnsi="Cambria" w:cstheme="minorBidi"/>
                <w:color w:val="000000" w:themeColor="text1"/>
                <w:sz w:val="20"/>
                <w:u w:val="single"/>
                <w:lang w:val="ru-RU" w:eastAsia="en-US"/>
              </w:rPr>
              <w:t>ам</w:t>
            </w:r>
            <w:r w:rsidR="0061127A" w:rsidRPr="0061127A">
              <w:rPr>
                <w:rFonts w:ascii="Cambria" w:eastAsiaTheme="minorHAnsi" w:hAnsi="Cambria" w:cstheme="minorBidi"/>
                <w:color w:val="000000" w:themeColor="text1"/>
                <w:sz w:val="20"/>
                <w:u w:val="single"/>
                <w:lang w:val="ru-RU" w:eastAsia="en-US"/>
              </w:rPr>
              <w:t xml:space="preserve"> оценки (</w:t>
            </w:r>
            <w:r w:rsidR="0068381D">
              <w:rPr>
                <w:rFonts w:ascii="Cambria" w:eastAsiaTheme="minorHAnsi" w:hAnsi="Cambria" w:cstheme="minorBidi"/>
                <w:color w:val="000000" w:themeColor="text1"/>
                <w:sz w:val="20"/>
                <w:u w:val="single"/>
                <w:lang w:val="ru-RU" w:eastAsia="en-US"/>
              </w:rPr>
              <w:t>производственно-складского комплекса и административно-бытового комплекса)</w:t>
            </w:r>
          </w:p>
          <w:p w:rsidR="0061127A" w:rsidRPr="0061127A" w:rsidRDefault="0061127A" w:rsidP="0068381D">
            <w:pPr>
              <w:pStyle w:val="af3"/>
              <w:numPr>
                <w:ilvl w:val="0"/>
                <w:numId w:val="21"/>
              </w:numPr>
              <w:ind w:left="-17"/>
              <w:jc w:val="center"/>
              <w:rPr>
                <w:rFonts w:ascii="Cambria" w:eastAsiaTheme="minorHAnsi" w:hAnsi="Cambria" w:cstheme="minorBidi"/>
                <w:color w:val="000000" w:themeColor="text1"/>
                <w:sz w:val="20"/>
                <w:u w:val="single"/>
                <w:lang w:val="ru-RU" w:eastAsia="en-US"/>
              </w:rPr>
            </w:pPr>
            <w:r w:rsidRPr="0061127A">
              <w:rPr>
                <w:rFonts w:ascii="Cambria" w:eastAsiaTheme="minorHAnsi" w:hAnsi="Cambria" w:cstheme="minorBidi"/>
                <w:color w:val="000000" w:themeColor="text1"/>
                <w:sz w:val="20"/>
                <w:u w:val="single"/>
                <w:lang w:val="ru-RU" w:eastAsia="en-US"/>
              </w:rPr>
              <w:t>В публичных источниках достаточно необходимой информации о ценах предложений</w:t>
            </w:r>
            <w:r>
              <w:rPr>
                <w:rFonts w:ascii="Cambria" w:eastAsiaTheme="minorHAnsi" w:hAnsi="Cambria" w:cstheme="minorBidi"/>
                <w:color w:val="000000" w:themeColor="text1"/>
                <w:sz w:val="20"/>
                <w:u w:val="single"/>
                <w:lang w:val="ru-RU" w:eastAsia="en-US"/>
              </w:rPr>
              <w:t xml:space="preserve"> з. уч. </w:t>
            </w:r>
            <w:r w:rsidRPr="0061127A">
              <w:rPr>
                <w:rFonts w:ascii="Cambria" w:eastAsiaTheme="minorHAnsi" w:hAnsi="Cambria" w:cstheme="minorBidi"/>
                <w:color w:val="000000" w:themeColor="text1"/>
                <w:sz w:val="20"/>
                <w:u w:val="single"/>
                <w:lang w:val="ru-RU" w:eastAsia="en-US"/>
              </w:rPr>
              <w:t xml:space="preserve"> аналогичных объекту оценки</w:t>
            </w:r>
            <w:r w:rsidR="0068381D">
              <w:rPr>
                <w:rFonts w:ascii="Cambria" w:eastAsiaTheme="minorHAnsi" w:hAnsi="Cambria" w:cstheme="minorBidi"/>
                <w:color w:val="000000" w:themeColor="text1"/>
                <w:sz w:val="20"/>
                <w:u w:val="single"/>
                <w:lang w:val="ru-RU" w:eastAsia="en-US"/>
              </w:rPr>
              <w:t xml:space="preserve"> (к расчету применялись з.уч, принадлежащие на праве собственности. Оценка рыночной стоимости з.уч. производилась в целях выделения стоимости ОКС из стоимости единого объекта недвижимости)</w:t>
            </w:r>
          </w:p>
        </w:tc>
      </w:tr>
    </w:tbl>
    <w:p w:rsidR="00684972" w:rsidRPr="00684972" w:rsidRDefault="00684972" w:rsidP="0061127A">
      <w:pPr>
        <w:autoSpaceDE w:val="0"/>
        <w:autoSpaceDN w:val="0"/>
        <w:adjustRightInd w:val="0"/>
        <w:spacing w:before="120" w:after="120"/>
        <w:ind w:firstLine="485"/>
        <w:jc w:val="both"/>
        <w:rPr>
          <w:rFonts w:ascii="Cambria" w:eastAsiaTheme="minorHAnsi" w:hAnsi="Cambria" w:cstheme="minorBidi"/>
          <w:smallCaps/>
          <w:color w:val="000000" w:themeColor="text1"/>
          <w:sz w:val="16"/>
          <w:szCs w:val="16"/>
          <w:u w:val="single"/>
          <w:lang w:eastAsia="en-US"/>
        </w:rPr>
      </w:pPr>
      <w:r w:rsidRPr="00684972">
        <w:rPr>
          <w:rFonts w:ascii="Cambria" w:eastAsiaTheme="minorHAnsi" w:hAnsi="Cambria" w:cstheme="minorBidi"/>
          <w:smallCaps/>
          <w:color w:val="000000" w:themeColor="text1"/>
          <w:sz w:val="16"/>
          <w:szCs w:val="16"/>
          <w:u w:val="single"/>
          <w:lang w:eastAsia="en-US"/>
        </w:rPr>
        <w:t>У ОЦЕНЩИКА ИМЕЕТСЯ ДОСТАТОЧНО ИНФОРМАЦИИ ДЛЯ ПРИМЕНЕНИЯ МЕТОДОВ СРАВНИТЕЛЬНОГО ПОДХОДА. В СВЯЗИ С ДОСТАТОЧНОСТЬЮ ИНФОРМАЦИИ В ОТКРЫТЫХ ИСТОЧНИКАХ О ПРЕДЛОЖЕНИЯХ НЕЗАСТРОЕННЫХ УЧАСТКОВ</w:t>
      </w:r>
      <w:r w:rsidR="0068381D">
        <w:rPr>
          <w:rFonts w:ascii="Cambria" w:eastAsiaTheme="minorHAnsi" w:hAnsi="Cambria" w:cstheme="minorBidi"/>
          <w:smallCaps/>
          <w:color w:val="000000" w:themeColor="text1"/>
          <w:sz w:val="16"/>
          <w:szCs w:val="16"/>
          <w:u w:val="single"/>
          <w:lang w:eastAsia="en-US"/>
        </w:rPr>
        <w:t>,</w:t>
      </w:r>
      <w:r w:rsidRPr="00684972">
        <w:rPr>
          <w:rFonts w:ascii="Cambria" w:eastAsiaTheme="minorHAnsi" w:hAnsi="Cambria" w:cstheme="minorBidi"/>
          <w:smallCaps/>
          <w:color w:val="000000" w:themeColor="text1"/>
          <w:sz w:val="16"/>
          <w:szCs w:val="16"/>
          <w:u w:val="single"/>
          <w:lang w:eastAsia="en-US"/>
        </w:rPr>
        <w:t xml:space="preserve"> ПРОИЗВОДСТВЕННО</w:t>
      </w:r>
      <w:r>
        <w:rPr>
          <w:rFonts w:ascii="Cambria" w:eastAsiaTheme="minorHAnsi" w:hAnsi="Cambria" w:cstheme="minorBidi"/>
          <w:smallCaps/>
          <w:color w:val="000000" w:themeColor="text1"/>
          <w:sz w:val="16"/>
          <w:szCs w:val="16"/>
          <w:u w:val="single"/>
          <w:lang w:eastAsia="en-US"/>
        </w:rPr>
        <w:t xml:space="preserve">-СКЛАДСКОЙ </w:t>
      </w:r>
      <w:r w:rsidR="0068381D">
        <w:rPr>
          <w:rFonts w:ascii="Cambria" w:eastAsiaTheme="minorHAnsi" w:hAnsi="Cambria" w:cstheme="minorBidi"/>
          <w:smallCaps/>
          <w:color w:val="000000" w:themeColor="text1"/>
          <w:sz w:val="16"/>
          <w:szCs w:val="16"/>
          <w:u w:val="single"/>
          <w:lang w:eastAsia="en-US"/>
        </w:rPr>
        <w:t xml:space="preserve">и АДМИНИСТРАТИВНО-ОФИСНОЙ </w:t>
      </w:r>
      <w:r w:rsidRPr="00684972">
        <w:rPr>
          <w:rFonts w:ascii="Cambria" w:eastAsiaTheme="minorHAnsi" w:hAnsi="Cambria" w:cstheme="minorBidi"/>
          <w:smallCaps/>
          <w:color w:val="000000" w:themeColor="text1"/>
          <w:sz w:val="16"/>
          <w:szCs w:val="16"/>
          <w:u w:val="single"/>
          <w:lang w:eastAsia="en-US"/>
        </w:rPr>
        <w:t xml:space="preserve">НЕДВИЖИМОСТИ, ПРИМЕНЕНИЕ МЕТОДА СРАВНЕНИЯ ПРОДАЖ ЦЕЛЕСООБРАЗНО. </w:t>
      </w:r>
    </w:p>
    <w:p w:rsidR="0041224F" w:rsidRPr="0041224F" w:rsidRDefault="0041224F" w:rsidP="0041224F">
      <w:pPr>
        <w:pStyle w:val="af6"/>
        <w:rPr>
          <w:rFonts w:asciiTheme="majorHAnsi" w:hAnsiTheme="majorHAnsi"/>
          <w:sz w:val="20"/>
          <w:szCs w:val="20"/>
        </w:rPr>
      </w:pPr>
      <w:r w:rsidRPr="0061127A">
        <w:rPr>
          <w:rFonts w:asciiTheme="majorHAnsi" w:hAnsiTheme="majorHAnsi"/>
          <w:b/>
          <w:sz w:val="20"/>
          <w:szCs w:val="20"/>
        </w:rPr>
        <w:t>Доходный подход</w:t>
      </w:r>
      <w:r w:rsidRPr="0041224F">
        <w:rPr>
          <w:rFonts w:asciiTheme="majorHAnsi" w:hAnsiTheme="majorHAnsi"/>
          <w:sz w:val="20"/>
          <w:szCs w:val="20"/>
        </w:rPr>
        <w:t xml:space="preserve"> позволяет определить стоимость приносящего доход  имущества посредством количества, качества и продолжительности получения тех выгод, которые данный объект будет приносить в течение прогнозного периода времени. В результате анализа ожидаемые от собственности будущие поступления дисконтируются на дату оценки, и производится капитализация дохода от продажи объекта в конце прогнозного периода. Доходный подход основывается на принципе ожидания, согласно которому потенциальный покупатель делает вывод о стоимости собственности в зависимости от ожидаемой отдачи, которая может быть получена в будущем от владения объектом оценки. </w:t>
      </w:r>
    </w:p>
    <w:p w:rsidR="0041224F" w:rsidRPr="0041224F" w:rsidRDefault="0041224F" w:rsidP="0041224F">
      <w:pPr>
        <w:pStyle w:val="af6"/>
        <w:rPr>
          <w:rFonts w:asciiTheme="majorHAnsi" w:hAnsiTheme="majorHAnsi"/>
          <w:sz w:val="20"/>
          <w:szCs w:val="20"/>
        </w:rPr>
      </w:pPr>
      <w:r w:rsidRPr="0041224F">
        <w:rPr>
          <w:rFonts w:asciiTheme="majorHAnsi" w:hAnsiTheme="majorHAnsi"/>
          <w:sz w:val="20"/>
          <w:szCs w:val="20"/>
        </w:rPr>
        <w:t>Применяя доходный подход к оценке, оценщик должен:</w:t>
      </w:r>
    </w:p>
    <w:p w:rsidR="0041224F" w:rsidRPr="0041224F" w:rsidRDefault="0041224F" w:rsidP="0041224F">
      <w:pPr>
        <w:pStyle w:val="af6"/>
        <w:rPr>
          <w:rFonts w:asciiTheme="majorHAnsi" w:hAnsiTheme="majorHAnsi"/>
          <w:sz w:val="20"/>
          <w:szCs w:val="20"/>
        </w:rPr>
      </w:pPr>
      <w:r w:rsidRPr="0041224F">
        <w:rPr>
          <w:rFonts w:asciiTheme="majorHAnsi" w:hAnsiTheme="majorHAnsi"/>
          <w:sz w:val="20"/>
          <w:szCs w:val="20"/>
        </w:rPr>
        <w:lastRenderedPageBreak/>
        <w:t>а) установить период прогнозирования. Под периодом прогнозирования понимается период в будущем, на который от даты оценки производится прогнозирование количественных характеристик факторов, влияющих на величину будущих доходов;</w:t>
      </w:r>
    </w:p>
    <w:p w:rsidR="0041224F" w:rsidRPr="0041224F" w:rsidRDefault="0041224F" w:rsidP="0041224F">
      <w:pPr>
        <w:pStyle w:val="af6"/>
        <w:rPr>
          <w:rFonts w:asciiTheme="majorHAnsi" w:hAnsiTheme="majorHAnsi"/>
          <w:sz w:val="20"/>
          <w:szCs w:val="20"/>
        </w:rPr>
      </w:pPr>
      <w:r w:rsidRPr="0041224F">
        <w:rPr>
          <w:rFonts w:asciiTheme="majorHAnsi" w:hAnsiTheme="majorHAnsi"/>
          <w:sz w:val="20"/>
          <w:szCs w:val="20"/>
        </w:rPr>
        <w:t>б) исследовать способность объекта оценки приносить поток доходов в течение периода прогнозирования, а также сделать заключение о способности объекта приносить поток доходов в период после периода прогнозирования;</w:t>
      </w:r>
    </w:p>
    <w:p w:rsidR="0041224F" w:rsidRPr="0041224F" w:rsidRDefault="0041224F" w:rsidP="0041224F">
      <w:pPr>
        <w:pStyle w:val="af6"/>
        <w:rPr>
          <w:rFonts w:asciiTheme="majorHAnsi" w:hAnsiTheme="majorHAnsi"/>
          <w:sz w:val="20"/>
          <w:szCs w:val="20"/>
        </w:rPr>
      </w:pPr>
      <w:r w:rsidRPr="0041224F">
        <w:rPr>
          <w:rFonts w:asciiTheme="majorHAnsi" w:hAnsiTheme="majorHAnsi"/>
          <w:sz w:val="20"/>
          <w:szCs w:val="20"/>
        </w:rPr>
        <w:t>в) определить ставку дисконтирования, отражающую доходность вложений в сопоставимые с объектом оценки по уровню риска объекты инвестирования, используемую для приведения будущих потоков доходов к дате оценки;</w:t>
      </w:r>
    </w:p>
    <w:p w:rsidR="0041224F" w:rsidRPr="0041224F" w:rsidRDefault="0041224F" w:rsidP="0041224F">
      <w:pPr>
        <w:pStyle w:val="af6"/>
        <w:rPr>
          <w:rFonts w:asciiTheme="majorHAnsi" w:hAnsiTheme="majorHAnsi"/>
          <w:sz w:val="20"/>
          <w:szCs w:val="20"/>
        </w:rPr>
      </w:pPr>
      <w:r w:rsidRPr="0041224F">
        <w:rPr>
          <w:rFonts w:asciiTheme="majorHAnsi" w:hAnsiTheme="majorHAnsi"/>
          <w:sz w:val="20"/>
          <w:szCs w:val="20"/>
        </w:rPr>
        <w:t>г) осуществить процедуру приведения потока ожидаемых доходов в период прогнозирования, а также доходов после периода прогнозирования в стоимость на дату оценки.</w:t>
      </w:r>
    </w:p>
    <w:p w:rsidR="0061127A" w:rsidRPr="0061127A" w:rsidRDefault="0041224F" w:rsidP="0061127A">
      <w:pPr>
        <w:pStyle w:val="af6"/>
        <w:rPr>
          <w:rFonts w:asciiTheme="majorHAnsi" w:hAnsiTheme="majorHAnsi"/>
          <w:sz w:val="20"/>
          <w:szCs w:val="20"/>
        </w:rPr>
      </w:pPr>
      <w:r w:rsidRPr="0041224F">
        <w:rPr>
          <w:rFonts w:asciiTheme="majorHAnsi" w:hAnsiTheme="majorHAnsi"/>
          <w:sz w:val="20"/>
          <w:szCs w:val="20"/>
        </w:rPr>
        <w:t>ОБОС</w:t>
      </w:r>
      <w:r w:rsidR="0061127A">
        <w:rPr>
          <w:rFonts w:asciiTheme="majorHAnsi" w:hAnsiTheme="majorHAnsi"/>
          <w:sz w:val="20"/>
          <w:szCs w:val="20"/>
        </w:rPr>
        <w:t>НОВАНИЕ ПРИМЕНЕНИЯ ЛИБО ОТКАЗА:</w:t>
      </w:r>
    </w:p>
    <w:tbl>
      <w:tblPr>
        <w:tblStyle w:val="360"/>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784"/>
        <w:gridCol w:w="4786"/>
      </w:tblGrid>
      <w:tr w:rsidR="0061127A" w:rsidRPr="0061127A" w:rsidTr="0061127A">
        <w:trPr>
          <w:jc w:val="center"/>
        </w:trPr>
        <w:tc>
          <w:tcPr>
            <w:tcW w:w="4784" w:type="dxa"/>
            <w:tcBorders>
              <w:top w:val="double" w:sz="4" w:space="0" w:color="auto"/>
              <w:left w:val="double" w:sz="4" w:space="0" w:color="auto"/>
              <w:bottom w:val="single" w:sz="4" w:space="0" w:color="auto"/>
              <w:right w:val="single" w:sz="4" w:space="0" w:color="auto"/>
            </w:tcBorders>
            <w:vAlign w:val="center"/>
            <w:hideMark/>
          </w:tcPr>
          <w:p w:rsidR="0061127A" w:rsidRPr="0061127A" w:rsidRDefault="0061127A" w:rsidP="0061127A">
            <w:pPr>
              <w:jc w:val="center"/>
              <w:rPr>
                <w:rFonts w:asciiTheme="majorHAnsi" w:eastAsiaTheme="minorHAnsi" w:hAnsiTheme="majorHAnsi" w:cstheme="minorBidi"/>
                <w:smallCaps/>
                <w:sz w:val="20"/>
                <w:u w:val="single"/>
                <w:lang w:eastAsia="en-US"/>
              </w:rPr>
            </w:pPr>
            <w:r w:rsidRPr="0061127A">
              <w:rPr>
                <w:rFonts w:asciiTheme="majorHAnsi" w:eastAsiaTheme="minorHAnsi" w:hAnsiTheme="majorHAnsi" w:cstheme="minorBidi"/>
                <w:smallCaps/>
                <w:sz w:val="20"/>
                <w:u w:val="single"/>
                <w:lang w:eastAsia="en-US"/>
              </w:rPr>
              <w:t>Условия применения метода</w:t>
            </w:r>
          </w:p>
        </w:tc>
        <w:tc>
          <w:tcPr>
            <w:tcW w:w="4786" w:type="dxa"/>
            <w:tcBorders>
              <w:top w:val="double" w:sz="4" w:space="0" w:color="auto"/>
              <w:left w:val="single" w:sz="4" w:space="0" w:color="auto"/>
              <w:bottom w:val="single" w:sz="4" w:space="0" w:color="auto"/>
              <w:right w:val="double" w:sz="4" w:space="0" w:color="auto"/>
            </w:tcBorders>
            <w:vAlign w:val="center"/>
            <w:hideMark/>
          </w:tcPr>
          <w:p w:rsidR="0061127A" w:rsidRPr="0061127A" w:rsidRDefault="0061127A" w:rsidP="0061127A">
            <w:pPr>
              <w:jc w:val="center"/>
              <w:rPr>
                <w:rFonts w:asciiTheme="majorHAnsi" w:eastAsiaTheme="minorHAnsi" w:hAnsiTheme="majorHAnsi" w:cstheme="minorBidi"/>
                <w:smallCaps/>
                <w:sz w:val="20"/>
                <w:u w:val="single"/>
                <w:lang w:eastAsia="en-US"/>
              </w:rPr>
            </w:pPr>
            <w:r w:rsidRPr="0061127A">
              <w:rPr>
                <w:rFonts w:asciiTheme="majorHAnsi" w:eastAsiaTheme="minorHAnsi" w:hAnsiTheme="majorHAnsi" w:cstheme="minorBidi"/>
                <w:smallCaps/>
                <w:sz w:val="20"/>
                <w:u w:val="single"/>
                <w:lang w:eastAsia="en-US"/>
              </w:rPr>
              <w:t>Возможность соблюдения условий</w:t>
            </w:r>
          </w:p>
        </w:tc>
      </w:tr>
      <w:tr w:rsidR="0061127A" w:rsidRPr="0061127A" w:rsidTr="0061127A">
        <w:trPr>
          <w:jc w:val="center"/>
        </w:trPr>
        <w:tc>
          <w:tcPr>
            <w:tcW w:w="4784" w:type="dxa"/>
            <w:tcBorders>
              <w:top w:val="single" w:sz="4" w:space="0" w:color="auto"/>
              <w:left w:val="double" w:sz="4" w:space="0" w:color="auto"/>
              <w:bottom w:val="double" w:sz="4" w:space="0" w:color="auto"/>
              <w:right w:val="single" w:sz="4" w:space="0" w:color="auto"/>
            </w:tcBorders>
            <w:vAlign w:val="center"/>
            <w:hideMark/>
          </w:tcPr>
          <w:p w:rsidR="0061127A" w:rsidRPr="0061127A" w:rsidRDefault="0061127A" w:rsidP="0061127A">
            <w:pPr>
              <w:spacing w:before="120" w:after="120"/>
              <w:jc w:val="center"/>
              <w:rPr>
                <w:rFonts w:asciiTheme="majorHAnsi" w:eastAsiaTheme="minorHAnsi" w:hAnsiTheme="majorHAnsi" w:cstheme="minorBidi"/>
                <w:smallCaps/>
                <w:color w:val="C0504D" w:themeColor="accent2"/>
                <w:sz w:val="20"/>
                <w:u w:val="single"/>
                <w:lang w:eastAsia="en-US"/>
              </w:rPr>
            </w:pPr>
            <w:r w:rsidRPr="0061127A">
              <w:rPr>
                <w:rFonts w:asciiTheme="majorHAnsi" w:eastAsiaTheme="minorHAnsi" w:hAnsiTheme="majorHAnsi" w:cstheme="minorBidi"/>
                <w:sz w:val="20"/>
                <w:lang w:eastAsia="en-US"/>
              </w:rPr>
              <w:t>Доходный подход применяется для оценки недвижимости, генерирующей или способной генерировать потоки доходов</w:t>
            </w:r>
          </w:p>
        </w:tc>
        <w:tc>
          <w:tcPr>
            <w:tcW w:w="4786" w:type="dxa"/>
            <w:tcBorders>
              <w:top w:val="single" w:sz="4" w:space="0" w:color="auto"/>
              <w:left w:val="single" w:sz="4" w:space="0" w:color="auto"/>
              <w:bottom w:val="double" w:sz="4" w:space="0" w:color="auto"/>
              <w:right w:val="double" w:sz="4" w:space="0" w:color="auto"/>
            </w:tcBorders>
            <w:vAlign w:val="center"/>
            <w:hideMark/>
          </w:tcPr>
          <w:p w:rsidR="0061127A" w:rsidRPr="0061127A" w:rsidRDefault="0061127A" w:rsidP="00684972">
            <w:pPr>
              <w:spacing w:before="120" w:after="120"/>
              <w:jc w:val="center"/>
              <w:rPr>
                <w:rFonts w:asciiTheme="majorHAnsi" w:eastAsiaTheme="minorHAnsi" w:hAnsiTheme="majorHAnsi" w:cstheme="minorBidi"/>
                <w:sz w:val="20"/>
                <w:lang w:eastAsia="en-US"/>
              </w:rPr>
            </w:pPr>
            <w:r w:rsidRPr="0061127A">
              <w:rPr>
                <w:rFonts w:asciiTheme="majorHAnsi" w:eastAsiaTheme="minorHAnsi" w:hAnsiTheme="majorHAnsi" w:cstheme="minorBidi"/>
                <w:sz w:val="20"/>
                <w:lang w:eastAsia="en-US"/>
              </w:rPr>
              <w:t>Оценщик имеет достаточн</w:t>
            </w:r>
            <w:r w:rsidR="00684972">
              <w:rPr>
                <w:rFonts w:asciiTheme="majorHAnsi" w:eastAsiaTheme="minorHAnsi" w:hAnsiTheme="majorHAnsi" w:cstheme="minorBidi"/>
                <w:sz w:val="20"/>
                <w:lang w:eastAsia="en-US"/>
              </w:rPr>
              <w:t>о</w:t>
            </w:r>
            <w:r w:rsidRPr="0061127A">
              <w:rPr>
                <w:rFonts w:asciiTheme="majorHAnsi" w:eastAsiaTheme="minorHAnsi" w:hAnsiTheme="majorHAnsi" w:cstheme="minorBidi"/>
                <w:sz w:val="20"/>
                <w:lang w:eastAsia="en-US"/>
              </w:rPr>
              <w:t xml:space="preserve"> сведений для применения методов доходного подхода</w:t>
            </w:r>
          </w:p>
        </w:tc>
      </w:tr>
    </w:tbl>
    <w:p w:rsidR="00684972" w:rsidRDefault="00684972" w:rsidP="009A5CB1">
      <w:pPr>
        <w:autoSpaceDE w:val="0"/>
        <w:autoSpaceDN w:val="0"/>
        <w:adjustRightInd w:val="0"/>
        <w:jc w:val="both"/>
        <w:rPr>
          <w:rFonts w:ascii="Cambria" w:eastAsiaTheme="minorHAnsi" w:hAnsi="Cambria" w:cstheme="minorBidi"/>
          <w:smallCaps/>
          <w:color w:val="000000" w:themeColor="text1"/>
          <w:sz w:val="20"/>
          <w:szCs w:val="22"/>
          <w:u w:val="single"/>
          <w:lang w:eastAsia="en-US"/>
        </w:rPr>
      </w:pPr>
    </w:p>
    <w:p w:rsidR="00A97145" w:rsidRPr="00684972" w:rsidRDefault="00684972" w:rsidP="00684972">
      <w:pPr>
        <w:autoSpaceDE w:val="0"/>
        <w:autoSpaceDN w:val="0"/>
        <w:adjustRightInd w:val="0"/>
        <w:ind w:firstLine="708"/>
        <w:jc w:val="both"/>
        <w:rPr>
          <w:rStyle w:val="afb"/>
          <w:rFonts w:asciiTheme="majorHAnsi" w:hAnsiTheme="majorHAnsi"/>
          <w:color w:val="000000" w:themeColor="text1"/>
          <w:sz w:val="16"/>
          <w:szCs w:val="16"/>
        </w:rPr>
      </w:pPr>
      <w:r w:rsidRPr="00684972">
        <w:rPr>
          <w:rFonts w:ascii="Cambria" w:eastAsiaTheme="minorHAnsi" w:hAnsi="Cambria" w:cstheme="minorBidi"/>
          <w:smallCaps/>
          <w:color w:val="000000" w:themeColor="text1"/>
          <w:sz w:val="16"/>
          <w:szCs w:val="16"/>
          <w:u w:val="single"/>
          <w:lang w:eastAsia="en-US"/>
        </w:rPr>
        <w:t xml:space="preserve">У ОЦЕНЩИКА ИМЕЕТСЯ ДОСТАТОЧНО ИНФОРМАЦИИ ДЛЯ ОПРЕДЕЛЕНИЯ РЫНОЧНОЙ СТОИМОСТИ ОБЪЕКТА ОЦЕНКИ ДОХОДНЫМ ПОДХОДОМ. </w:t>
      </w:r>
      <w:r w:rsidR="0061127A" w:rsidRPr="00684972">
        <w:rPr>
          <w:rStyle w:val="afb"/>
          <w:rFonts w:asciiTheme="majorHAnsi" w:hAnsiTheme="majorHAnsi"/>
          <w:color w:val="000000" w:themeColor="text1"/>
          <w:sz w:val="16"/>
          <w:szCs w:val="16"/>
        </w:rPr>
        <w:t xml:space="preserve"> </w:t>
      </w:r>
    </w:p>
    <w:p w:rsidR="00FF5C20" w:rsidRPr="003A0AB0" w:rsidRDefault="00FF5C20" w:rsidP="0090764B">
      <w:pPr>
        <w:pStyle w:val="20"/>
        <w:numPr>
          <w:ilvl w:val="1"/>
          <w:numId w:val="9"/>
        </w:numPr>
        <w:spacing w:before="120" w:beforeAutospacing="0" w:after="120" w:afterAutospacing="0"/>
        <w:jc w:val="both"/>
        <w:rPr>
          <w:sz w:val="20"/>
          <w:szCs w:val="20"/>
        </w:rPr>
      </w:pPr>
      <w:bookmarkStart w:id="72" w:name="_Toc451953136"/>
      <w:bookmarkStart w:id="73" w:name="_Toc491763306"/>
      <w:r w:rsidRPr="003A0AB0">
        <w:rPr>
          <w:sz w:val="20"/>
          <w:szCs w:val="20"/>
        </w:rPr>
        <w:t>Процесс оценки рыночной стоимости объекта оценки.</w:t>
      </w:r>
      <w:bookmarkEnd w:id="72"/>
      <w:bookmarkEnd w:id="73"/>
    </w:p>
    <w:p w:rsidR="0061127A" w:rsidRPr="0061127A" w:rsidRDefault="0061127A" w:rsidP="0090764B">
      <w:pPr>
        <w:keepNext/>
        <w:keepLines/>
        <w:numPr>
          <w:ilvl w:val="2"/>
          <w:numId w:val="24"/>
        </w:numPr>
        <w:spacing w:before="240" w:after="120"/>
        <w:ind w:left="1077" w:hanging="357"/>
        <w:jc w:val="both"/>
        <w:outlineLvl w:val="2"/>
        <w:rPr>
          <w:rFonts w:asciiTheme="majorHAnsi" w:eastAsiaTheme="majorEastAsia" w:hAnsiTheme="majorHAnsi" w:cstheme="majorBidi"/>
          <w:b/>
          <w:bCs/>
          <w:sz w:val="20"/>
          <w:szCs w:val="22"/>
          <w:lang w:eastAsia="en-US"/>
        </w:rPr>
      </w:pPr>
      <w:bookmarkStart w:id="74" w:name="_Toc404931213"/>
      <w:bookmarkStart w:id="75" w:name="_Toc442446527"/>
      <w:bookmarkStart w:id="76" w:name="_Toc491763307"/>
      <w:bookmarkEnd w:id="68"/>
      <w:bookmarkEnd w:id="69"/>
      <w:r w:rsidRPr="0061127A">
        <w:rPr>
          <w:rFonts w:asciiTheme="majorHAnsi" w:eastAsiaTheme="majorEastAsia" w:hAnsiTheme="majorHAnsi" w:cstheme="majorBidi"/>
          <w:b/>
          <w:bCs/>
          <w:sz w:val="20"/>
          <w:szCs w:val="22"/>
          <w:lang w:eastAsia="en-US"/>
        </w:rPr>
        <w:t>Затратный подход</w:t>
      </w:r>
      <w:bookmarkEnd w:id="74"/>
      <w:bookmarkEnd w:id="75"/>
      <w:bookmarkEnd w:id="76"/>
    </w:p>
    <w:p w:rsidR="0061127A" w:rsidRPr="0061127A" w:rsidRDefault="0061127A" w:rsidP="0061127A">
      <w:pPr>
        <w:widowControl w:val="0"/>
        <w:suppressAutoHyphens/>
        <w:overflowPunct w:val="0"/>
        <w:autoSpaceDE w:val="0"/>
        <w:spacing w:before="120" w:after="120"/>
        <w:ind w:firstLine="720"/>
        <w:jc w:val="center"/>
        <w:rPr>
          <w:b/>
          <w:i/>
          <w:lang w:eastAsia="ar-SA"/>
        </w:rPr>
      </w:pPr>
      <w:r w:rsidRPr="0061127A">
        <w:rPr>
          <w:b/>
          <w:i/>
          <w:lang w:eastAsia="ar-SA"/>
        </w:rPr>
        <w:t>Обоснование выбора примененных оценщиком методов оценки в рамках затратного подхода</w:t>
      </w:r>
    </w:p>
    <w:p w:rsidR="0061127A" w:rsidRPr="0061127A" w:rsidRDefault="0061127A" w:rsidP="0061127A">
      <w:pPr>
        <w:numPr>
          <w:ilvl w:val="1"/>
          <w:numId w:val="0"/>
        </w:numPr>
        <w:spacing w:before="120" w:after="120"/>
        <w:ind w:firstLine="709"/>
        <w:jc w:val="center"/>
        <w:rPr>
          <w:rFonts w:ascii="Cambria" w:eastAsiaTheme="majorEastAsia" w:hAnsi="Cambria" w:cstheme="majorBidi"/>
          <w:b/>
          <w:iCs/>
          <w:smallCaps/>
          <w:color w:val="000000" w:themeColor="text1"/>
          <w:spacing w:val="15"/>
          <w:sz w:val="22"/>
          <w:u w:val="single"/>
          <w:lang w:eastAsia="en-US"/>
        </w:rPr>
      </w:pPr>
      <w:r w:rsidRPr="0061127A">
        <w:rPr>
          <w:rFonts w:ascii="Cambria" w:eastAsiaTheme="majorEastAsia" w:hAnsi="Cambria" w:cstheme="majorBidi"/>
          <w:b/>
          <w:iCs/>
          <w:smallCaps/>
          <w:color w:val="000000" w:themeColor="text1"/>
          <w:spacing w:val="15"/>
          <w:sz w:val="22"/>
          <w:u w:val="single"/>
          <w:lang w:eastAsia="en-US"/>
        </w:rPr>
        <w:t>Расчет затрат на замещение объекта оценки (без учета износа).</w:t>
      </w:r>
    </w:p>
    <w:p w:rsidR="0061127A" w:rsidRPr="0061127A" w:rsidRDefault="0061127A" w:rsidP="0061127A">
      <w:pPr>
        <w:spacing w:before="120" w:after="120"/>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t>Подход к оценке по затратам базируется на сравнении стоимости строительства аналогичного объекта недвижимости со стоимостью существующего объекта.</w:t>
      </w:r>
    </w:p>
    <w:tbl>
      <w:tblPr>
        <w:tblW w:w="9356"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678"/>
        <w:gridCol w:w="4678"/>
      </w:tblGrid>
      <w:tr w:rsidR="0061127A" w:rsidRPr="0061127A" w:rsidTr="0061127A">
        <w:trPr>
          <w:trHeight w:val="20"/>
          <w:jc w:val="center"/>
        </w:trPr>
        <w:tc>
          <w:tcPr>
            <w:tcW w:w="4678" w:type="dxa"/>
            <w:shd w:val="clear" w:color="auto" w:fill="F2F2F2" w:themeFill="background1" w:themeFillShade="F2"/>
            <w:noWrap/>
            <w:vAlign w:val="bottom"/>
            <w:hideMark/>
          </w:tcPr>
          <w:p w:rsidR="0061127A" w:rsidRPr="0061127A" w:rsidRDefault="0061127A" w:rsidP="0061127A">
            <w:pPr>
              <w:jc w:val="center"/>
              <w:rPr>
                <w:rFonts w:ascii="Cambria" w:hAnsi="Cambria"/>
                <w:b/>
                <w:bCs/>
                <w:color w:val="000000"/>
                <w:sz w:val="20"/>
                <w:szCs w:val="20"/>
              </w:rPr>
            </w:pPr>
            <w:r w:rsidRPr="0061127A">
              <w:rPr>
                <w:rFonts w:ascii="Cambria" w:hAnsi="Cambria"/>
                <w:b/>
                <w:bCs/>
                <w:color w:val="000000"/>
                <w:sz w:val="20"/>
                <w:szCs w:val="20"/>
              </w:rPr>
              <w:t>Стоимость замещения</w:t>
            </w:r>
          </w:p>
        </w:tc>
        <w:tc>
          <w:tcPr>
            <w:tcW w:w="4678" w:type="dxa"/>
            <w:shd w:val="clear" w:color="auto" w:fill="F2F2F2" w:themeFill="background1" w:themeFillShade="F2"/>
            <w:noWrap/>
            <w:vAlign w:val="bottom"/>
            <w:hideMark/>
          </w:tcPr>
          <w:p w:rsidR="0061127A" w:rsidRPr="0061127A" w:rsidRDefault="0061127A" w:rsidP="0061127A">
            <w:pPr>
              <w:jc w:val="center"/>
              <w:rPr>
                <w:rFonts w:ascii="Cambria" w:hAnsi="Cambria"/>
                <w:b/>
                <w:bCs/>
                <w:color w:val="000000"/>
                <w:sz w:val="20"/>
                <w:szCs w:val="20"/>
              </w:rPr>
            </w:pPr>
            <w:r w:rsidRPr="0061127A">
              <w:rPr>
                <w:rFonts w:ascii="Cambria" w:hAnsi="Cambria"/>
                <w:b/>
                <w:bCs/>
                <w:color w:val="000000"/>
                <w:sz w:val="20"/>
                <w:szCs w:val="20"/>
              </w:rPr>
              <w:t>Стоимость воспроизводства</w:t>
            </w:r>
          </w:p>
        </w:tc>
      </w:tr>
      <w:tr w:rsidR="0061127A" w:rsidRPr="0061127A" w:rsidTr="0061127A">
        <w:trPr>
          <w:trHeight w:val="20"/>
          <w:jc w:val="center"/>
        </w:trPr>
        <w:tc>
          <w:tcPr>
            <w:tcW w:w="4678" w:type="dxa"/>
            <w:shd w:val="clear" w:color="auto" w:fill="auto"/>
            <w:vAlign w:val="center"/>
            <w:hideMark/>
          </w:tcPr>
          <w:p w:rsidR="0061127A" w:rsidRPr="0061127A" w:rsidRDefault="0061127A" w:rsidP="0061127A">
            <w:pPr>
              <w:jc w:val="center"/>
              <w:rPr>
                <w:rFonts w:ascii="Cambria" w:hAnsi="Cambria"/>
                <w:color w:val="000000"/>
                <w:sz w:val="20"/>
                <w:szCs w:val="20"/>
              </w:rPr>
            </w:pPr>
            <w:r w:rsidRPr="0061127A">
              <w:rPr>
                <w:rFonts w:ascii="Cambria" w:hAnsi="Cambria"/>
                <w:color w:val="000000"/>
                <w:sz w:val="20"/>
                <w:szCs w:val="20"/>
              </w:rPr>
              <w:t xml:space="preserve">Затратами на замещение объекта оценки являются затраты, необходимые для создания аналогичного объекта с использованием материалов и технологий, применяющихся на дату оценки. </w:t>
            </w:r>
          </w:p>
        </w:tc>
        <w:tc>
          <w:tcPr>
            <w:tcW w:w="4678" w:type="dxa"/>
            <w:shd w:val="clear" w:color="auto" w:fill="auto"/>
            <w:vAlign w:val="bottom"/>
            <w:hideMark/>
          </w:tcPr>
          <w:p w:rsidR="0061127A" w:rsidRPr="0061127A" w:rsidRDefault="0061127A" w:rsidP="0061127A">
            <w:pPr>
              <w:jc w:val="center"/>
              <w:rPr>
                <w:rFonts w:ascii="Cambria" w:hAnsi="Cambria"/>
                <w:color w:val="000000"/>
                <w:sz w:val="20"/>
                <w:szCs w:val="20"/>
              </w:rPr>
            </w:pPr>
            <w:r w:rsidRPr="0061127A">
              <w:rPr>
                <w:rFonts w:ascii="Cambria" w:hAnsi="Cambria"/>
                <w:color w:val="000000"/>
                <w:sz w:val="20"/>
                <w:szCs w:val="20"/>
              </w:rPr>
              <w:t>Затратами на воспроизводство объекта оценки являются затраты, необходимые для создания точной копии объекта оценки с использованием применявшихся при создании объекта оценки материалов и технологий</w:t>
            </w:r>
          </w:p>
        </w:tc>
      </w:tr>
      <w:tr w:rsidR="0061127A" w:rsidRPr="0061127A" w:rsidTr="0061127A">
        <w:trPr>
          <w:trHeight w:val="20"/>
          <w:jc w:val="center"/>
        </w:trPr>
        <w:tc>
          <w:tcPr>
            <w:tcW w:w="9356" w:type="dxa"/>
            <w:gridSpan w:val="2"/>
            <w:shd w:val="clear" w:color="000000" w:fill="D9D9D9"/>
            <w:vAlign w:val="bottom"/>
            <w:hideMark/>
          </w:tcPr>
          <w:p w:rsidR="0061127A" w:rsidRPr="0061127A" w:rsidRDefault="0061127A" w:rsidP="0061127A">
            <w:pPr>
              <w:jc w:val="center"/>
              <w:rPr>
                <w:rFonts w:ascii="Cambria" w:hAnsi="Cambria"/>
                <w:color w:val="000000"/>
                <w:sz w:val="20"/>
                <w:szCs w:val="20"/>
              </w:rPr>
            </w:pPr>
            <w:r w:rsidRPr="0061127A">
              <w:rPr>
                <w:rFonts w:ascii="Cambria" w:hAnsi="Cambria"/>
                <w:color w:val="000000"/>
                <w:sz w:val="20"/>
                <w:szCs w:val="20"/>
              </w:rPr>
              <w:t>Выбор расчета стоимости «замещения» является обоснованным, если здание имеет индивидуальный характер,  у оцениваемого здания имеются признаки функционального износа, что снижает коммерческую привлекательность для потенциального покупателя  (Полная восстановительная стоимость (ПВС)</w:t>
            </w:r>
          </w:p>
        </w:tc>
      </w:tr>
    </w:tbl>
    <w:p w:rsidR="0061127A" w:rsidRPr="0061127A" w:rsidRDefault="0061127A" w:rsidP="00346D80">
      <w:pPr>
        <w:spacing w:before="120" w:after="120"/>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t>Основным принципом, на котором основывается затратный по</w:t>
      </w:r>
      <w:r w:rsidRPr="0061127A">
        <w:rPr>
          <w:rFonts w:asciiTheme="majorHAnsi" w:eastAsiaTheme="minorHAnsi" w:hAnsiTheme="majorHAnsi" w:cstheme="minorBidi"/>
          <w:vanish/>
          <w:sz w:val="20"/>
          <w:szCs w:val="22"/>
          <w:lang w:eastAsia="en-US"/>
        </w:rPr>
        <w:t xml:space="preserve">тором базируется стоимости стримтельства анвлогичного объекта недвижимости </w:t>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vanish/>
          <w:sz w:val="20"/>
          <w:szCs w:val="22"/>
          <w:lang w:eastAsia="en-US"/>
        </w:rPr>
        <w:fldChar w:fldCharType="begin"/>
      </w:r>
      <w:r w:rsidRPr="0061127A">
        <w:rPr>
          <w:rFonts w:asciiTheme="majorHAnsi" w:eastAsiaTheme="minorHAnsi" w:hAnsiTheme="majorHAnsi" w:cstheme="minorBidi"/>
          <w:vanish/>
          <w:sz w:val="20"/>
          <w:szCs w:val="22"/>
          <w:lang w:eastAsia="en-US"/>
        </w:rPr>
        <w:instrText xml:space="preserve"> PAGE \*Arabic </w:instrText>
      </w:r>
      <w:r w:rsidRPr="0061127A">
        <w:rPr>
          <w:rFonts w:asciiTheme="majorHAnsi" w:eastAsiaTheme="minorHAnsi" w:hAnsiTheme="majorHAnsi" w:cstheme="minorBidi"/>
          <w:vanish/>
          <w:sz w:val="20"/>
          <w:szCs w:val="22"/>
          <w:lang w:eastAsia="en-US"/>
        </w:rPr>
        <w:fldChar w:fldCharType="separate"/>
      </w:r>
      <w:r w:rsidR="008303F0">
        <w:rPr>
          <w:rFonts w:asciiTheme="majorHAnsi" w:eastAsiaTheme="minorHAnsi" w:hAnsiTheme="majorHAnsi" w:cstheme="minorBidi"/>
          <w:noProof/>
          <w:vanish/>
          <w:sz w:val="20"/>
          <w:szCs w:val="22"/>
          <w:lang w:eastAsia="en-US"/>
        </w:rPr>
        <w:t>46</w:t>
      </w:r>
      <w:r w:rsidRPr="0061127A">
        <w:rPr>
          <w:rFonts w:asciiTheme="majorHAnsi" w:eastAsiaTheme="minorHAnsi" w:hAnsiTheme="majorHAnsi" w:cstheme="minorBidi"/>
          <w:vanish/>
          <w:sz w:val="20"/>
          <w:szCs w:val="22"/>
          <w:lang w:eastAsia="en-US"/>
        </w:rPr>
        <w:fldChar w:fldCharType="end"/>
      </w:r>
      <w:r w:rsidRPr="0061127A">
        <w:rPr>
          <w:rFonts w:asciiTheme="majorHAnsi" w:eastAsiaTheme="minorHAnsi" w:hAnsiTheme="majorHAnsi" w:cstheme="minorBidi"/>
          <w:sz w:val="20"/>
          <w:szCs w:val="22"/>
          <w:lang w:eastAsia="en-US"/>
        </w:rPr>
        <w:t>дход к оценке недвижимости. Является принцип замещения: осведомленный покупатель никогда не заплатит за какой-либо объект недвижимости больше, чем сумма денег, которую нужно будет потратить на приобретение земельного участка и строительства на нем здания, аналогичного по своим потребительским харак</w:t>
      </w:r>
      <w:r w:rsidR="00346D80">
        <w:rPr>
          <w:rFonts w:asciiTheme="majorHAnsi" w:eastAsiaTheme="minorHAnsi" w:hAnsiTheme="majorHAnsi" w:cstheme="minorBidi"/>
          <w:sz w:val="20"/>
          <w:szCs w:val="22"/>
          <w:lang w:eastAsia="en-US"/>
        </w:rPr>
        <w:t>теристикам оцениваемому зданию.</w:t>
      </w:r>
    </w:p>
    <w:tbl>
      <w:tblPr>
        <w:tblW w:w="9356"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410"/>
        <w:gridCol w:w="3544"/>
        <w:gridCol w:w="3402"/>
      </w:tblGrid>
      <w:tr w:rsidR="0061127A" w:rsidRPr="0061127A" w:rsidTr="00346D80">
        <w:trPr>
          <w:trHeight w:val="20"/>
          <w:jc w:val="center"/>
        </w:trPr>
        <w:tc>
          <w:tcPr>
            <w:tcW w:w="9356" w:type="dxa"/>
            <w:gridSpan w:val="3"/>
            <w:tcBorders>
              <w:top w:val="double" w:sz="4" w:space="0" w:color="auto"/>
              <w:bottom w:val="single" w:sz="6" w:space="0" w:color="auto"/>
            </w:tcBorders>
            <w:shd w:val="clear" w:color="auto" w:fill="F2F2F2" w:themeFill="background1" w:themeFillShade="F2"/>
            <w:vAlign w:val="bottom"/>
            <w:hideMark/>
          </w:tcPr>
          <w:p w:rsidR="0061127A" w:rsidRPr="0061127A" w:rsidRDefault="0061127A" w:rsidP="0061127A">
            <w:pPr>
              <w:jc w:val="center"/>
              <w:rPr>
                <w:rFonts w:asciiTheme="majorHAnsi" w:hAnsiTheme="majorHAnsi"/>
                <w:b/>
                <w:bCs/>
                <w:color w:val="000000"/>
                <w:sz w:val="20"/>
                <w:szCs w:val="20"/>
              </w:rPr>
            </w:pPr>
            <w:r w:rsidRPr="0061127A">
              <w:rPr>
                <w:rFonts w:asciiTheme="majorHAnsi" w:hAnsiTheme="majorHAnsi"/>
                <w:b/>
                <w:bCs/>
                <w:color w:val="000000"/>
                <w:sz w:val="20"/>
                <w:szCs w:val="20"/>
              </w:rPr>
              <w:t>Стоимость замещения на базе полной восстановительной стоимости</w:t>
            </w:r>
          </w:p>
        </w:tc>
      </w:tr>
      <w:tr w:rsidR="0061127A" w:rsidRPr="0061127A" w:rsidTr="00346D80">
        <w:trPr>
          <w:trHeight w:val="20"/>
          <w:jc w:val="center"/>
        </w:trPr>
        <w:tc>
          <w:tcPr>
            <w:tcW w:w="9356" w:type="dxa"/>
            <w:gridSpan w:val="3"/>
            <w:tcBorders>
              <w:top w:val="single" w:sz="6" w:space="0" w:color="auto"/>
            </w:tcBorders>
            <w:shd w:val="clear" w:color="auto" w:fill="auto"/>
            <w:noWrap/>
            <w:vAlign w:val="bottom"/>
            <w:hideMark/>
          </w:tcPr>
          <w:p w:rsidR="0061127A" w:rsidRPr="0061127A" w:rsidRDefault="0061127A" w:rsidP="0061127A">
            <w:pPr>
              <w:jc w:val="center"/>
              <w:rPr>
                <w:rFonts w:asciiTheme="majorHAnsi" w:hAnsiTheme="majorHAnsi"/>
                <w:i/>
                <w:iCs/>
                <w:color w:val="000000"/>
                <w:sz w:val="20"/>
                <w:szCs w:val="20"/>
              </w:rPr>
            </w:pPr>
            <w:r w:rsidRPr="0061127A">
              <w:rPr>
                <w:rFonts w:asciiTheme="majorHAnsi" w:hAnsiTheme="majorHAnsi"/>
                <w:i/>
                <w:iCs/>
                <w:color w:val="000000"/>
                <w:sz w:val="20"/>
                <w:szCs w:val="20"/>
              </w:rPr>
              <w:t>Прямые затраты</w:t>
            </w:r>
            <w:r w:rsidRPr="0061127A">
              <w:rPr>
                <w:rFonts w:asciiTheme="majorHAnsi" w:hAnsiTheme="majorHAnsi"/>
                <w:color w:val="000000"/>
                <w:sz w:val="20"/>
                <w:szCs w:val="20"/>
              </w:rPr>
              <w:t> – затраты, непосредственно связанные со строительством.</w:t>
            </w:r>
          </w:p>
        </w:tc>
      </w:tr>
      <w:tr w:rsidR="0061127A" w:rsidRPr="0061127A" w:rsidTr="00346D80">
        <w:trPr>
          <w:trHeight w:val="20"/>
          <w:jc w:val="center"/>
        </w:trPr>
        <w:tc>
          <w:tcPr>
            <w:tcW w:w="9356" w:type="dxa"/>
            <w:gridSpan w:val="3"/>
            <w:shd w:val="clear" w:color="auto" w:fill="auto"/>
            <w:vAlign w:val="center"/>
            <w:hideMark/>
          </w:tcPr>
          <w:p w:rsidR="0061127A" w:rsidRPr="0061127A" w:rsidRDefault="0061127A" w:rsidP="0061127A">
            <w:pPr>
              <w:jc w:val="center"/>
              <w:rPr>
                <w:rFonts w:asciiTheme="majorHAnsi" w:hAnsiTheme="majorHAnsi"/>
                <w:i/>
                <w:iCs/>
                <w:color w:val="000000"/>
                <w:sz w:val="20"/>
                <w:szCs w:val="20"/>
              </w:rPr>
            </w:pPr>
            <w:r w:rsidRPr="0061127A">
              <w:rPr>
                <w:rFonts w:asciiTheme="majorHAnsi" w:hAnsiTheme="majorHAnsi"/>
                <w:i/>
                <w:iCs/>
                <w:color w:val="000000"/>
                <w:sz w:val="20"/>
                <w:szCs w:val="20"/>
              </w:rPr>
              <w:t>Косвенные затраты</w:t>
            </w:r>
            <w:r w:rsidRPr="0061127A">
              <w:rPr>
                <w:rFonts w:asciiTheme="majorHAnsi" w:hAnsiTheme="majorHAnsi"/>
                <w:color w:val="000000"/>
                <w:sz w:val="20"/>
                <w:szCs w:val="20"/>
              </w:rPr>
              <w:t> – затраты, не относящиеся непосредственно к строительству: стоимость инвестиций в землю;</w:t>
            </w:r>
            <w:r w:rsidRPr="0061127A">
              <w:rPr>
                <w:rFonts w:asciiTheme="majorHAnsi" w:hAnsiTheme="majorHAnsi"/>
                <w:color w:val="000000"/>
                <w:sz w:val="20"/>
                <w:szCs w:val="20"/>
              </w:rPr>
              <w:br/>
              <w:t xml:space="preserve"> гонорары проектно-сметным организациям;  маркетинговые, страховые и рекламные расходы и другие затраты. К косвенным расходам относят и накладные расходы.</w:t>
            </w:r>
          </w:p>
        </w:tc>
      </w:tr>
      <w:tr w:rsidR="0061127A" w:rsidRPr="0061127A" w:rsidTr="00346D80">
        <w:trPr>
          <w:trHeight w:val="20"/>
          <w:jc w:val="center"/>
        </w:trPr>
        <w:tc>
          <w:tcPr>
            <w:tcW w:w="9356" w:type="dxa"/>
            <w:gridSpan w:val="3"/>
            <w:shd w:val="clear" w:color="auto" w:fill="auto"/>
            <w:vAlign w:val="bottom"/>
            <w:hideMark/>
          </w:tcPr>
          <w:p w:rsidR="0061127A" w:rsidRPr="0061127A" w:rsidRDefault="0061127A" w:rsidP="0061127A">
            <w:pPr>
              <w:jc w:val="center"/>
              <w:rPr>
                <w:rFonts w:asciiTheme="majorHAnsi" w:hAnsiTheme="majorHAnsi"/>
                <w:i/>
                <w:iCs/>
                <w:color w:val="000000"/>
                <w:sz w:val="20"/>
                <w:szCs w:val="20"/>
              </w:rPr>
            </w:pPr>
            <w:r w:rsidRPr="0061127A">
              <w:rPr>
                <w:rFonts w:asciiTheme="majorHAnsi" w:hAnsiTheme="majorHAnsi"/>
                <w:i/>
                <w:iCs/>
                <w:color w:val="000000"/>
                <w:sz w:val="20"/>
                <w:szCs w:val="20"/>
              </w:rPr>
              <w:t>Прибыль застройщика</w:t>
            </w:r>
            <w:r w:rsidRPr="0061127A">
              <w:rPr>
                <w:rFonts w:asciiTheme="majorHAnsi" w:hAnsiTheme="majorHAnsi"/>
                <w:color w:val="000000"/>
                <w:sz w:val="20"/>
                <w:szCs w:val="20"/>
              </w:rPr>
              <w:t xml:space="preserve"> (инвестора) – предпринимательский доход, представляющий собой вознаграждение инвестору за риск, связанный с реализацией строительного проекта.</w:t>
            </w:r>
          </w:p>
        </w:tc>
      </w:tr>
      <w:tr w:rsidR="0061127A" w:rsidRPr="0061127A" w:rsidTr="00346D80">
        <w:trPr>
          <w:trHeight w:val="20"/>
          <w:jc w:val="center"/>
        </w:trPr>
        <w:tc>
          <w:tcPr>
            <w:tcW w:w="2410" w:type="dxa"/>
            <w:vMerge w:val="restart"/>
            <w:shd w:val="clear" w:color="auto" w:fill="auto"/>
            <w:vAlign w:val="center"/>
            <w:hideMark/>
          </w:tcPr>
          <w:p w:rsidR="0061127A" w:rsidRPr="0061127A" w:rsidRDefault="0061127A" w:rsidP="0061127A">
            <w:pPr>
              <w:jc w:val="center"/>
              <w:rPr>
                <w:rFonts w:asciiTheme="majorHAnsi" w:hAnsiTheme="majorHAnsi"/>
                <w:color w:val="000000"/>
                <w:sz w:val="20"/>
                <w:szCs w:val="20"/>
              </w:rPr>
            </w:pPr>
            <w:r w:rsidRPr="0061127A">
              <w:rPr>
                <w:rFonts w:asciiTheme="majorHAnsi" w:hAnsiTheme="majorHAnsi"/>
                <w:color w:val="000000"/>
                <w:sz w:val="20"/>
                <w:szCs w:val="20"/>
              </w:rPr>
              <w:t xml:space="preserve">Методы расчета ПВС (включая прямые затраты и косвенные в части накладных </w:t>
            </w:r>
            <w:r w:rsidRPr="0061127A">
              <w:rPr>
                <w:rFonts w:asciiTheme="majorHAnsi" w:hAnsiTheme="majorHAnsi"/>
                <w:color w:val="000000"/>
                <w:sz w:val="20"/>
                <w:szCs w:val="20"/>
              </w:rPr>
              <w:lastRenderedPageBreak/>
              <w:t>расходов)</w:t>
            </w:r>
          </w:p>
        </w:tc>
        <w:tc>
          <w:tcPr>
            <w:tcW w:w="3544" w:type="dxa"/>
            <w:shd w:val="clear" w:color="auto" w:fill="auto"/>
            <w:vAlign w:val="center"/>
            <w:hideMark/>
          </w:tcPr>
          <w:p w:rsidR="0061127A" w:rsidRPr="0061127A" w:rsidRDefault="0061127A" w:rsidP="0061127A">
            <w:pPr>
              <w:jc w:val="center"/>
              <w:rPr>
                <w:rFonts w:asciiTheme="majorHAnsi" w:hAnsiTheme="majorHAnsi"/>
                <w:color w:val="000000"/>
                <w:sz w:val="20"/>
                <w:szCs w:val="20"/>
              </w:rPr>
            </w:pPr>
            <w:r w:rsidRPr="0061127A">
              <w:rPr>
                <w:rFonts w:asciiTheme="majorHAnsi" w:hAnsiTheme="majorHAnsi"/>
                <w:color w:val="000000"/>
                <w:sz w:val="20"/>
                <w:szCs w:val="20"/>
              </w:rPr>
              <w:lastRenderedPageBreak/>
              <w:t xml:space="preserve">Метод сравнительной единицы предполагает расчет стоимости строительства сравнительной единицы (1 м2, 1 м3) аналогичного </w:t>
            </w:r>
            <w:r w:rsidRPr="0061127A">
              <w:rPr>
                <w:rFonts w:asciiTheme="majorHAnsi" w:hAnsiTheme="majorHAnsi"/>
                <w:color w:val="000000"/>
                <w:sz w:val="20"/>
                <w:szCs w:val="20"/>
              </w:rPr>
              <w:lastRenderedPageBreak/>
              <w:t>здания.</w:t>
            </w:r>
          </w:p>
        </w:tc>
        <w:tc>
          <w:tcPr>
            <w:tcW w:w="3402" w:type="dxa"/>
            <w:shd w:val="clear" w:color="auto" w:fill="auto"/>
            <w:vAlign w:val="bottom"/>
            <w:hideMark/>
          </w:tcPr>
          <w:p w:rsidR="0061127A" w:rsidRPr="0061127A" w:rsidRDefault="0061127A" w:rsidP="0061127A">
            <w:pPr>
              <w:jc w:val="center"/>
              <w:rPr>
                <w:rFonts w:asciiTheme="majorHAnsi" w:hAnsiTheme="majorHAnsi"/>
                <w:color w:val="000000"/>
                <w:sz w:val="20"/>
                <w:szCs w:val="20"/>
              </w:rPr>
            </w:pPr>
            <w:r w:rsidRPr="0061127A">
              <w:rPr>
                <w:rFonts w:asciiTheme="majorHAnsi" w:hAnsiTheme="majorHAnsi"/>
                <w:color w:val="000000"/>
                <w:sz w:val="20"/>
                <w:szCs w:val="20"/>
              </w:rPr>
              <w:lastRenderedPageBreak/>
              <w:t>Целесообразно применение</w:t>
            </w:r>
          </w:p>
        </w:tc>
      </w:tr>
      <w:tr w:rsidR="0061127A" w:rsidRPr="0061127A" w:rsidTr="00346D80">
        <w:trPr>
          <w:trHeight w:val="20"/>
          <w:jc w:val="center"/>
        </w:trPr>
        <w:tc>
          <w:tcPr>
            <w:tcW w:w="2410" w:type="dxa"/>
            <w:vMerge/>
            <w:vAlign w:val="center"/>
            <w:hideMark/>
          </w:tcPr>
          <w:p w:rsidR="0061127A" w:rsidRPr="0061127A" w:rsidRDefault="0061127A" w:rsidP="0061127A">
            <w:pPr>
              <w:rPr>
                <w:rFonts w:asciiTheme="majorHAnsi" w:hAnsiTheme="majorHAnsi"/>
                <w:color w:val="000000"/>
                <w:sz w:val="20"/>
                <w:szCs w:val="20"/>
              </w:rPr>
            </w:pPr>
          </w:p>
        </w:tc>
        <w:tc>
          <w:tcPr>
            <w:tcW w:w="3544" w:type="dxa"/>
            <w:shd w:val="clear" w:color="auto" w:fill="auto"/>
            <w:vAlign w:val="bottom"/>
            <w:hideMark/>
          </w:tcPr>
          <w:p w:rsidR="0061127A" w:rsidRPr="0061127A" w:rsidRDefault="0061127A" w:rsidP="0061127A">
            <w:pPr>
              <w:jc w:val="center"/>
              <w:rPr>
                <w:rFonts w:asciiTheme="majorHAnsi" w:hAnsiTheme="majorHAnsi"/>
                <w:color w:val="000000"/>
                <w:sz w:val="20"/>
                <w:szCs w:val="20"/>
              </w:rPr>
            </w:pPr>
            <w:r w:rsidRPr="0061127A">
              <w:rPr>
                <w:rFonts w:asciiTheme="majorHAnsi" w:hAnsiTheme="majorHAnsi"/>
                <w:color w:val="000000"/>
                <w:sz w:val="20"/>
                <w:szCs w:val="20"/>
              </w:rPr>
              <w:t>Метод разбивки по компонентам стоимость всего здания рассчитывается как сумма стоимостей его отдельных строительных компонентов</w:t>
            </w:r>
          </w:p>
        </w:tc>
        <w:tc>
          <w:tcPr>
            <w:tcW w:w="3402" w:type="dxa"/>
            <w:shd w:val="clear" w:color="auto" w:fill="auto"/>
            <w:vAlign w:val="center"/>
            <w:hideMark/>
          </w:tcPr>
          <w:p w:rsidR="0061127A" w:rsidRPr="0061127A" w:rsidRDefault="0061127A" w:rsidP="0061127A">
            <w:pPr>
              <w:jc w:val="center"/>
              <w:rPr>
                <w:rFonts w:asciiTheme="majorHAnsi" w:hAnsiTheme="majorHAnsi"/>
                <w:color w:val="000000"/>
                <w:sz w:val="20"/>
                <w:szCs w:val="20"/>
              </w:rPr>
            </w:pPr>
            <w:r w:rsidRPr="0061127A">
              <w:rPr>
                <w:rFonts w:asciiTheme="majorHAnsi" w:hAnsiTheme="majorHAnsi"/>
                <w:color w:val="000000"/>
                <w:sz w:val="20"/>
                <w:szCs w:val="20"/>
              </w:rPr>
              <w:t>Недостаточность информации о сметной стоимости компонентов</w:t>
            </w:r>
          </w:p>
        </w:tc>
      </w:tr>
      <w:tr w:rsidR="0061127A" w:rsidRPr="0061127A" w:rsidTr="00346D80">
        <w:trPr>
          <w:trHeight w:val="20"/>
          <w:jc w:val="center"/>
        </w:trPr>
        <w:tc>
          <w:tcPr>
            <w:tcW w:w="2410" w:type="dxa"/>
            <w:vMerge/>
            <w:vAlign w:val="center"/>
            <w:hideMark/>
          </w:tcPr>
          <w:p w:rsidR="0061127A" w:rsidRPr="0061127A" w:rsidRDefault="0061127A" w:rsidP="0061127A">
            <w:pPr>
              <w:rPr>
                <w:rFonts w:asciiTheme="majorHAnsi" w:hAnsiTheme="majorHAnsi"/>
                <w:color w:val="000000"/>
                <w:sz w:val="20"/>
                <w:szCs w:val="20"/>
              </w:rPr>
            </w:pPr>
          </w:p>
        </w:tc>
        <w:tc>
          <w:tcPr>
            <w:tcW w:w="3544" w:type="dxa"/>
            <w:shd w:val="clear" w:color="auto" w:fill="auto"/>
            <w:vAlign w:val="bottom"/>
            <w:hideMark/>
          </w:tcPr>
          <w:p w:rsidR="0061127A" w:rsidRPr="0061127A" w:rsidRDefault="0061127A" w:rsidP="0061127A">
            <w:pPr>
              <w:jc w:val="center"/>
              <w:rPr>
                <w:rFonts w:asciiTheme="majorHAnsi" w:hAnsiTheme="majorHAnsi"/>
                <w:color w:val="000000"/>
                <w:sz w:val="20"/>
                <w:szCs w:val="20"/>
              </w:rPr>
            </w:pPr>
            <w:r w:rsidRPr="0061127A">
              <w:rPr>
                <w:rFonts w:asciiTheme="majorHAnsi" w:hAnsiTheme="majorHAnsi"/>
                <w:color w:val="000000"/>
                <w:sz w:val="20"/>
                <w:szCs w:val="20"/>
              </w:rPr>
              <w:t>Метод количественного обследования основан на детальных количественном и стоимостном расчетах затрат на монтаж отдельных компонентов, оборудования и строительства здания в целом</w:t>
            </w:r>
          </w:p>
        </w:tc>
        <w:tc>
          <w:tcPr>
            <w:tcW w:w="3402" w:type="dxa"/>
            <w:shd w:val="clear" w:color="auto" w:fill="auto"/>
            <w:vAlign w:val="center"/>
            <w:hideMark/>
          </w:tcPr>
          <w:p w:rsidR="0061127A" w:rsidRPr="0061127A" w:rsidRDefault="0061127A" w:rsidP="0061127A">
            <w:pPr>
              <w:jc w:val="center"/>
              <w:rPr>
                <w:rFonts w:asciiTheme="majorHAnsi" w:hAnsiTheme="majorHAnsi"/>
                <w:color w:val="000000"/>
                <w:sz w:val="20"/>
                <w:szCs w:val="20"/>
              </w:rPr>
            </w:pPr>
            <w:r w:rsidRPr="0061127A">
              <w:rPr>
                <w:rFonts w:asciiTheme="majorHAnsi" w:hAnsiTheme="majorHAnsi"/>
                <w:color w:val="000000"/>
                <w:sz w:val="20"/>
                <w:szCs w:val="20"/>
              </w:rPr>
              <w:t>Недостаточность информации о сметной стоимости компонентов</w:t>
            </w:r>
          </w:p>
        </w:tc>
      </w:tr>
      <w:tr w:rsidR="0061127A" w:rsidRPr="0061127A" w:rsidTr="00346D80">
        <w:trPr>
          <w:trHeight w:val="20"/>
          <w:jc w:val="center"/>
        </w:trPr>
        <w:tc>
          <w:tcPr>
            <w:tcW w:w="9356" w:type="dxa"/>
            <w:gridSpan w:val="3"/>
            <w:shd w:val="clear" w:color="auto" w:fill="auto"/>
            <w:vAlign w:val="bottom"/>
            <w:hideMark/>
          </w:tcPr>
          <w:p w:rsidR="0061127A" w:rsidRPr="0061127A" w:rsidRDefault="0061127A" w:rsidP="0061127A">
            <w:pPr>
              <w:jc w:val="center"/>
              <w:rPr>
                <w:rFonts w:asciiTheme="majorHAnsi" w:hAnsiTheme="majorHAnsi"/>
                <w:b/>
                <w:bCs/>
                <w:color w:val="000000"/>
                <w:sz w:val="20"/>
                <w:szCs w:val="20"/>
              </w:rPr>
            </w:pPr>
            <w:r w:rsidRPr="0061127A">
              <w:rPr>
                <w:rFonts w:asciiTheme="majorHAnsi" w:hAnsiTheme="majorHAnsi"/>
                <w:b/>
                <w:bCs/>
                <w:color w:val="000000"/>
                <w:sz w:val="20"/>
                <w:szCs w:val="20"/>
              </w:rPr>
              <w:t xml:space="preserve">Метод сравнительной единицы </w:t>
            </w:r>
          </w:p>
        </w:tc>
      </w:tr>
      <w:tr w:rsidR="0061127A" w:rsidRPr="0061127A" w:rsidTr="00346D80">
        <w:trPr>
          <w:trHeight w:val="20"/>
          <w:jc w:val="center"/>
        </w:trPr>
        <w:tc>
          <w:tcPr>
            <w:tcW w:w="2410" w:type="dxa"/>
            <w:vMerge w:val="restart"/>
            <w:shd w:val="clear" w:color="auto" w:fill="auto"/>
            <w:vAlign w:val="center"/>
            <w:hideMark/>
          </w:tcPr>
          <w:p w:rsidR="0061127A" w:rsidRPr="0061127A" w:rsidRDefault="0061127A" w:rsidP="0061127A">
            <w:pPr>
              <w:jc w:val="center"/>
              <w:rPr>
                <w:rFonts w:asciiTheme="majorHAnsi" w:hAnsiTheme="majorHAnsi"/>
                <w:color w:val="000000"/>
                <w:sz w:val="20"/>
                <w:szCs w:val="20"/>
              </w:rPr>
            </w:pPr>
            <w:r w:rsidRPr="0061127A">
              <w:rPr>
                <w:rFonts w:asciiTheme="majorHAnsi" w:hAnsiTheme="majorHAnsi"/>
                <w:color w:val="000000"/>
                <w:sz w:val="20"/>
                <w:szCs w:val="20"/>
              </w:rPr>
              <w:t>База производства расчетов</w:t>
            </w:r>
          </w:p>
        </w:tc>
        <w:tc>
          <w:tcPr>
            <w:tcW w:w="3544" w:type="dxa"/>
            <w:shd w:val="clear" w:color="auto" w:fill="auto"/>
            <w:vAlign w:val="bottom"/>
            <w:hideMark/>
          </w:tcPr>
          <w:p w:rsidR="0061127A" w:rsidRPr="0061127A" w:rsidRDefault="0061127A" w:rsidP="0061127A">
            <w:pPr>
              <w:jc w:val="center"/>
              <w:rPr>
                <w:rFonts w:asciiTheme="majorHAnsi" w:hAnsiTheme="majorHAnsi"/>
                <w:color w:val="000000"/>
                <w:sz w:val="20"/>
                <w:szCs w:val="20"/>
              </w:rPr>
            </w:pPr>
            <w:r w:rsidRPr="0061127A">
              <w:rPr>
                <w:rFonts w:asciiTheme="majorHAnsi" w:hAnsiTheme="majorHAnsi"/>
                <w:color w:val="000000"/>
                <w:spacing w:val="-2"/>
                <w:sz w:val="20"/>
                <w:szCs w:val="20"/>
              </w:rPr>
              <w:t>УПВС – укрупненные показатели восстановительной стоимости</w:t>
            </w:r>
          </w:p>
        </w:tc>
        <w:tc>
          <w:tcPr>
            <w:tcW w:w="3402" w:type="dxa"/>
            <w:shd w:val="clear" w:color="auto" w:fill="auto"/>
            <w:vAlign w:val="bottom"/>
            <w:hideMark/>
          </w:tcPr>
          <w:p w:rsidR="0061127A" w:rsidRPr="0061127A" w:rsidRDefault="0061127A" w:rsidP="0061127A">
            <w:pPr>
              <w:jc w:val="center"/>
              <w:rPr>
                <w:rFonts w:asciiTheme="majorHAnsi" w:hAnsiTheme="majorHAnsi"/>
                <w:color w:val="000000"/>
                <w:sz w:val="20"/>
                <w:szCs w:val="20"/>
              </w:rPr>
            </w:pPr>
            <w:r w:rsidRPr="0061127A">
              <w:rPr>
                <w:rFonts w:asciiTheme="majorHAnsi" w:hAnsiTheme="majorHAnsi"/>
                <w:color w:val="000000"/>
                <w:sz w:val="20"/>
                <w:szCs w:val="20"/>
              </w:rPr>
              <w:t>Утверждены Государственным комитетом Совета Министров СССР по делам строительства в 1970-1971 г.</w:t>
            </w:r>
          </w:p>
        </w:tc>
      </w:tr>
      <w:tr w:rsidR="0061127A" w:rsidRPr="0061127A" w:rsidTr="00346D80">
        <w:trPr>
          <w:trHeight w:val="20"/>
          <w:jc w:val="center"/>
        </w:trPr>
        <w:tc>
          <w:tcPr>
            <w:tcW w:w="2410" w:type="dxa"/>
            <w:vMerge/>
            <w:vAlign w:val="center"/>
            <w:hideMark/>
          </w:tcPr>
          <w:p w:rsidR="0061127A" w:rsidRPr="0061127A" w:rsidRDefault="0061127A" w:rsidP="0061127A">
            <w:pPr>
              <w:rPr>
                <w:rFonts w:asciiTheme="majorHAnsi" w:hAnsiTheme="majorHAnsi"/>
                <w:color w:val="000000"/>
                <w:sz w:val="20"/>
                <w:szCs w:val="20"/>
              </w:rPr>
            </w:pPr>
          </w:p>
        </w:tc>
        <w:tc>
          <w:tcPr>
            <w:tcW w:w="3544" w:type="dxa"/>
            <w:shd w:val="clear" w:color="auto" w:fill="auto"/>
            <w:vAlign w:val="bottom"/>
            <w:hideMark/>
          </w:tcPr>
          <w:p w:rsidR="0061127A" w:rsidRPr="0061127A" w:rsidRDefault="0061127A" w:rsidP="0061127A">
            <w:pPr>
              <w:jc w:val="center"/>
              <w:rPr>
                <w:rFonts w:asciiTheme="majorHAnsi" w:hAnsiTheme="majorHAnsi"/>
                <w:color w:val="000000"/>
                <w:sz w:val="20"/>
                <w:szCs w:val="20"/>
              </w:rPr>
            </w:pPr>
            <w:r w:rsidRPr="0061127A">
              <w:rPr>
                <w:rFonts w:asciiTheme="majorHAnsi" w:hAnsiTheme="majorHAnsi"/>
                <w:color w:val="000000"/>
                <w:sz w:val="20"/>
                <w:szCs w:val="20"/>
              </w:rPr>
              <w:t>УПСС - укрупнённые показатели стоимости строительства</w:t>
            </w:r>
          </w:p>
        </w:tc>
        <w:tc>
          <w:tcPr>
            <w:tcW w:w="3402" w:type="dxa"/>
            <w:shd w:val="clear" w:color="auto" w:fill="auto"/>
            <w:vAlign w:val="center"/>
            <w:hideMark/>
          </w:tcPr>
          <w:p w:rsidR="0061127A" w:rsidRPr="0061127A" w:rsidRDefault="0061127A" w:rsidP="0061127A">
            <w:pPr>
              <w:jc w:val="center"/>
              <w:rPr>
                <w:rFonts w:asciiTheme="majorHAnsi" w:hAnsiTheme="majorHAnsi"/>
                <w:color w:val="000000"/>
                <w:sz w:val="20"/>
                <w:szCs w:val="20"/>
              </w:rPr>
            </w:pPr>
            <w:r w:rsidRPr="0061127A">
              <w:rPr>
                <w:rFonts w:asciiTheme="majorHAnsi" w:hAnsiTheme="majorHAnsi"/>
                <w:color w:val="000000"/>
                <w:sz w:val="20"/>
                <w:szCs w:val="20"/>
              </w:rPr>
              <w:t xml:space="preserve">Издательство ООО "Ко-Инвест" (наиболее целесообразен в применении для определения стоимости строительства объектов современной застройки) </w:t>
            </w:r>
          </w:p>
        </w:tc>
      </w:tr>
      <w:tr w:rsidR="0061127A" w:rsidRPr="0061127A" w:rsidTr="00346D80">
        <w:trPr>
          <w:trHeight w:val="20"/>
          <w:jc w:val="center"/>
        </w:trPr>
        <w:tc>
          <w:tcPr>
            <w:tcW w:w="2410" w:type="dxa"/>
            <w:vMerge/>
            <w:vAlign w:val="center"/>
            <w:hideMark/>
          </w:tcPr>
          <w:p w:rsidR="0061127A" w:rsidRPr="0061127A" w:rsidRDefault="0061127A" w:rsidP="0061127A">
            <w:pPr>
              <w:rPr>
                <w:rFonts w:asciiTheme="majorHAnsi" w:hAnsiTheme="majorHAnsi"/>
                <w:color w:val="000000"/>
                <w:sz w:val="20"/>
                <w:szCs w:val="20"/>
              </w:rPr>
            </w:pPr>
          </w:p>
        </w:tc>
        <w:tc>
          <w:tcPr>
            <w:tcW w:w="3544" w:type="dxa"/>
            <w:shd w:val="clear" w:color="auto" w:fill="auto"/>
            <w:vAlign w:val="bottom"/>
            <w:hideMark/>
          </w:tcPr>
          <w:p w:rsidR="0061127A" w:rsidRPr="0061127A" w:rsidRDefault="0061127A" w:rsidP="0061127A">
            <w:pPr>
              <w:jc w:val="center"/>
              <w:rPr>
                <w:rFonts w:asciiTheme="majorHAnsi" w:hAnsiTheme="majorHAnsi"/>
                <w:color w:val="000000"/>
                <w:sz w:val="20"/>
                <w:szCs w:val="20"/>
              </w:rPr>
            </w:pPr>
            <w:r w:rsidRPr="0061127A">
              <w:rPr>
                <w:rFonts w:asciiTheme="majorHAnsi" w:hAnsiTheme="majorHAnsi"/>
                <w:color w:val="000000"/>
                <w:sz w:val="20"/>
                <w:szCs w:val="20"/>
              </w:rPr>
              <w:t>Строительные нормы и правила</w:t>
            </w:r>
          </w:p>
        </w:tc>
        <w:tc>
          <w:tcPr>
            <w:tcW w:w="3402" w:type="dxa"/>
            <w:shd w:val="clear" w:color="auto" w:fill="auto"/>
            <w:vAlign w:val="bottom"/>
            <w:hideMark/>
          </w:tcPr>
          <w:p w:rsidR="0061127A" w:rsidRPr="0061127A" w:rsidRDefault="0061127A" w:rsidP="0061127A">
            <w:pPr>
              <w:jc w:val="center"/>
              <w:rPr>
                <w:rFonts w:asciiTheme="majorHAnsi" w:hAnsiTheme="majorHAnsi"/>
                <w:color w:val="000000"/>
                <w:sz w:val="20"/>
                <w:szCs w:val="20"/>
              </w:rPr>
            </w:pPr>
            <w:r w:rsidRPr="0061127A">
              <w:rPr>
                <w:rFonts w:asciiTheme="majorHAnsi" w:hAnsiTheme="majorHAnsi"/>
                <w:color w:val="000000"/>
                <w:sz w:val="20"/>
                <w:szCs w:val="20"/>
              </w:rPr>
              <w:t>Ведомственные нормы (в основном Госстроя СССР) (целесообразны в применении в отношении работ с точными объемами)</w:t>
            </w:r>
          </w:p>
        </w:tc>
      </w:tr>
      <w:tr w:rsidR="0061127A" w:rsidRPr="0061127A" w:rsidTr="00346D80">
        <w:trPr>
          <w:trHeight w:val="20"/>
          <w:jc w:val="center"/>
        </w:trPr>
        <w:tc>
          <w:tcPr>
            <w:tcW w:w="9356" w:type="dxa"/>
            <w:gridSpan w:val="3"/>
            <w:shd w:val="clear" w:color="auto" w:fill="F2F2F2" w:themeFill="background1" w:themeFillShade="F2"/>
            <w:noWrap/>
            <w:vAlign w:val="bottom"/>
            <w:hideMark/>
          </w:tcPr>
          <w:p w:rsidR="0061127A" w:rsidRPr="0061127A" w:rsidRDefault="0061127A" w:rsidP="0061127A">
            <w:pPr>
              <w:jc w:val="center"/>
              <w:rPr>
                <w:rFonts w:asciiTheme="majorHAnsi" w:hAnsiTheme="majorHAnsi"/>
                <w:color w:val="000000"/>
                <w:sz w:val="20"/>
                <w:szCs w:val="20"/>
              </w:rPr>
            </w:pPr>
            <w:r w:rsidRPr="0061127A">
              <w:rPr>
                <w:rFonts w:asciiTheme="majorHAnsi" w:hAnsiTheme="majorHAnsi"/>
                <w:color w:val="000000"/>
                <w:sz w:val="20"/>
                <w:szCs w:val="20"/>
              </w:rPr>
              <w:t>С целью применения УПВС - наибольшее количество информации</w:t>
            </w:r>
          </w:p>
        </w:tc>
      </w:tr>
    </w:tbl>
    <w:p w:rsidR="0061127A" w:rsidRPr="0061127A" w:rsidRDefault="0061127A" w:rsidP="0061127A">
      <w:pPr>
        <w:spacing w:before="120" w:after="120"/>
        <w:ind w:firstLine="709"/>
        <w:jc w:val="both"/>
        <w:rPr>
          <w:rFonts w:asciiTheme="majorHAnsi" w:eastAsia="TimesNewRoman" w:hAnsiTheme="majorHAnsi" w:cstheme="minorBidi"/>
          <w:i/>
          <w:iCs/>
          <w:sz w:val="20"/>
          <w:szCs w:val="22"/>
          <w:lang w:eastAsia="en-US"/>
        </w:rPr>
      </w:pPr>
      <w:r w:rsidRPr="0061127A">
        <w:rPr>
          <w:rFonts w:asciiTheme="majorHAnsi" w:eastAsiaTheme="minorHAnsi" w:hAnsiTheme="majorHAnsi" w:cstheme="minorBidi"/>
          <w:sz w:val="20"/>
          <w:szCs w:val="22"/>
          <w:lang w:eastAsia="en-US"/>
        </w:rPr>
        <w:t xml:space="preserve"> </w:t>
      </w:r>
      <w:r w:rsidRPr="0061127A">
        <w:rPr>
          <w:rFonts w:asciiTheme="majorHAnsi" w:eastAsia="TimesNewRoman" w:hAnsiTheme="majorHAnsi" w:cstheme="minorBidi"/>
          <w:sz w:val="20"/>
          <w:szCs w:val="22"/>
          <w:lang w:eastAsia="en-US"/>
        </w:rPr>
        <w:t>Практически все ведущие ученые и специалисты в области оценки недвижимости высказали свои мнения в плане теоретического обоснования процедур проведения расчетов прибыли предпринимателя, но до сих пор не выработано единой позиции для включения ее в стандарт оценки. В настоящее время дискуссия по поводу ПП продолжается в электронных СМИ (appraiser.ru, ocenchik.ru и др.), появилось также много новых статей с предложениями о методах расчета ПП. В этом отношении следует обратить внимание на высказывание наиболее яркого представителя питерской школы профессора Грибовского С.В. «Заметим</w:t>
      </w:r>
      <w:r w:rsidRPr="0061127A">
        <w:rPr>
          <w:rFonts w:asciiTheme="majorHAnsi" w:eastAsia="TimesNewRoman" w:hAnsiTheme="majorHAnsi" w:cstheme="minorBidi"/>
          <w:i/>
          <w:iCs/>
          <w:sz w:val="20"/>
          <w:szCs w:val="22"/>
          <w:lang w:eastAsia="en-US"/>
        </w:rPr>
        <w:t xml:space="preserve">, </w:t>
      </w:r>
      <w:r w:rsidRPr="0061127A">
        <w:rPr>
          <w:rFonts w:asciiTheme="majorHAnsi" w:eastAsia="TimesNewRoman" w:hAnsiTheme="majorHAnsi" w:cstheme="minorBidi"/>
          <w:sz w:val="20"/>
          <w:szCs w:val="22"/>
          <w:lang w:eastAsia="en-US"/>
        </w:rPr>
        <w:t>что интересантов на получение прибыли в проекте может быть много</w:t>
      </w:r>
      <w:r w:rsidRPr="0061127A">
        <w:rPr>
          <w:rFonts w:asciiTheme="majorHAnsi" w:eastAsia="TimesNewRoman" w:hAnsiTheme="majorHAnsi" w:cstheme="minorBidi"/>
          <w:i/>
          <w:iCs/>
          <w:sz w:val="20"/>
          <w:szCs w:val="22"/>
          <w:lang w:eastAsia="en-US"/>
        </w:rPr>
        <w:t xml:space="preserve">. </w:t>
      </w:r>
      <w:r w:rsidRPr="0061127A">
        <w:rPr>
          <w:rFonts w:asciiTheme="majorHAnsi" w:eastAsia="TimesNewRoman" w:hAnsiTheme="majorHAnsi" w:cstheme="minorBidi"/>
          <w:sz w:val="20"/>
          <w:szCs w:val="22"/>
          <w:lang w:eastAsia="en-US"/>
        </w:rPr>
        <w:t>Это не только инвестор или девелопер</w:t>
      </w:r>
      <w:r w:rsidRPr="0061127A">
        <w:rPr>
          <w:rFonts w:asciiTheme="majorHAnsi" w:eastAsia="TimesNewRoman" w:hAnsiTheme="majorHAnsi" w:cstheme="minorBidi"/>
          <w:i/>
          <w:iCs/>
          <w:sz w:val="20"/>
          <w:szCs w:val="22"/>
          <w:lang w:eastAsia="en-US"/>
        </w:rPr>
        <w:t xml:space="preserve">, </w:t>
      </w:r>
      <w:r w:rsidRPr="0061127A">
        <w:rPr>
          <w:rFonts w:asciiTheme="majorHAnsi" w:eastAsia="TimesNewRoman" w:hAnsiTheme="majorHAnsi" w:cstheme="minorBidi"/>
          <w:sz w:val="20"/>
          <w:szCs w:val="22"/>
          <w:lang w:eastAsia="en-US"/>
        </w:rPr>
        <w:t>но и генеральный подрядчик</w:t>
      </w:r>
      <w:r w:rsidRPr="0061127A">
        <w:rPr>
          <w:rFonts w:asciiTheme="majorHAnsi" w:eastAsia="TimesNewRoman" w:hAnsiTheme="majorHAnsi" w:cstheme="minorBidi"/>
          <w:i/>
          <w:iCs/>
          <w:sz w:val="20"/>
          <w:szCs w:val="22"/>
          <w:lang w:eastAsia="en-US"/>
        </w:rPr>
        <w:t xml:space="preserve">, </w:t>
      </w:r>
      <w:r w:rsidRPr="0061127A">
        <w:rPr>
          <w:rFonts w:asciiTheme="majorHAnsi" w:eastAsia="TimesNewRoman" w:hAnsiTheme="majorHAnsi" w:cstheme="minorBidi"/>
          <w:sz w:val="20"/>
          <w:szCs w:val="22"/>
          <w:lang w:eastAsia="en-US"/>
        </w:rPr>
        <w:t>просто подрядчик</w:t>
      </w:r>
      <w:r w:rsidRPr="0061127A">
        <w:rPr>
          <w:rFonts w:asciiTheme="majorHAnsi" w:eastAsia="TimesNewRoman" w:hAnsiTheme="majorHAnsi" w:cstheme="minorBidi"/>
          <w:i/>
          <w:iCs/>
          <w:sz w:val="20"/>
          <w:szCs w:val="22"/>
          <w:lang w:eastAsia="en-US"/>
        </w:rPr>
        <w:t xml:space="preserve">, </w:t>
      </w:r>
      <w:r w:rsidRPr="0061127A">
        <w:rPr>
          <w:rFonts w:asciiTheme="majorHAnsi" w:eastAsia="TimesNewRoman" w:hAnsiTheme="majorHAnsi" w:cstheme="minorBidi"/>
          <w:sz w:val="20"/>
          <w:szCs w:val="22"/>
          <w:lang w:eastAsia="en-US"/>
        </w:rPr>
        <w:t>поставщики оборудования и строительных материалов и др</w:t>
      </w:r>
      <w:r w:rsidRPr="0061127A">
        <w:rPr>
          <w:rFonts w:asciiTheme="majorHAnsi" w:eastAsia="TimesNewRoman" w:hAnsiTheme="majorHAnsi" w:cstheme="minorBidi"/>
          <w:i/>
          <w:iCs/>
          <w:sz w:val="20"/>
          <w:szCs w:val="22"/>
          <w:lang w:eastAsia="en-US"/>
        </w:rPr>
        <w:t xml:space="preserve">. </w:t>
      </w:r>
      <w:r w:rsidRPr="0061127A">
        <w:rPr>
          <w:rFonts w:asciiTheme="majorHAnsi" w:eastAsia="TimesNewRoman" w:hAnsiTheme="majorHAnsi" w:cstheme="minorBidi"/>
          <w:sz w:val="20"/>
          <w:szCs w:val="22"/>
          <w:lang w:eastAsia="en-US"/>
        </w:rPr>
        <w:t xml:space="preserve">И все они являются предпринимателями со своими требованиями к прибыли на свой капитал </w:t>
      </w:r>
      <w:r w:rsidRPr="0061127A">
        <w:rPr>
          <w:rFonts w:asciiTheme="majorHAnsi" w:eastAsia="TimesNewRoman" w:hAnsiTheme="majorHAnsi" w:cstheme="minorBidi"/>
          <w:i/>
          <w:iCs/>
          <w:sz w:val="20"/>
          <w:szCs w:val="22"/>
          <w:lang w:eastAsia="en-US"/>
        </w:rPr>
        <w:t>(</w:t>
      </w:r>
      <w:r w:rsidRPr="0061127A">
        <w:rPr>
          <w:rFonts w:asciiTheme="majorHAnsi" w:eastAsia="TimesNewRoman" w:hAnsiTheme="majorHAnsi" w:cstheme="minorBidi"/>
          <w:sz w:val="20"/>
          <w:szCs w:val="22"/>
          <w:lang w:eastAsia="en-US"/>
        </w:rPr>
        <w:t>материальный или интеллектуальный</w:t>
      </w:r>
      <w:r w:rsidRPr="0061127A">
        <w:rPr>
          <w:rFonts w:asciiTheme="majorHAnsi" w:eastAsia="TimesNewRoman" w:hAnsiTheme="majorHAnsi" w:cstheme="minorBidi"/>
          <w:i/>
          <w:iCs/>
          <w:sz w:val="20"/>
          <w:szCs w:val="22"/>
          <w:lang w:eastAsia="en-US"/>
        </w:rPr>
        <w:t xml:space="preserve">). </w:t>
      </w:r>
      <w:r w:rsidRPr="0061127A">
        <w:rPr>
          <w:rFonts w:asciiTheme="majorHAnsi" w:eastAsia="TimesNewRoman" w:hAnsiTheme="majorHAnsi" w:cstheme="minorBidi"/>
          <w:sz w:val="20"/>
          <w:szCs w:val="22"/>
          <w:lang w:eastAsia="en-US"/>
        </w:rPr>
        <w:t>Иными словами</w:t>
      </w:r>
      <w:r w:rsidRPr="0061127A">
        <w:rPr>
          <w:rFonts w:asciiTheme="majorHAnsi" w:eastAsia="TimesNewRoman" w:hAnsiTheme="majorHAnsi" w:cstheme="minorBidi"/>
          <w:i/>
          <w:iCs/>
          <w:sz w:val="20"/>
          <w:szCs w:val="22"/>
          <w:lang w:eastAsia="en-US"/>
        </w:rPr>
        <w:t xml:space="preserve">, </w:t>
      </w:r>
      <w:r w:rsidRPr="0061127A">
        <w:rPr>
          <w:rFonts w:asciiTheme="majorHAnsi" w:eastAsia="TimesNewRoman" w:hAnsiTheme="majorHAnsi" w:cstheme="minorBidi"/>
          <w:sz w:val="20"/>
          <w:szCs w:val="22"/>
          <w:lang w:eastAsia="en-US"/>
        </w:rPr>
        <w:t>если вы хотите корректно рассчитать прибыли предпринимателя</w:t>
      </w:r>
      <w:r w:rsidRPr="0061127A">
        <w:rPr>
          <w:rFonts w:asciiTheme="majorHAnsi" w:eastAsia="TimesNewRoman" w:hAnsiTheme="majorHAnsi" w:cstheme="minorBidi"/>
          <w:i/>
          <w:iCs/>
          <w:sz w:val="20"/>
          <w:szCs w:val="22"/>
          <w:lang w:eastAsia="en-US"/>
        </w:rPr>
        <w:t xml:space="preserve">, </w:t>
      </w:r>
      <w:r w:rsidRPr="0061127A">
        <w:rPr>
          <w:rFonts w:asciiTheme="majorHAnsi" w:eastAsia="TimesNewRoman" w:hAnsiTheme="majorHAnsi" w:cstheme="minorBidi"/>
          <w:sz w:val="20"/>
          <w:szCs w:val="22"/>
          <w:lang w:eastAsia="en-US"/>
        </w:rPr>
        <w:t>разберитесь</w:t>
      </w:r>
      <w:r w:rsidRPr="0061127A">
        <w:rPr>
          <w:rFonts w:asciiTheme="majorHAnsi" w:eastAsia="TimesNewRoman" w:hAnsiTheme="majorHAnsi" w:cstheme="minorBidi"/>
          <w:i/>
          <w:iCs/>
          <w:sz w:val="20"/>
          <w:szCs w:val="22"/>
          <w:lang w:eastAsia="en-US"/>
        </w:rPr>
        <w:t xml:space="preserve">, </w:t>
      </w:r>
      <w:r w:rsidRPr="0061127A">
        <w:rPr>
          <w:rFonts w:asciiTheme="majorHAnsi" w:eastAsia="TimesNewRoman" w:hAnsiTheme="majorHAnsi" w:cstheme="minorBidi"/>
          <w:sz w:val="20"/>
          <w:szCs w:val="22"/>
          <w:lang w:eastAsia="en-US"/>
        </w:rPr>
        <w:t>сколько предпринимателей участвует в процессе создания доходного актива</w:t>
      </w:r>
      <w:r w:rsidRPr="0061127A">
        <w:rPr>
          <w:rFonts w:asciiTheme="majorHAnsi" w:eastAsia="TimesNewRoman" w:hAnsiTheme="majorHAnsi" w:cstheme="minorBidi"/>
          <w:i/>
          <w:iCs/>
          <w:sz w:val="20"/>
          <w:szCs w:val="22"/>
          <w:lang w:eastAsia="en-US"/>
        </w:rPr>
        <w:t xml:space="preserve">, </w:t>
      </w:r>
      <w:r w:rsidRPr="0061127A">
        <w:rPr>
          <w:rFonts w:asciiTheme="majorHAnsi" w:eastAsia="TimesNewRoman" w:hAnsiTheme="majorHAnsi" w:cstheme="minorBidi"/>
          <w:sz w:val="20"/>
          <w:szCs w:val="22"/>
          <w:lang w:eastAsia="en-US"/>
        </w:rPr>
        <w:t>и каким капиталом обладает каждый из них</w:t>
      </w:r>
      <w:r w:rsidRPr="0061127A">
        <w:rPr>
          <w:rFonts w:asciiTheme="majorHAnsi" w:eastAsia="TimesNewRoman" w:hAnsiTheme="majorHAnsi" w:cstheme="minorBidi"/>
          <w:i/>
          <w:iCs/>
          <w:sz w:val="20"/>
          <w:szCs w:val="22"/>
          <w:lang w:eastAsia="en-US"/>
        </w:rPr>
        <w:t>».</w:t>
      </w:r>
      <w:r w:rsidRPr="0061127A">
        <w:rPr>
          <w:rFonts w:ascii="Cambria" w:eastAsia="TimesNewRoman" w:hAnsi="Cambria" w:cstheme="minorBidi"/>
          <w:i/>
          <w:iCs/>
          <w:sz w:val="20"/>
          <w:szCs w:val="22"/>
          <w:vertAlign w:val="superscript"/>
          <w:lang w:eastAsia="en-US"/>
        </w:rPr>
        <w:footnoteReference w:id="6"/>
      </w:r>
    </w:p>
    <w:tbl>
      <w:tblPr>
        <w:tblW w:w="9356"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253"/>
        <w:gridCol w:w="5103"/>
      </w:tblGrid>
      <w:tr w:rsidR="0061127A" w:rsidRPr="0061127A" w:rsidTr="00346D80">
        <w:trPr>
          <w:trHeight w:val="20"/>
          <w:jc w:val="center"/>
        </w:trPr>
        <w:tc>
          <w:tcPr>
            <w:tcW w:w="4253" w:type="dxa"/>
            <w:shd w:val="clear" w:color="auto" w:fill="auto"/>
            <w:noWrap/>
            <w:vAlign w:val="bottom"/>
            <w:hideMark/>
          </w:tcPr>
          <w:p w:rsidR="0061127A" w:rsidRPr="0061127A" w:rsidRDefault="0061127A" w:rsidP="0061127A">
            <w:pPr>
              <w:rPr>
                <w:rFonts w:ascii="Cambria" w:hAnsi="Cambria"/>
                <w:color w:val="000000"/>
                <w:sz w:val="20"/>
                <w:szCs w:val="20"/>
              </w:rPr>
            </w:pPr>
            <w:r w:rsidRPr="0061127A">
              <w:rPr>
                <w:rFonts w:ascii="Cambria" w:hAnsi="Cambria"/>
                <w:color w:val="000000"/>
                <w:sz w:val="20"/>
                <w:szCs w:val="20"/>
              </w:rPr>
              <w:t>Прибыль застройщика (инвестора) </w:t>
            </w:r>
          </w:p>
          <w:p w:rsidR="0061127A" w:rsidRPr="0061127A" w:rsidRDefault="0061127A" w:rsidP="0061127A">
            <w:pPr>
              <w:ind w:right="646"/>
              <w:rPr>
                <w:rFonts w:ascii="Cambria" w:hAnsi="Cambria"/>
                <w:color w:val="000000"/>
                <w:sz w:val="20"/>
                <w:szCs w:val="20"/>
              </w:rPr>
            </w:pPr>
            <w:r w:rsidRPr="0061127A">
              <w:rPr>
                <w:rFonts w:ascii="Cambria" w:hAnsi="Cambria"/>
                <w:color w:val="000000"/>
                <w:sz w:val="20"/>
                <w:szCs w:val="20"/>
              </w:rPr>
              <w:t> </w:t>
            </w:r>
          </w:p>
        </w:tc>
        <w:tc>
          <w:tcPr>
            <w:tcW w:w="5103" w:type="dxa"/>
            <w:shd w:val="clear" w:color="auto" w:fill="auto"/>
            <w:vAlign w:val="bottom"/>
            <w:hideMark/>
          </w:tcPr>
          <w:p w:rsidR="0061127A" w:rsidRPr="0061127A" w:rsidRDefault="0061127A" w:rsidP="0061127A">
            <w:pPr>
              <w:jc w:val="center"/>
              <w:rPr>
                <w:rFonts w:ascii="Cambria" w:hAnsi="Cambria"/>
                <w:color w:val="000000"/>
                <w:sz w:val="20"/>
                <w:szCs w:val="20"/>
              </w:rPr>
            </w:pPr>
            <w:r w:rsidRPr="0061127A">
              <w:rPr>
                <w:rFonts w:ascii="Cambria" w:hAnsi="Cambria"/>
                <w:color w:val="000000"/>
                <w:sz w:val="20"/>
                <w:szCs w:val="20"/>
              </w:rPr>
              <w:t>Отсутствует единое мнение о методах расчета прибыли предпринимателя</w:t>
            </w:r>
          </w:p>
        </w:tc>
      </w:tr>
      <w:tr w:rsidR="0061127A" w:rsidRPr="0061127A" w:rsidTr="00346D80">
        <w:trPr>
          <w:trHeight w:val="20"/>
          <w:jc w:val="center"/>
        </w:trPr>
        <w:tc>
          <w:tcPr>
            <w:tcW w:w="9356" w:type="dxa"/>
            <w:gridSpan w:val="2"/>
            <w:shd w:val="clear" w:color="000000" w:fill="D9D9D9"/>
            <w:vAlign w:val="bottom"/>
            <w:hideMark/>
          </w:tcPr>
          <w:tbl>
            <w:tblPr>
              <w:tblW w:w="0" w:type="auto"/>
              <w:tblBorders>
                <w:top w:val="nil"/>
                <w:left w:val="nil"/>
                <w:bottom w:val="nil"/>
                <w:right w:val="nil"/>
              </w:tblBorders>
              <w:tblLook w:val="0000" w:firstRow="0" w:lastRow="0" w:firstColumn="0" w:lastColumn="0" w:noHBand="0" w:noVBand="0"/>
            </w:tblPr>
            <w:tblGrid>
              <w:gridCol w:w="9140"/>
            </w:tblGrid>
            <w:tr w:rsidR="00666077" w:rsidRPr="00666077">
              <w:trPr>
                <w:trHeight w:val="1268"/>
              </w:trPr>
              <w:tc>
                <w:tcPr>
                  <w:tcW w:w="0" w:type="auto"/>
                </w:tcPr>
                <w:p w:rsidR="00666077" w:rsidRPr="00666077" w:rsidRDefault="00666077" w:rsidP="00666077">
                  <w:pPr>
                    <w:jc w:val="center"/>
                    <w:rPr>
                      <w:rFonts w:ascii="Cambria" w:hAnsi="Cambria"/>
                      <w:color w:val="000000"/>
                      <w:sz w:val="20"/>
                      <w:szCs w:val="20"/>
                    </w:rPr>
                  </w:pPr>
                  <w:r w:rsidRPr="00666077">
                    <w:rPr>
                      <w:rFonts w:ascii="Cambria" w:hAnsi="Cambria"/>
                      <w:color w:val="000000"/>
                      <w:sz w:val="20"/>
                      <w:szCs w:val="20"/>
                    </w:rPr>
                    <w:t xml:space="preserve">Оценщик считает целесообразным провести расчёты с использованием методики Лейфера Л.А., научного руководителя ЗАО "Приволжский Центр финансового консалтинга и оценки" , кандидата технических наук, Член-корреспондент Российской Академии Проблем Качества, Вице-президента РОО, руководитель Комитета по информационно-аналитическому обеспечению, Член Президиума Экспертного Совета РОО, Председателя Правления Нижегородского областного отделения Общероссийской общественной организации "Российское общество оценщиков", научного консультанта по программе профессиональной подготовки по оценочной деятельности при Нижегородском Государственном Университете им. Лобачевского Н.И </w:t>
                  </w:r>
                </w:p>
              </w:tc>
            </w:tr>
          </w:tbl>
          <w:p w:rsidR="0061127A" w:rsidRPr="0061127A" w:rsidRDefault="0061127A" w:rsidP="0061127A">
            <w:pPr>
              <w:jc w:val="center"/>
              <w:rPr>
                <w:rFonts w:ascii="Cambria" w:hAnsi="Cambria"/>
                <w:color w:val="000000"/>
                <w:sz w:val="20"/>
                <w:szCs w:val="20"/>
              </w:rPr>
            </w:pPr>
          </w:p>
        </w:tc>
      </w:tr>
    </w:tbl>
    <w:p w:rsidR="0061127A" w:rsidRPr="0061127A" w:rsidRDefault="0061127A" w:rsidP="0061127A">
      <w:pPr>
        <w:spacing w:before="120"/>
        <w:ind w:firstLine="709"/>
        <w:jc w:val="both"/>
        <w:rPr>
          <w:rFonts w:asciiTheme="majorHAnsi" w:eastAsiaTheme="minorHAnsi" w:hAnsiTheme="majorHAnsi" w:cstheme="minorBidi"/>
          <w:sz w:val="20"/>
          <w:lang w:eastAsia="en-US"/>
        </w:rPr>
      </w:pPr>
      <w:r w:rsidRPr="0061127A">
        <w:rPr>
          <w:rFonts w:asciiTheme="majorHAnsi" w:eastAsiaTheme="minorHAnsi" w:hAnsiTheme="majorHAnsi" w:cstheme="minorBidi"/>
          <w:sz w:val="20"/>
          <w:lang w:eastAsia="en-US"/>
        </w:rPr>
        <w:t>Предпринимательский доход является фактором вознаграждения участников строительства за риск строительства объекта и отражает рыночно обоснованную величину, которую участник строительства рассчитывает получить сверх всех затрат (материалы + труд + управление) в качестве вознаграждения за свою деятельность, а так же степень риска, связанные с реализацией строительного проекта.</w:t>
      </w:r>
    </w:p>
    <w:p w:rsidR="0061127A" w:rsidRPr="0061127A" w:rsidRDefault="0061127A" w:rsidP="0061127A">
      <w:pPr>
        <w:spacing w:before="120"/>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lastRenderedPageBreak/>
        <w:t>Состав прямых участников инвестиционного процесса, непосредственно связанных с осуществлением проекта, – это инвестор, заказчик и подрядчик.</w:t>
      </w:r>
    </w:p>
    <w:p w:rsidR="0061127A" w:rsidRPr="0061127A" w:rsidRDefault="0061127A" w:rsidP="0061127A">
      <w:pPr>
        <w:spacing w:before="120"/>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b/>
          <w:sz w:val="20"/>
          <w:szCs w:val="22"/>
          <w:lang w:eastAsia="en-US"/>
        </w:rPr>
        <w:t>Инвестор</w:t>
      </w:r>
      <w:r w:rsidRPr="0061127A">
        <w:rPr>
          <w:rFonts w:asciiTheme="majorHAnsi" w:eastAsiaTheme="minorHAnsi" w:hAnsiTheme="majorHAnsi" w:cstheme="minorBidi"/>
          <w:sz w:val="20"/>
          <w:szCs w:val="22"/>
          <w:lang w:eastAsia="en-US"/>
        </w:rPr>
        <w:t xml:space="preserve"> — это участник инвестиционного проекта, вкладывающий в него собственные или иные средства и получающий на него право собственности, которое может быть реализовано в виде последующего пользования, сдачи в аренду или продажи.</w:t>
      </w:r>
    </w:p>
    <w:p w:rsidR="0061127A" w:rsidRPr="0061127A" w:rsidRDefault="0061127A" w:rsidP="0061127A">
      <w:pPr>
        <w:spacing w:before="120"/>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b/>
          <w:sz w:val="20"/>
          <w:szCs w:val="22"/>
          <w:lang w:eastAsia="en-US"/>
        </w:rPr>
        <w:t>Заказчик</w:t>
      </w:r>
      <w:r w:rsidRPr="0061127A">
        <w:rPr>
          <w:rFonts w:asciiTheme="majorHAnsi" w:eastAsiaTheme="minorHAnsi" w:hAnsiTheme="majorHAnsi" w:cstheme="minorBidi"/>
          <w:sz w:val="20"/>
          <w:szCs w:val="22"/>
          <w:lang w:eastAsia="en-US"/>
        </w:rPr>
        <w:t xml:space="preserve"> (девелопер) — это посредник между инвестором и другими участниками инвестиционного процесса (подрядчиками, проектировщиками, поставщиками оборудования, строительных материалов и др.).</w:t>
      </w:r>
    </w:p>
    <w:p w:rsidR="0061127A" w:rsidRPr="0061127A" w:rsidRDefault="0061127A" w:rsidP="0061127A">
      <w:pPr>
        <w:spacing w:before="120"/>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t>Заказчик выполняет координирующие и надзирающие функции.</w:t>
      </w:r>
    </w:p>
    <w:p w:rsidR="0061127A" w:rsidRPr="0061127A" w:rsidRDefault="0061127A" w:rsidP="0061127A">
      <w:pPr>
        <w:spacing w:before="120"/>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b/>
          <w:sz w:val="20"/>
          <w:szCs w:val="22"/>
          <w:lang w:eastAsia="en-US"/>
        </w:rPr>
        <w:t>Подрядчик</w:t>
      </w:r>
      <w:r w:rsidRPr="0061127A">
        <w:rPr>
          <w:rFonts w:asciiTheme="majorHAnsi" w:eastAsiaTheme="minorHAnsi" w:hAnsiTheme="majorHAnsi" w:cstheme="minorBidi"/>
          <w:sz w:val="20"/>
          <w:szCs w:val="22"/>
          <w:lang w:eastAsia="en-US"/>
        </w:rPr>
        <w:t xml:space="preserve"> — это строительная либо посредническая организация, отвечающая за выполнение объема строительно,  монтажных работ в полном соответствии с проектом за договорную сумму.</w:t>
      </w:r>
    </w:p>
    <w:p w:rsidR="0061127A" w:rsidRPr="0061127A" w:rsidRDefault="0061127A" w:rsidP="0061127A">
      <w:pPr>
        <w:spacing w:before="120"/>
        <w:ind w:firstLine="709"/>
        <w:jc w:val="both"/>
        <w:rPr>
          <w:rFonts w:asciiTheme="majorHAnsi" w:eastAsiaTheme="minorHAnsi" w:hAnsiTheme="majorHAnsi" w:cstheme="minorBidi"/>
          <w:sz w:val="20"/>
          <w:lang w:eastAsia="en-US"/>
        </w:rPr>
      </w:pPr>
      <w:r w:rsidRPr="0061127A">
        <w:rPr>
          <w:rFonts w:asciiTheme="majorHAnsi" w:eastAsiaTheme="minorHAnsi" w:hAnsiTheme="majorHAnsi" w:cstheme="minorBidi"/>
          <w:sz w:val="20"/>
          <w:lang w:eastAsia="en-US"/>
        </w:rPr>
        <w:t xml:space="preserve">Расходы, связанные со строительством объекта, включенные в состав полной восстановительной стоимости объекта включают все затраты, включая затраты, связанные с ведением подрядных работ, в том числе прибыль участника строительства - подрядчика. </w:t>
      </w:r>
    </w:p>
    <w:p w:rsidR="0061127A" w:rsidRPr="0061127A" w:rsidRDefault="0061127A" w:rsidP="0061127A">
      <w:pPr>
        <w:spacing w:before="120"/>
        <w:ind w:firstLine="709"/>
        <w:jc w:val="both"/>
        <w:rPr>
          <w:rFonts w:asciiTheme="majorHAnsi" w:eastAsiaTheme="minorHAnsi" w:hAnsiTheme="majorHAnsi" w:cstheme="minorBidi"/>
          <w:sz w:val="20"/>
          <w:lang w:eastAsia="en-US"/>
        </w:rPr>
      </w:pPr>
      <w:r w:rsidRPr="0061127A">
        <w:rPr>
          <w:rFonts w:asciiTheme="majorHAnsi" w:eastAsiaTheme="minorHAnsi" w:hAnsiTheme="majorHAnsi" w:cstheme="minorBidi"/>
          <w:sz w:val="20"/>
          <w:lang w:eastAsia="en-US"/>
        </w:rPr>
        <w:t>Величина полной восстановительной стоимости должна быть увеличена на сумму предпринимательского дохода, включающего прибыль п</w:t>
      </w:r>
      <w:r w:rsidRPr="0061127A">
        <w:rPr>
          <w:rFonts w:asciiTheme="majorHAnsi" w:eastAsia="TimesNewRoman" w:hAnsiTheme="majorHAnsi" w:cstheme="minorBidi"/>
          <w:sz w:val="20"/>
          <w:lang w:eastAsia="en-US"/>
        </w:rPr>
        <w:t xml:space="preserve">редпринимателя </w:t>
      </w:r>
      <w:r w:rsidRPr="0061127A">
        <w:rPr>
          <w:rFonts w:asciiTheme="majorHAnsi" w:eastAsia="TimesNewRoman" w:hAnsiTheme="majorHAnsi" w:cstheme="minorBidi"/>
          <w:i/>
          <w:iCs/>
          <w:sz w:val="20"/>
          <w:lang w:eastAsia="en-US"/>
        </w:rPr>
        <w:t>(</w:t>
      </w:r>
      <w:r w:rsidRPr="0061127A">
        <w:rPr>
          <w:rFonts w:asciiTheme="majorHAnsi" w:eastAsia="TimesNewRoman" w:hAnsiTheme="majorHAnsi" w:cstheme="minorBidi"/>
          <w:sz w:val="20"/>
          <w:lang w:eastAsia="en-US"/>
        </w:rPr>
        <w:t>девелопера), определяемую как требуемый доход на вложенный в инвестиционный проект капитал (в том числе заемные средства) с учетом рисков и сроков его реализации</w:t>
      </w:r>
      <w:r w:rsidRPr="0061127A">
        <w:rPr>
          <w:rFonts w:asciiTheme="majorHAnsi" w:eastAsiaTheme="minorHAnsi" w:hAnsiTheme="majorHAnsi" w:cstheme="minorBidi"/>
          <w:sz w:val="20"/>
          <w:lang w:eastAsia="en-US"/>
        </w:rPr>
        <w:t>. Таким образом прибыль предпринимателя в целях настоящего Отчета может приниматься в качестве прибыли предпринимателя – девелопера (заказчика) и предпринимателя – инвестора.</w:t>
      </w:r>
    </w:p>
    <w:p w:rsidR="0061127A" w:rsidRPr="0061127A" w:rsidRDefault="0061127A" w:rsidP="0061127A">
      <w:pPr>
        <w:autoSpaceDE w:val="0"/>
        <w:autoSpaceDN w:val="0"/>
        <w:adjustRightInd w:val="0"/>
        <w:spacing w:before="120"/>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t>Реально инвестор может брать на себя функции заказчика и наоборот.</w:t>
      </w:r>
    </w:p>
    <w:p w:rsidR="0061127A" w:rsidRPr="0061127A" w:rsidRDefault="0061127A" w:rsidP="0061127A">
      <w:pPr>
        <w:autoSpaceDE w:val="0"/>
        <w:autoSpaceDN w:val="0"/>
        <w:adjustRightInd w:val="0"/>
        <w:spacing w:before="120"/>
        <w:ind w:firstLine="709"/>
        <w:jc w:val="both"/>
        <w:rPr>
          <w:rFonts w:asciiTheme="majorHAnsi" w:eastAsia="TimesNewRoman" w:hAnsiTheme="majorHAnsi" w:cstheme="minorBidi"/>
          <w:sz w:val="20"/>
          <w:lang w:eastAsia="en-US"/>
        </w:rPr>
      </w:pPr>
      <w:r w:rsidRPr="0061127A">
        <w:rPr>
          <w:rFonts w:asciiTheme="majorHAnsi" w:eastAsiaTheme="minorHAnsi" w:hAnsiTheme="majorHAnsi" w:cstheme="minorBidi"/>
          <w:sz w:val="20"/>
          <w:szCs w:val="22"/>
          <w:lang w:eastAsia="en-US"/>
        </w:rPr>
        <w:t xml:space="preserve"> Девелопер может строить</w:t>
      </w:r>
      <w:r w:rsidRPr="0061127A">
        <w:rPr>
          <w:rFonts w:asciiTheme="majorHAnsi" w:eastAsia="TimesNewRoman" w:hAnsiTheme="majorHAnsi" w:cs="TimesNewRoman"/>
          <w:sz w:val="20"/>
          <w:lang w:eastAsia="en-US"/>
        </w:rPr>
        <w:t xml:space="preserve"> </w:t>
      </w:r>
      <w:r w:rsidRPr="0061127A">
        <w:rPr>
          <w:rFonts w:asciiTheme="majorHAnsi" w:eastAsia="TimesNewRoman" w:hAnsiTheme="majorHAnsi" w:cstheme="minorBidi"/>
          <w:sz w:val="20"/>
          <w:lang w:eastAsia="en-US"/>
        </w:rPr>
        <w:t>то, что:</w:t>
      </w:r>
    </w:p>
    <w:p w:rsidR="0061127A" w:rsidRPr="0061127A" w:rsidRDefault="0061127A" w:rsidP="0061127A">
      <w:pPr>
        <w:autoSpaceDE w:val="0"/>
        <w:autoSpaceDN w:val="0"/>
        <w:adjustRightInd w:val="0"/>
        <w:spacing w:before="120"/>
        <w:ind w:firstLine="709"/>
        <w:jc w:val="both"/>
        <w:rPr>
          <w:rFonts w:asciiTheme="majorHAnsi" w:eastAsia="TimesNewRoman" w:hAnsiTheme="majorHAnsi" w:cstheme="minorBidi"/>
          <w:sz w:val="20"/>
          <w:lang w:eastAsia="en-US"/>
        </w:rPr>
      </w:pPr>
      <w:r w:rsidRPr="0061127A">
        <w:rPr>
          <w:rFonts w:asciiTheme="majorHAnsi" w:eastAsia="TimesNewRoman" w:hAnsiTheme="majorHAnsi" w:cstheme="minorBidi"/>
          <w:sz w:val="20"/>
          <w:lang w:eastAsia="en-US"/>
        </w:rPr>
        <w:t xml:space="preserve">А)  по его мнению, будет востребовано на рынке через 3-5 лет; </w:t>
      </w:r>
    </w:p>
    <w:p w:rsidR="0061127A" w:rsidRPr="0061127A" w:rsidRDefault="0061127A" w:rsidP="0061127A">
      <w:pPr>
        <w:autoSpaceDE w:val="0"/>
        <w:autoSpaceDN w:val="0"/>
        <w:adjustRightInd w:val="0"/>
        <w:spacing w:before="120"/>
        <w:ind w:firstLine="709"/>
        <w:jc w:val="both"/>
        <w:rPr>
          <w:rFonts w:asciiTheme="majorHAnsi" w:eastAsia="Calibri" w:hAnsiTheme="majorHAnsi" w:cstheme="minorBidi"/>
          <w:sz w:val="20"/>
          <w:szCs w:val="22"/>
          <w:lang w:eastAsia="en-US"/>
        </w:rPr>
      </w:pPr>
      <w:r w:rsidRPr="0061127A">
        <w:rPr>
          <w:rFonts w:asciiTheme="majorHAnsi" w:eastAsia="TimesNewRoman" w:hAnsiTheme="majorHAnsi" w:cstheme="minorBidi"/>
          <w:sz w:val="20"/>
          <w:lang w:eastAsia="en-US"/>
        </w:rPr>
        <w:t xml:space="preserve">Б) </w:t>
      </w:r>
      <w:r w:rsidRPr="0061127A">
        <w:rPr>
          <w:rFonts w:asciiTheme="majorHAnsi" w:eastAsiaTheme="minorHAnsi" w:hAnsiTheme="majorHAnsi" w:cstheme="minorBidi"/>
          <w:sz w:val="20"/>
          <w:szCs w:val="22"/>
          <w:lang w:eastAsia="en-US"/>
        </w:rPr>
        <w:t>по гарантированным заказам</w:t>
      </w:r>
      <w:r w:rsidRPr="0061127A">
        <w:rPr>
          <w:rFonts w:asciiTheme="majorHAnsi" w:eastAsia="TimesNewRoman" w:hAnsiTheme="majorHAnsi" w:cs="TimesNewRoman"/>
          <w:sz w:val="20"/>
          <w:lang w:eastAsia="en-US"/>
        </w:rPr>
        <w:t xml:space="preserve"> (</w:t>
      </w:r>
      <w:r w:rsidRPr="0061127A">
        <w:rPr>
          <w:rFonts w:asciiTheme="majorHAnsi" w:eastAsia="TimesNewRoman" w:hAnsiTheme="majorHAnsi" w:cstheme="minorBidi"/>
          <w:sz w:val="20"/>
          <w:lang w:eastAsia="en-US"/>
        </w:rPr>
        <w:t>в этом случае он превращается в технического заказчика или генподрядчика);</w:t>
      </w:r>
      <w:r w:rsidRPr="0061127A">
        <w:rPr>
          <w:rFonts w:asciiTheme="majorHAnsi" w:eastAsiaTheme="minorHAnsi" w:hAnsiTheme="majorHAnsi" w:cstheme="minorBidi"/>
          <w:sz w:val="20"/>
          <w:szCs w:val="22"/>
          <w:lang w:eastAsia="en-US"/>
        </w:rPr>
        <w:t xml:space="preserve"> </w:t>
      </w:r>
    </w:p>
    <w:p w:rsidR="0061127A" w:rsidRPr="0061127A" w:rsidRDefault="0061127A" w:rsidP="0061127A">
      <w:pPr>
        <w:autoSpaceDE w:val="0"/>
        <w:autoSpaceDN w:val="0"/>
        <w:adjustRightInd w:val="0"/>
        <w:spacing w:before="120"/>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t>В) кроме того организации могут вести строительство для собственных нужд.</w:t>
      </w:r>
    </w:p>
    <w:p w:rsidR="0061127A" w:rsidRPr="0061127A" w:rsidRDefault="0061127A" w:rsidP="0061127A">
      <w:pPr>
        <w:autoSpaceDE w:val="0"/>
        <w:autoSpaceDN w:val="0"/>
        <w:adjustRightInd w:val="0"/>
        <w:spacing w:before="120"/>
        <w:ind w:firstLine="709"/>
        <w:jc w:val="both"/>
        <w:rPr>
          <w:rFonts w:asciiTheme="majorHAnsi" w:eastAsia="TimesNewRoman" w:hAnsiTheme="majorHAnsi" w:cstheme="minorBidi"/>
          <w:sz w:val="20"/>
          <w:lang w:eastAsia="en-US"/>
        </w:rPr>
      </w:pPr>
      <w:r w:rsidRPr="0061127A">
        <w:rPr>
          <w:rFonts w:asciiTheme="majorHAnsi" w:eastAsia="TimesNewRoman" w:hAnsiTheme="majorHAnsi" w:cstheme="minorBidi"/>
          <w:sz w:val="20"/>
          <w:lang w:eastAsia="en-US"/>
        </w:rPr>
        <w:t>Если девелопер правильно прогнозирует рынок, то получает хорошую прибыль, не сопоставимую с гонораром за организацию строительства при гарантированной оплате. А если нет – то несет убытки (как это сегодня происходит со многими девелоперами в условиях кризиса). При этом финансирование проекта девелопмента он организует сам. Вначале привлекая самый рискованный собственный капитал проекта (собственные средства, средства друзей, знакомых и высокорискованных инвесторов), затем банковский строительный кредит при гарантии реинвестирования его долгосрочным кредитом по завершении проекта или другие финансовые инструменты.</w:t>
      </w:r>
    </w:p>
    <w:p w:rsidR="0061127A" w:rsidRPr="0061127A" w:rsidRDefault="0061127A" w:rsidP="0061127A">
      <w:pPr>
        <w:autoSpaceDE w:val="0"/>
        <w:autoSpaceDN w:val="0"/>
        <w:adjustRightInd w:val="0"/>
        <w:spacing w:before="120"/>
        <w:ind w:firstLine="709"/>
        <w:jc w:val="both"/>
        <w:rPr>
          <w:rFonts w:asciiTheme="majorHAnsi" w:eastAsia="TimesNewRoman" w:hAnsiTheme="majorHAnsi" w:cstheme="minorBidi"/>
          <w:sz w:val="20"/>
          <w:lang w:eastAsia="en-US"/>
        </w:rPr>
      </w:pPr>
      <w:r w:rsidRPr="0061127A">
        <w:rPr>
          <w:rFonts w:asciiTheme="majorHAnsi" w:eastAsia="TimesNewRoman" w:hAnsiTheme="majorHAnsi" w:cstheme="minorBidi"/>
          <w:sz w:val="20"/>
          <w:lang w:eastAsia="en-US"/>
        </w:rPr>
        <w:t>Упрощенный схематичный механизм получения прибыли девелопера при реализации жилищного проекта показан на рисунке:</w:t>
      </w:r>
    </w:p>
    <w:p w:rsidR="0061127A" w:rsidRPr="0061127A" w:rsidRDefault="0061127A" w:rsidP="00346D80">
      <w:pPr>
        <w:jc w:val="center"/>
        <w:rPr>
          <w:rFonts w:eastAsia="Calibri" w:cstheme="minorBidi"/>
        </w:rPr>
      </w:pPr>
      <w:r w:rsidRPr="0061127A">
        <w:rPr>
          <w:rFonts w:asciiTheme="majorHAnsi" w:eastAsiaTheme="minorHAnsi" w:hAnsiTheme="majorHAnsi" w:cstheme="minorBidi"/>
          <w:noProof/>
          <w:sz w:val="20"/>
          <w:szCs w:val="22"/>
        </w:rPr>
        <w:drawing>
          <wp:inline distT="0" distB="0" distL="0" distR="0" wp14:anchorId="7C39DB10" wp14:editId="5295DED6">
            <wp:extent cx="5538929" cy="3027872"/>
            <wp:effectExtent l="0" t="0" r="0" b="0"/>
            <wp:docPr id="59" name="Рисунок 5" descr="Описание: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Описание: 12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545698" cy="3031572"/>
                    </a:xfrm>
                    <a:prstGeom prst="rect">
                      <a:avLst/>
                    </a:prstGeom>
                    <a:noFill/>
                    <a:ln>
                      <a:noFill/>
                    </a:ln>
                  </pic:spPr>
                </pic:pic>
              </a:graphicData>
            </a:graphic>
          </wp:inline>
        </w:drawing>
      </w:r>
    </w:p>
    <w:p w:rsidR="0061127A" w:rsidRPr="0061127A" w:rsidRDefault="00666077" w:rsidP="00346D80">
      <w:pPr>
        <w:numPr>
          <w:ilvl w:val="1"/>
          <w:numId w:val="0"/>
        </w:numPr>
        <w:spacing w:before="120" w:after="120"/>
        <w:jc w:val="center"/>
        <w:rPr>
          <w:rFonts w:ascii="Cambria" w:eastAsiaTheme="majorEastAsia" w:hAnsi="Cambria" w:cstheme="majorBidi"/>
          <w:b/>
          <w:iCs/>
          <w:smallCaps/>
          <w:color w:val="000000" w:themeColor="text1"/>
          <w:spacing w:val="15"/>
          <w:sz w:val="22"/>
          <w:u w:val="single"/>
          <w:lang w:eastAsia="en-US"/>
        </w:rPr>
      </w:pPr>
      <w:r>
        <w:rPr>
          <w:rFonts w:ascii="Cambria" w:eastAsiaTheme="majorEastAsia" w:hAnsi="Cambria" w:cstheme="majorBidi"/>
          <w:b/>
          <w:iCs/>
          <w:smallCaps/>
          <w:color w:val="000000" w:themeColor="text1"/>
          <w:spacing w:val="15"/>
          <w:sz w:val="22"/>
          <w:u w:val="single"/>
          <w:lang w:eastAsia="en-US"/>
        </w:rPr>
        <w:lastRenderedPageBreak/>
        <w:br/>
      </w:r>
      <w:r w:rsidR="0061127A" w:rsidRPr="0061127A">
        <w:rPr>
          <w:rFonts w:ascii="Cambria" w:eastAsiaTheme="majorEastAsia" w:hAnsi="Cambria" w:cstheme="majorBidi"/>
          <w:b/>
          <w:iCs/>
          <w:smallCaps/>
          <w:color w:val="000000" w:themeColor="text1"/>
          <w:spacing w:val="15"/>
          <w:sz w:val="22"/>
          <w:u w:val="single"/>
          <w:lang w:eastAsia="en-US"/>
        </w:rPr>
        <w:t>Расчет всех видов износа.</w:t>
      </w:r>
    </w:p>
    <w:p w:rsidR="0061127A" w:rsidRPr="0061127A" w:rsidRDefault="0061127A" w:rsidP="0061127A">
      <w:pPr>
        <w:spacing w:before="120"/>
        <w:ind w:firstLine="709"/>
        <w:jc w:val="both"/>
        <w:rPr>
          <w:rFonts w:ascii="Cambria" w:eastAsiaTheme="minorHAnsi" w:hAnsi="Cambria" w:cstheme="minorBidi"/>
          <w:sz w:val="20"/>
          <w:szCs w:val="22"/>
          <w:lang w:eastAsia="en-US"/>
        </w:rPr>
      </w:pPr>
      <w:r w:rsidRPr="0061127A">
        <w:rPr>
          <w:rFonts w:asciiTheme="majorHAnsi" w:eastAsiaTheme="minorHAnsi" w:hAnsiTheme="majorHAnsi" w:cstheme="minorBidi"/>
          <w:sz w:val="20"/>
          <w:szCs w:val="22"/>
          <w:lang w:eastAsia="en-US"/>
        </w:rPr>
        <w:t>Накопленный износ включает в себя три вида износа, а именно:</w:t>
      </w:r>
    </w:p>
    <w:p w:rsidR="0061127A" w:rsidRPr="0061127A" w:rsidRDefault="0061127A" w:rsidP="0090764B">
      <w:pPr>
        <w:numPr>
          <w:ilvl w:val="0"/>
          <w:numId w:val="8"/>
        </w:numPr>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t>физический</w:t>
      </w:r>
    </w:p>
    <w:p w:rsidR="0061127A" w:rsidRPr="0061127A" w:rsidRDefault="0061127A" w:rsidP="0090764B">
      <w:pPr>
        <w:numPr>
          <w:ilvl w:val="0"/>
          <w:numId w:val="8"/>
        </w:numPr>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t>функциональный</w:t>
      </w:r>
    </w:p>
    <w:p w:rsidR="0061127A" w:rsidRPr="0061127A" w:rsidRDefault="0061127A" w:rsidP="0090764B">
      <w:pPr>
        <w:numPr>
          <w:ilvl w:val="0"/>
          <w:numId w:val="8"/>
        </w:numPr>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t>внешний (экономический)</w:t>
      </w:r>
    </w:p>
    <w:p w:rsidR="0061127A" w:rsidRPr="0061127A" w:rsidRDefault="0061127A" w:rsidP="0061127A">
      <w:pPr>
        <w:spacing w:before="120"/>
        <w:ind w:firstLine="709"/>
        <w:jc w:val="both"/>
        <w:rPr>
          <w:rFonts w:asciiTheme="majorHAnsi" w:hAnsiTheme="majorHAnsi" w:cstheme="minorBidi"/>
          <w:sz w:val="20"/>
          <w:lang w:eastAsia="en-US"/>
        </w:rPr>
      </w:pPr>
      <w:r w:rsidRPr="0061127A">
        <w:rPr>
          <w:rFonts w:asciiTheme="majorHAnsi" w:hAnsiTheme="majorHAnsi" w:cstheme="minorBidi"/>
          <w:i/>
          <w:iCs/>
          <w:sz w:val="20"/>
          <w:lang w:eastAsia="en-US"/>
        </w:rPr>
        <w:t>Износ</w:t>
      </w:r>
      <w:r w:rsidRPr="0061127A">
        <w:rPr>
          <w:rFonts w:asciiTheme="majorHAnsi" w:hAnsiTheme="majorHAnsi" w:cstheme="minorBidi"/>
          <w:sz w:val="20"/>
          <w:lang w:eastAsia="en-US"/>
        </w:rPr>
        <w:t xml:space="preserve"> — это уменьшение стоимости объекта недвижимости, обусловленное различными причинами. Износ обычно измеряют в процентах, а стоимостным выражением износа является обесценение. </w:t>
      </w:r>
    </w:p>
    <w:p w:rsidR="0061127A" w:rsidRPr="0061127A" w:rsidRDefault="0061127A" w:rsidP="0061127A">
      <w:pPr>
        <w:spacing w:before="120"/>
        <w:ind w:firstLine="709"/>
        <w:jc w:val="both"/>
        <w:rPr>
          <w:rFonts w:asciiTheme="majorHAnsi" w:hAnsiTheme="majorHAnsi" w:cstheme="minorBidi"/>
          <w:sz w:val="20"/>
          <w:lang w:eastAsia="en-US"/>
        </w:rPr>
      </w:pPr>
      <w:r w:rsidRPr="0061127A">
        <w:rPr>
          <w:rFonts w:asciiTheme="majorHAnsi" w:hAnsiTheme="majorHAnsi" w:cstheme="minorBidi"/>
          <w:sz w:val="20"/>
          <w:lang w:eastAsia="en-US"/>
        </w:rPr>
        <w:t xml:space="preserve">Накопленный (совокупный) износ объекта оценки — совокупность всех возможных видов износа, который характеризуется уменьшением полезности объекта недвижимости, его потребительской привлекательности с точки зрения потенциального инвестора и выражается в снижении со временем стоимости (обесценении) под воздействием различных факторов. По мере эксплуатации объекта постепенно ухудшаются параметры, характеризующие конструктивную надежность зданий и сооружений, а также их функциональное соответствие текущему и тем более будущему использованию, связанные с жизнедеятельностью человека. Кроме того, на стоимость недвижимости в не меньшей степени оказывают влияние и внешние факторы, обусловленные изменением рыночной среды, наложением ограничений на определенное использование зданий и т. д. </w:t>
      </w:r>
    </w:p>
    <w:p w:rsidR="0061127A" w:rsidRPr="0061127A" w:rsidRDefault="0061127A" w:rsidP="0061127A">
      <w:pPr>
        <w:spacing w:before="120"/>
        <w:ind w:firstLine="709"/>
        <w:jc w:val="both"/>
        <w:rPr>
          <w:rFonts w:asciiTheme="majorHAnsi" w:hAnsiTheme="majorHAnsi" w:cstheme="minorBidi"/>
          <w:sz w:val="20"/>
          <w:lang w:eastAsia="en-US"/>
        </w:rPr>
      </w:pPr>
      <w:r w:rsidRPr="0061127A">
        <w:rPr>
          <w:rFonts w:asciiTheme="majorHAnsi" w:hAnsiTheme="majorHAnsi" w:cstheme="minorBidi"/>
          <w:sz w:val="20"/>
          <w:lang w:eastAsia="en-US"/>
        </w:rPr>
        <w:t xml:space="preserve">Износ в оценочной практике необходимо отличать по смыслу от подобного термина, используемого в бухгалтерском учете (начисление износа). Оценочный износ — один из основных параметров, позволяющих рассчитать текущую стоимость объекта оценки на конкретную дату. </w:t>
      </w:r>
    </w:p>
    <w:p w:rsidR="0061127A" w:rsidRPr="0061127A" w:rsidRDefault="0061127A" w:rsidP="0061127A">
      <w:pPr>
        <w:spacing w:before="120"/>
        <w:ind w:firstLine="709"/>
        <w:jc w:val="both"/>
        <w:rPr>
          <w:rFonts w:asciiTheme="majorHAnsi" w:hAnsiTheme="majorHAnsi" w:cstheme="minorBidi"/>
          <w:sz w:val="20"/>
          <w:lang w:eastAsia="en-US"/>
        </w:rPr>
      </w:pPr>
      <w:r w:rsidRPr="0061127A">
        <w:rPr>
          <w:rFonts w:asciiTheme="majorHAnsi" w:hAnsiTheme="majorHAnsi" w:cstheme="minorBidi"/>
          <w:sz w:val="20"/>
          <w:lang w:eastAsia="en-US"/>
        </w:rPr>
        <w:t xml:space="preserve">Таким образом, учет износа объекта — это своего рода корректировка стоимости вновь воспроизведенного здания (воспроизведенного с помощью затратного подхода) для того, чтобы определить стоимость оцениваемого объекта. </w:t>
      </w:r>
    </w:p>
    <w:p w:rsidR="0061127A" w:rsidRPr="0061127A" w:rsidRDefault="0061127A" w:rsidP="0061127A">
      <w:pPr>
        <w:spacing w:before="120"/>
        <w:ind w:firstLine="709"/>
        <w:jc w:val="both"/>
        <w:rPr>
          <w:rFonts w:asciiTheme="majorHAnsi" w:hAnsiTheme="majorHAnsi" w:cstheme="minorBidi"/>
          <w:sz w:val="20"/>
          <w:lang w:eastAsia="en-US"/>
        </w:rPr>
      </w:pPr>
      <w:r w:rsidRPr="0061127A">
        <w:rPr>
          <w:rFonts w:asciiTheme="majorHAnsi" w:hAnsiTheme="majorHAnsi" w:cstheme="minorBidi"/>
          <w:sz w:val="20"/>
          <w:lang w:eastAsia="en-US"/>
        </w:rPr>
        <w:t xml:space="preserve">Совокупный накопленный износ является функцией времени жизни объекта. Рассмотрим основные оценочные понятия, характеризующие этот показатель (рис. 1). </w:t>
      </w:r>
    </w:p>
    <w:p w:rsidR="0061127A" w:rsidRPr="0061127A" w:rsidRDefault="0061127A" w:rsidP="0061127A">
      <w:pPr>
        <w:spacing w:before="100" w:beforeAutospacing="1" w:after="100" w:afterAutospacing="1"/>
        <w:jc w:val="center"/>
        <w:rPr>
          <w:rFonts w:asciiTheme="majorHAnsi" w:hAnsiTheme="majorHAnsi" w:cstheme="minorBidi"/>
          <w:sz w:val="20"/>
          <w:lang w:eastAsia="en-US"/>
        </w:rPr>
      </w:pPr>
      <w:r w:rsidRPr="0061127A">
        <w:rPr>
          <w:rFonts w:asciiTheme="majorHAnsi" w:hAnsiTheme="majorHAnsi" w:cstheme="minorBidi"/>
          <w:noProof/>
          <w:sz w:val="20"/>
        </w:rPr>
        <w:drawing>
          <wp:inline distT="0" distB="0" distL="0" distR="0" wp14:anchorId="5A92927B" wp14:editId="440A5140">
            <wp:extent cx="5410200" cy="2202180"/>
            <wp:effectExtent l="0" t="0" r="0" b="7620"/>
            <wp:docPr id="60" name="Рисунок 17" descr="Описание: http://www.cfin.ru/appraisal/realty/expenditure_realestate_valuation-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Описание: http://www.cfin.ru/appraisal/realty/expenditure_realestate_valuation-06.gif"/>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10200" cy="2202180"/>
                    </a:xfrm>
                    <a:prstGeom prst="rect">
                      <a:avLst/>
                    </a:prstGeom>
                    <a:noFill/>
                    <a:ln>
                      <a:noFill/>
                    </a:ln>
                  </pic:spPr>
                </pic:pic>
              </a:graphicData>
            </a:graphic>
          </wp:inline>
        </w:drawing>
      </w:r>
      <w:r w:rsidRPr="0061127A">
        <w:rPr>
          <w:rFonts w:asciiTheme="majorHAnsi" w:hAnsiTheme="majorHAnsi" w:cstheme="minorBidi"/>
          <w:sz w:val="20"/>
          <w:lang w:eastAsia="en-US"/>
        </w:rPr>
        <w:br/>
      </w:r>
      <w:r w:rsidRPr="0061127A">
        <w:rPr>
          <w:rFonts w:asciiTheme="majorHAnsi" w:hAnsiTheme="majorHAnsi" w:cstheme="minorBidi"/>
          <w:i/>
          <w:iCs/>
          <w:sz w:val="20"/>
          <w:lang w:eastAsia="en-US"/>
        </w:rPr>
        <w:t>Рис. 1. Периоды жизни здания и характеризующие их оценочные показатели</w:t>
      </w:r>
    </w:p>
    <w:p w:rsidR="0061127A" w:rsidRPr="0061127A" w:rsidRDefault="0061127A" w:rsidP="0061127A">
      <w:pPr>
        <w:spacing w:before="120"/>
        <w:ind w:firstLine="709"/>
        <w:jc w:val="both"/>
        <w:rPr>
          <w:rFonts w:asciiTheme="majorHAnsi" w:hAnsiTheme="majorHAnsi" w:cstheme="minorBidi"/>
          <w:sz w:val="20"/>
          <w:lang w:eastAsia="en-US"/>
        </w:rPr>
      </w:pPr>
      <w:r w:rsidRPr="0061127A">
        <w:rPr>
          <w:rFonts w:asciiTheme="majorHAnsi" w:hAnsiTheme="majorHAnsi" w:cstheme="minorBidi"/>
          <w:i/>
          <w:iCs/>
          <w:sz w:val="20"/>
          <w:lang w:eastAsia="en-US"/>
        </w:rPr>
        <w:t>Физическая жизнь здания (ФЖ)</w:t>
      </w:r>
      <w:r w:rsidRPr="0061127A">
        <w:rPr>
          <w:rFonts w:asciiTheme="majorHAnsi" w:hAnsiTheme="majorHAnsi" w:cstheme="minorBidi"/>
          <w:sz w:val="20"/>
          <w:lang w:eastAsia="en-US"/>
        </w:rPr>
        <w:t xml:space="preserve"> — период эксплуатации здания, в течение которого состояние несущих конструктивных элементов здания соответствует определенным критериям (конструктивная надежность, физическая долговечность и т. п.). Срок физической жизни объекта закладывается при строительстве и зависит от группы капитальности зданий. Физическая жизнь заканчивается, когда объект сносится. </w:t>
      </w:r>
    </w:p>
    <w:p w:rsidR="0061127A" w:rsidRPr="0061127A" w:rsidRDefault="0061127A" w:rsidP="0061127A">
      <w:pPr>
        <w:spacing w:before="120"/>
        <w:ind w:firstLine="709"/>
        <w:jc w:val="both"/>
        <w:rPr>
          <w:rFonts w:asciiTheme="majorHAnsi" w:hAnsiTheme="majorHAnsi" w:cstheme="minorBidi"/>
          <w:sz w:val="20"/>
          <w:lang w:eastAsia="en-US"/>
        </w:rPr>
      </w:pPr>
      <w:r w:rsidRPr="0061127A">
        <w:rPr>
          <w:rFonts w:asciiTheme="majorHAnsi" w:hAnsiTheme="majorHAnsi" w:cstheme="minorBidi"/>
          <w:i/>
          <w:iCs/>
          <w:sz w:val="20"/>
          <w:lang w:eastAsia="en-US"/>
        </w:rPr>
        <w:t>Хронологический возраст (ХВ)</w:t>
      </w:r>
      <w:r w:rsidRPr="0061127A">
        <w:rPr>
          <w:rFonts w:asciiTheme="majorHAnsi" w:hAnsiTheme="majorHAnsi" w:cstheme="minorBidi"/>
          <w:sz w:val="20"/>
          <w:lang w:eastAsia="en-US"/>
        </w:rPr>
        <w:t xml:space="preserve"> — период времени, прошедший со дня ввода объекта в эксплуатацию до даты оценки. </w:t>
      </w:r>
    </w:p>
    <w:p w:rsidR="0061127A" w:rsidRPr="0061127A" w:rsidRDefault="0061127A" w:rsidP="0061127A">
      <w:pPr>
        <w:spacing w:before="120"/>
        <w:ind w:firstLine="709"/>
        <w:jc w:val="both"/>
        <w:rPr>
          <w:rFonts w:asciiTheme="majorHAnsi" w:hAnsiTheme="majorHAnsi" w:cstheme="minorBidi"/>
          <w:sz w:val="20"/>
          <w:szCs w:val="22"/>
          <w:lang w:eastAsia="en-US"/>
        </w:rPr>
      </w:pPr>
      <w:r w:rsidRPr="0061127A">
        <w:rPr>
          <w:rFonts w:asciiTheme="majorHAnsi" w:hAnsiTheme="majorHAnsi" w:cstheme="minorBidi"/>
          <w:i/>
          <w:iCs/>
          <w:sz w:val="20"/>
          <w:szCs w:val="22"/>
          <w:lang w:eastAsia="en-US"/>
        </w:rPr>
        <w:t>Экономическая жизнь (ЭЖ)</w:t>
      </w:r>
      <w:r w:rsidRPr="0061127A">
        <w:rPr>
          <w:rFonts w:asciiTheme="majorHAnsi" w:hAnsiTheme="majorHAnsi" w:cstheme="minorBidi"/>
          <w:sz w:val="20"/>
          <w:szCs w:val="22"/>
          <w:lang w:eastAsia="en-US"/>
        </w:rPr>
        <w:t xml:space="preserve"> — время эксплуатации, в течение которого объект приносит доход. В этот период проводимые улучшения вносят вклад в стоимость объекта. Экономическая жизнь объекта заканчивается, когда эксплуатация объекта не может принести доход, обозначенный соответствующей ставкой по сопоставимым объектам в данном сегменте рынка недвижимости. При этом проводимые улучшения уже не вносят вклад в стоимость объекта вследствие его общего износа. </w:t>
      </w:r>
    </w:p>
    <w:p w:rsidR="0061127A" w:rsidRPr="0061127A" w:rsidRDefault="0061127A" w:rsidP="0061127A">
      <w:pPr>
        <w:spacing w:before="120"/>
        <w:ind w:firstLine="709"/>
        <w:jc w:val="both"/>
        <w:rPr>
          <w:rFonts w:asciiTheme="majorHAnsi" w:hAnsiTheme="majorHAnsi" w:cstheme="minorBidi"/>
          <w:sz w:val="20"/>
          <w:szCs w:val="22"/>
          <w:lang w:eastAsia="en-US"/>
        </w:rPr>
      </w:pPr>
      <w:r w:rsidRPr="0061127A">
        <w:rPr>
          <w:rFonts w:asciiTheme="majorHAnsi" w:hAnsiTheme="majorHAnsi" w:cstheme="minorBidi"/>
          <w:i/>
          <w:iCs/>
          <w:sz w:val="20"/>
          <w:szCs w:val="22"/>
          <w:lang w:eastAsia="en-US"/>
        </w:rPr>
        <w:t>Эффективный возраст (ЭВ)</w:t>
      </w:r>
      <w:r w:rsidRPr="0061127A">
        <w:rPr>
          <w:rFonts w:asciiTheme="majorHAnsi" w:hAnsiTheme="majorHAnsi" w:cstheme="minorBidi"/>
          <w:sz w:val="20"/>
          <w:szCs w:val="22"/>
          <w:lang w:eastAsia="en-US"/>
        </w:rPr>
        <w:t xml:space="preserve"> рассчитывается на основе хронологического возраста здания с учетом его технического состояния и сложившихся на дату оценки экономических факторов, влияющих на </w:t>
      </w:r>
      <w:r w:rsidRPr="0061127A">
        <w:rPr>
          <w:rFonts w:asciiTheme="majorHAnsi" w:hAnsiTheme="majorHAnsi" w:cstheme="minorBidi"/>
          <w:sz w:val="20"/>
          <w:szCs w:val="22"/>
          <w:lang w:eastAsia="en-US"/>
        </w:rPr>
        <w:lastRenderedPageBreak/>
        <w:t>стоимость оцениваемого объекта. В зависимости от особенностей эксплуатации здания эффективный возраст может отличаться от хронологического возраста в большую или меньшую сторону. В случае нормальной (типичной) эксплуатации здания эффективный возраст, как правило, равен хронологическому.</w:t>
      </w:r>
    </w:p>
    <w:p w:rsidR="0061127A" w:rsidRPr="0061127A" w:rsidRDefault="0061127A" w:rsidP="0061127A">
      <w:pPr>
        <w:spacing w:before="120"/>
        <w:ind w:firstLine="709"/>
        <w:jc w:val="both"/>
        <w:rPr>
          <w:rFonts w:asciiTheme="majorHAnsi" w:hAnsiTheme="majorHAnsi" w:cstheme="minorBidi"/>
          <w:sz w:val="20"/>
          <w:szCs w:val="22"/>
          <w:lang w:eastAsia="en-US"/>
        </w:rPr>
      </w:pPr>
      <w:r w:rsidRPr="0061127A">
        <w:rPr>
          <w:rFonts w:asciiTheme="majorHAnsi" w:hAnsiTheme="majorHAnsi" w:cstheme="minorBidi"/>
          <w:sz w:val="20"/>
          <w:szCs w:val="22"/>
          <w:lang w:eastAsia="en-US"/>
        </w:rPr>
        <w:t xml:space="preserve"> </w:t>
      </w:r>
      <w:r w:rsidRPr="0061127A">
        <w:rPr>
          <w:rFonts w:asciiTheme="majorHAnsi" w:hAnsiTheme="majorHAnsi" w:cstheme="minorBidi"/>
          <w:i/>
          <w:iCs/>
          <w:sz w:val="20"/>
          <w:szCs w:val="22"/>
          <w:lang w:eastAsia="en-US"/>
        </w:rPr>
        <w:t>Оставшийся срок экономической жизни (ОСЭЖ)</w:t>
      </w:r>
      <w:r w:rsidRPr="0061127A">
        <w:rPr>
          <w:rFonts w:asciiTheme="majorHAnsi" w:hAnsiTheme="majorHAnsi" w:cstheme="minorBidi"/>
          <w:sz w:val="20"/>
          <w:szCs w:val="22"/>
          <w:lang w:eastAsia="en-US"/>
        </w:rPr>
        <w:t xml:space="preserve"> здания — период времени от даты оценки до окончания его экономической жизни. </w:t>
      </w:r>
    </w:p>
    <w:p w:rsidR="0061127A" w:rsidRPr="0061127A" w:rsidRDefault="0061127A" w:rsidP="0061127A">
      <w:pPr>
        <w:spacing w:before="120"/>
        <w:ind w:firstLine="709"/>
        <w:jc w:val="both"/>
        <w:rPr>
          <w:rFonts w:asciiTheme="majorHAnsi" w:hAnsiTheme="majorHAnsi" w:cstheme="minorBidi"/>
          <w:sz w:val="20"/>
          <w:szCs w:val="22"/>
          <w:lang w:eastAsia="en-US"/>
        </w:rPr>
      </w:pPr>
      <w:r w:rsidRPr="0061127A">
        <w:rPr>
          <w:rFonts w:asciiTheme="majorHAnsi" w:hAnsiTheme="majorHAnsi" w:cstheme="minorBidi"/>
          <w:sz w:val="20"/>
          <w:szCs w:val="22"/>
          <w:lang w:eastAsia="en-US"/>
        </w:rPr>
        <w:t xml:space="preserve">Субъективность определения таких показателей, как срок экономической жизни и эффективный возраст, требует от оценщика достаточно высокой квалификации и немалого практического опыта. </w:t>
      </w:r>
    </w:p>
    <w:p w:rsidR="0061127A" w:rsidRPr="0061127A" w:rsidRDefault="0061127A" w:rsidP="0061127A">
      <w:pPr>
        <w:spacing w:before="120"/>
        <w:ind w:firstLine="709"/>
        <w:jc w:val="both"/>
        <w:rPr>
          <w:rFonts w:asciiTheme="majorHAnsi" w:hAnsiTheme="majorHAnsi" w:cstheme="minorBidi"/>
          <w:sz w:val="20"/>
          <w:szCs w:val="22"/>
          <w:lang w:eastAsia="en-US"/>
        </w:rPr>
      </w:pPr>
      <w:r w:rsidRPr="0061127A">
        <w:rPr>
          <w:rFonts w:asciiTheme="majorHAnsi" w:hAnsiTheme="majorHAnsi" w:cstheme="minorBidi"/>
          <w:sz w:val="20"/>
          <w:szCs w:val="22"/>
          <w:lang w:eastAsia="en-US"/>
        </w:rPr>
        <w:t>Для определения величины накопленного износа используют различные методы.</w:t>
      </w:r>
    </w:p>
    <w:p w:rsidR="0061127A" w:rsidRPr="0061127A" w:rsidRDefault="0061127A" w:rsidP="0061127A">
      <w:pPr>
        <w:spacing w:before="120"/>
        <w:ind w:firstLine="709"/>
        <w:jc w:val="both"/>
        <w:rPr>
          <w:rFonts w:asciiTheme="majorHAnsi" w:hAnsiTheme="majorHAnsi" w:cstheme="minorBidi"/>
          <w:sz w:val="20"/>
          <w:szCs w:val="22"/>
          <w:lang w:eastAsia="en-US"/>
        </w:rPr>
      </w:pPr>
      <w:r w:rsidRPr="0061127A">
        <w:rPr>
          <w:rFonts w:asciiTheme="majorHAnsi" w:hAnsiTheme="majorHAnsi" w:cstheme="minorBidi"/>
          <w:sz w:val="20"/>
          <w:szCs w:val="22"/>
          <w:lang w:eastAsia="en-US"/>
        </w:rPr>
        <w:t>При этом в различных источниках, при одной и той же сущности формирования расчетов физического износа предлагаются различные методы его расчета. Так коллективом авторов под редакцией ДЭН профессора А.Г. Грязновой предлагаются нормативный (для жилых зданий), стоимостной, метод срока жизни. В соответствии с учебным пособием под редакцией Виноградова Д. В. Рекомендуются метод сравнения продаж, бухгалтерский, метод разбивки, в рамках данной методологии при расчете физического износа целесообразно использовать экспертный (нормативный), стоимостной, метод расчета срока жизни здания.</w:t>
      </w:r>
      <w:r w:rsidRPr="0061127A">
        <w:rPr>
          <w:rFonts w:asciiTheme="majorHAnsi" w:hAnsiTheme="majorHAnsi" w:cstheme="minorBidi"/>
          <w:i/>
          <w:iCs/>
          <w:sz w:val="20"/>
          <w:szCs w:val="22"/>
          <w:lang w:eastAsia="en-US"/>
        </w:rPr>
        <w:t xml:space="preserve"> Экспертный метод расчета физического износа</w:t>
      </w:r>
      <w:r w:rsidRPr="0061127A">
        <w:rPr>
          <w:rFonts w:asciiTheme="majorHAnsi" w:hAnsiTheme="majorHAnsi" w:cstheme="minorBidi"/>
          <w:sz w:val="20"/>
          <w:szCs w:val="22"/>
          <w:lang w:eastAsia="en-US"/>
        </w:rPr>
        <w:t xml:space="preserve"> основан на создании дефектной ведомости и определения процентов износа всех конструктивных элементов здания или сооружения. Экспертный метод является самым точным, но и наиболее трудоемким. </w:t>
      </w:r>
    </w:p>
    <w:p w:rsidR="0061127A" w:rsidRPr="0061127A" w:rsidRDefault="0061127A" w:rsidP="0061127A">
      <w:pPr>
        <w:spacing w:before="120"/>
        <w:ind w:firstLine="709"/>
        <w:jc w:val="both"/>
        <w:rPr>
          <w:rFonts w:asciiTheme="majorHAnsi" w:eastAsia="Calibri" w:hAnsiTheme="majorHAnsi" w:cstheme="minorBidi"/>
          <w:color w:val="000000"/>
          <w:sz w:val="20"/>
          <w:szCs w:val="22"/>
          <w:lang w:eastAsia="en-US"/>
        </w:rPr>
      </w:pPr>
      <w:r w:rsidRPr="0061127A">
        <w:rPr>
          <w:rFonts w:asciiTheme="majorHAnsi" w:eastAsiaTheme="minorHAnsi" w:hAnsiTheme="majorHAnsi" w:cstheme="minorBidi"/>
          <w:sz w:val="20"/>
          <w:szCs w:val="22"/>
          <w:lang w:eastAsia="en-US"/>
        </w:rPr>
        <w:t xml:space="preserve">В соответствии с п. 15 ФСО № 1 в основе затратного подхода лежит </w:t>
      </w:r>
      <w:r w:rsidRPr="0061127A">
        <w:rPr>
          <w:rFonts w:asciiTheme="majorHAnsi" w:eastAsiaTheme="minorHAnsi" w:hAnsiTheme="majorHAnsi" w:cstheme="minorBidi"/>
          <w:color w:val="000000"/>
          <w:sz w:val="20"/>
          <w:szCs w:val="22"/>
          <w:lang w:eastAsia="en-US"/>
        </w:rPr>
        <w:t>определении затрат, необходимых для воспроизводства либо замещения объекта оценки с зачетом износа и устареваний. В отдельных случаях  результат осмотра объекта и изучения представленных материалов заказчика не дает полного представления о физическом износе объекта оценки (наличие скрытых работ, значительных работ по косметическому ремонту и др.). Состав информации об объекте оценки, а так же другой имеющейся информации не дают возможности с достаточной долей достоверности рассчитать все виды износа.</w:t>
      </w:r>
    </w:p>
    <w:p w:rsidR="0061127A" w:rsidRPr="0061127A" w:rsidRDefault="0061127A" w:rsidP="00346D80">
      <w:pPr>
        <w:spacing w:before="120" w:after="120"/>
        <w:ind w:firstLine="709"/>
        <w:rPr>
          <w:rFonts w:ascii="Cambria" w:eastAsiaTheme="minorHAnsi" w:hAnsi="Cambria" w:cstheme="minorBidi"/>
          <w:b/>
          <w:bCs/>
          <w:sz w:val="20"/>
          <w:szCs w:val="22"/>
          <w:lang w:eastAsia="en-US"/>
        </w:rPr>
      </w:pPr>
      <w:r w:rsidRPr="0061127A">
        <w:rPr>
          <w:rFonts w:ascii="Cambria" w:eastAsiaTheme="minorHAnsi" w:hAnsi="Cambria" w:cstheme="minorBidi"/>
          <w:b/>
          <w:bCs/>
          <w:sz w:val="20"/>
          <w:szCs w:val="22"/>
          <w:lang w:eastAsia="en-US"/>
        </w:rPr>
        <w:t>Физический износ</w:t>
      </w:r>
    </w:p>
    <w:p w:rsidR="0061127A" w:rsidRPr="0061127A" w:rsidRDefault="0061127A" w:rsidP="0061127A">
      <w:pPr>
        <w:spacing w:before="120"/>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t>Физический износ – постепенная утрата изначально заложенных при строительстве технико-эксплуатационных качеств объекта под воздействием природно-климатических факторов, а так же жизнедеятельности человека.</w:t>
      </w:r>
    </w:p>
    <w:p w:rsidR="0061127A" w:rsidRPr="0061127A" w:rsidRDefault="0061127A" w:rsidP="0061127A">
      <w:pPr>
        <w:spacing w:before="120"/>
        <w:ind w:firstLine="709"/>
        <w:jc w:val="both"/>
        <w:rPr>
          <w:rFonts w:asciiTheme="majorHAnsi" w:hAnsiTheme="majorHAnsi" w:cstheme="minorBidi"/>
          <w:sz w:val="20"/>
          <w:szCs w:val="22"/>
        </w:rPr>
      </w:pPr>
      <w:r w:rsidRPr="0061127A">
        <w:rPr>
          <w:rFonts w:asciiTheme="majorHAnsi" w:hAnsiTheme="majorHAnsi" w:cstheme="minorBidi"/>
          <w:bCs/>
          <w:sz w:val="20"/>
          <w:szCs w:val="22"/>
        </w:rPr>
        <w:t xml:space="preserve">Физический износ </w:t>
      </w:r>
      <w:r w:rsidRPr="0061127A">
        <w:rPr>
          <w:rFonts w:asciiTheme="majorHAnsi" w:hAnsiTheme="majorHAnsi" w:cstheme="minorBidi"/>
          <w:sz w:val="20"/>
          <w:szCs w:val="22"/>
        </w:rPr>
        <w:t xml:space="preserve">отражает изменения физических свойств объекта недвижимости со временем (например, дефекты конструктивных элементов). Физический износ может возникать под воздействием эксплуатационных факторов или под воздействием естественных и природных факторов. </w:t>
      </w:r>
    </w:p>
    <w:p w:rsidR="0061127A" w:rsidRPr="0061127A" w:rsidRDefault="0061127A" w:rsidP="0061127A">
      <w:pPr>
        <w:spacing w:before="120"/>
        <w:ind w:firstLine="709"/>
        <w:jc w:val="both"/>
        <w:rPr>
          <w:rFonts w:asciiTheme="majorHAnsi" w:hAnsiTheme="majorHAnsi" w:cstheme="minorBidi"/>
          <w:sz w:val="20"/>
          <w:szCs w:val="22"/>
        </w:rPr>
      </w:pPr>
      <w:r w:rsidRPr="0061127A">
        <w:rPr>
          <w:rFonts w:asciiTheme="majorHAnsi" w:hAnsiTheme="majorHAnsi" w:cstheme="minorBidi"/>
          <w:sz w:val="20"/>
          <w:szCs w:val="22"/>
        </w:rPr>
        <w:t xml:space="preserve">Существуют четыре основных метода расчета физического износа: </w:t>
      </w:r>
    </w:p>
    <w:p w:rsidR="0061127A" w:rsidRPr="0061127A" w:rsidRDefault="0061127A" w:rsidP="00346D80">
      <w:pPr>
        <w:ind w:firstLine="709"/>
        <w:jc w:val="both"/>
        <w:rPr>
          <w:rFonts w:asciiTheme="majorHAnsi" w:hAnsiTheme="majorHAnsi" w:cstheme="minorBidi"/>
          <w:sz w:val="20"/>
          <w:szCs w:val="22"/>
        </w:rPr>
      </w:pPr>
      <w:r w:rsidRPr="0061127A">
        <w:rPr>
          <w:rFonts w:asciiTheme="majorHAnsi" w:hAnsiTheme="majorHAnsi" w:cstheme="minorBidi"/>
          <w:sz w:val="20"/>
          <w:szCs w:val="22"/>
        </w:rPr>
        <w:t xml:space="preserve">•      экспертный; </w:t>
      </w:r>
    </w:p>
    <w:p w:rsidR="0061127A" w:rsidRPr="0061127A" w:rsidRDefault="0061127A" w:rsidP="00346D80">
      <w:pPr>
        <w:ind w:firstLine="709"/>
        <w:jc w:val="both"/>
        <w:rPr>
          <w:rFonts w:asciiTheme="majorHAnsi" w:hAnsiTheme="majorHAnsi" w:cstheme="minorBidi"/>
          <w:sz w:val="20"/>
          <w:szCs w:val="22"/>
        </w:rPr>
      </w:pPr>
      <w:r w:rsidRPr="0061127A">
        <w:rPr>
          <w:rFonts w:asciiTheme="majorHAnsi" w:hAnsiTheme="majorHAnsi" w:cstheme="minorBidi"/>
          <w:sz w:val="20"/>
          <w:szCs w:val="22"/>
        </w:rPr>
        <w:t xml:space="preserve">•      нормативный (или бухгалтерский); </w:t>
      </w:r>
    </w:p>
    <w:p w:rsidR="0061127A" w:rsidRPr="0061127A" w:rsidRDefault="0061127A" w:rsidP="00346D80">
      <w:pPr>
        <w:ind w:firstLine="709"/>
        <w:jc w:val="both"/>
        <w:rPr>
          <w:rFonts w:asciiTheme="majorHAnsi" w:hAnsiTheme="majorHAnsi" w:cstheme="minorBidi"/>
          <w:sz w:val="20"/>
          <w:szCs w:val="22"/>
        </w:rPr>
      </w:pPr>
      <w:r w:rsidRPr="0061127A">
        <w:rPr>
          <w:rFonts w:asciiTheme="majorHAnsi" w:hAnsiTheme="majorHAnsi" w:cstheme="minorBidi"/>
          <w:sz w:val="20"/>
          <w:szCs w:val="22"/>
        </w:rPr>
        <w:t xml:space="preserve">•      стоимостной; </w:t>
      </w:r>
    </w:p>
    <w:p w:rsidR="0061127A" w:rsidRPr="0061127A" w:rsidRDefault="0061127A" w:rsidP="00346D80">
      <w:pPr>
        <w:ind w:firstLine="709"/>
        <w:jc w:val="both"/>
        <w:rPr>
          <w:rFonts w:asciiTheme="majorHAnsi" w:hAnsiTheme="majorHAnsi" w:cstheme="minorBidi"/>
          <w:sz w:val="20"/>
          <w:szCs w:val="22"/>
        </w:rPr>
      </w:pPr>
      <w:r w:rsidRPr="0061127A">
        <w:rPr>
          <w:rFonts w:asciiTheme="majorHAnsi" w:hAnsiTheme="majorHAnsi" w:cstheme="minorBidi"/>
          <w:sz w:val="20"/>
          <w:szCs w:val="22"/>
        </w:rPr>
        <w:t xml:space="preserve">•      метод расчета срока жизни здания. </w:t>
      </w:r>
    </w:p>
    <w:p w:rsidR="0061127A" w:rsidRPr="0061127A" w:rsidRDefault="0061127A" w:rsidP="0061127A">
      <w:pPr>
        <w:spacing w:before="120"/>
        <w:ind w:firstLine="709"/>
        <w:jc w:val="both"/>
        <w:rPr>
          <w:rFonts w:asciiTheme="majorHAnsi" w:hAnsiTheme="majorHAnsi" w:cstheme="minorBidi"/>
          <w:sz w:val="20"/>
          <w:szCs w:val="22"/>
        </w:rPr>
      </w:pPr>
      <w:r w:rsidRPr="0061127A">
        <w:rPr>
          <w:rFonts w:asciiTheme="majorHAnsi" w:hAnsiTheme="majorHAnsi" w:cstheme="minorBidi"/>
          <w:sz w:val="20"/>
          <w:szCs w:val="22"/>
        </w:rPr>
        <w:t xml:space="preserve">Самым точным и наиболее трудоемким способом является </w:t>
      </w:r>
      <w:r w:rsidRPr="0061127A">
        <w:rPr>
          <w:rFonts w:asciiTheme="majorHAnsi" w:hAnsiTheme="majorHAnsi" w:cstheme="minorBidi"/>
          <w:i/>
          <w:iCs/>
          <w:sz w:val="20"/>
          <w:szCs w:val="22"/>
        </w:rPr>
        <w:t xml:space="preserve">экспертный. </w:t>
      </w:r>
      <w:r w:rsidRPr="0061127A">
        <w:rPr>
          <w:rFonts w:asciiTheme="majorHAnsi" w:hAnsiTheme="majorHAnsi" w:cstheme="minorBidi"/>
          <w:sz w:val="20"/>
          <w:szCs w:val="22"/>
        </w:rPr>
        <w:t xml:space="preserve">Он предполагает создание дефектной ведомости и определение процента износа всех конструктивных элементов здания или сооружения. </w:t>
      </w:r>
    </w:p>
    <w:p w:rsidR="0061127A" w:rsidRPr="0061127A" w:rsidRDefault="0061127A" w:rsidP="0061127A">
      <w:pPr>
        <w:spacing w:before="120"/>
        <w:ind w:firstLine="709"/>
        <w:jc w:val="both"/>
        <w:rPr>
          <w:rFonts w:asciiTheme="majorHAnsi" w:hAnsiTheme="majorHAnsi" w:cstheme="minorBidi"/>
          <w:sz w:val="20"/>
          <w:szCs w:val="22"/>
        </w:rPr>
      </w:pPr>
      <w:r w:rsidRPr="0061127A">
        <w:rPr>
          <w:rFonts w:asciiTheme="majorHAnsi" w:hAnsiTheme="majorHAnsi" w:cstheme="minorBidi"/>
          <w:i/>
          <w:iCs/>
          <w:sz w:val="20"/>
          <w:szCs w:val="22"/>
        </w:rPr>
        <w:t xml:space="preserve">Нормативный метод </w:t>
      </w:r>
      <w:r w:rsidRPr="0061127A">
        <w:rPr>
          <w:rFonts w:asciiTheme="majorHAnsi" w:hAnsiTheme="majorHAnsi" w:cstheme="minorBidi"/>
          <w:sz w:val="20"/>
          <w:szCs w:val="22"/>
        </w:rPr>
        <w:t>расчета физического износа основан на использовании различных нормативных инструкций межотраслевого или ведомственного уровня. В оценочной практике применяется крайне редко.</w:t>
      </w:r>
    </w:p>
    <w:p w:rsidR="0061127A" w:rsidRPr="0061127A" w:rsidRDefault="0061127A" w:rsidP="0061127A">
      <w:pPr>
        <w:spacing w:before="120"/>
        <w:ind w:firstLine="709"/>
        <w:jc w:val="both"/>
        <w:rPr>
          <w:rFonts w:asciiTheme="majorHAnsi" w:hAnsiTheme="majorHAnsi" w:cstheme="minorBidi"/>
          <w:sz w:val="20"/>
          <w:szCs w:val="22"/>
        </w:rPr>
      </w:pPr>
      <w:r w:rsidRPr="0061127A">
        <w:rPr>
          <w:rFonts w:asciiTheme="majorHAnsi" w:hAnsiTheme="majorHAnsi" w:cstheme="minorBidi"/>
          <w:sz w:val="20"/>
          <w:szCs w:val="22"/>
        </w:rPr>
        <w:t xml:space="preserve"> </w:t>
      </w:r>
      <w:r w:rsidRPr="0061127A">
        <w:rPr>
          <w:rFonts w:asciiTheme="majorHAnsi" w:hAnsiTheme="majorHAnsi" w:cstheme="minorBidi"/>
          <w:i/>
          <w:iCs/>
          <w:sz w:val="20"/>
          <w:szCs w:val="22"/>
        </w:rPr>
        <w:t xml:space="preserve">Стоимостной метод </w:t>
      </w:r>
      <w:r w:rsidRPr="0061127A">
        <w:rPr>
          <w:rFonts w:asciiTheme="majorHAnsi" w:hAnsiTheme="majorHAnsi" w:cstheme="minorBidi"/>
          <w:sz w:val="20"/>
          <w:szCs w:val="22"/>
        </w:rPr>
        <w:t xml:space="preserve">заключается в определении затрат на восстановление элементов зданий и сооружений. Путем осмотра определяется процент износа каждого элемента здания, который затем переводится в стоимостном выражении. Стоимостной метод применяется для определения устранимого физического износа. </w:t>
      </w:r>
    </w:p>
    <w:p w:rsidR="0061127A" w:rsidRPr="0061127A" w:rsidRDefault="0061127A" w:rsidP="0061127A">
      <w:pPr>
        <w:spacing w:before="120"/>
        <w:ind w:firstLine="709"/>
        <w:jc w:val="both"/>
        <w:rPr>
          <w:rFonts w:asciiTheme="majorHAnsi" w:hAnsiTheme="majorHAnsi" w:cstheme="minorBidi"/>
          <w:sz w:val="20"/>
          <w:szCs w:val="22"/>
        </w:rPr>
      </w:pPr>
      <w:r w:rsidRPr="0061127A">
        <w:rPr>
          <w:rFonts w:asciiTheme="majorHAnsi" w:hAnsiTheme="majorHAnsi" w:cstheme="minorBidi"/>
          <w:sz w:val="20"/>
          <w:szCs w:val="22"/>
        </w:rPr>
        <w:t xml:space="preserve">Данный метод позволяет сразу рассчитать износ элементов и здания в целом в стоимостном выражении. Поскольку расчет обесценения производится на основе разумных фактических затрат на доведение изношенных элементов до практически нового состояния, результат по данному подходу можно считать достаточно точным. Недостатки метода – обязательная детализация и точность расчета затрат на проведение ре монта изношенных элементов здания. </w:t>
      </w:r>
    </w:p>
    <w:p w:rsidR="0061127A" w:rsidRPr="0061127A" w:rsidRDefault="0061127A" w:rsidP="0061127A">
      <w:pPr>
        <w:spacing w:before="120" w:after="120"/>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iCs/>
          <w:sz w:val="20"/>
          <w:szCs w:val="22"/>
          <w:lang w:eastAsia="en-US"/>
        </w:rPr>
        <w:t xml:space="preserve">Метод срока жизни </w:t>
      </w:r>
      <w:r w:rsidRPr="0061127A">
        <w:rPr>
          <w:rFonts w:asciiTheme="majorHAnsi" w:eastAsiaTheme="minorHAnsi" w:hAnsiTheme="majorHAnsi" w:cstheme="minorBidi"/>
          <w:sz w:val="20"/>
          <w:szCs w:val="22"/>
          <w:lang w:eastAsia="en-US"/>
        </w:rPr>
        <w:t>применяется для расчета физического износа, Показатели физического износа, эффективного возраста и срока экономической жизни находятся в определенном соотношении, которое можно выразить формулой:</w:t>
      </w:r>
    </w:p>
    <w:p w:rsidR="0061127A" w:rsidRPr="0061127A" w:rsidRDefault="0061127A" w:rsidP="0061127A">
      <w:pPr>
        <w:spacing w:before="120"/>
        <w:ind w:firstLine="709"/>
        <w:jc w:val="center"/>
        <w:rPr>
          <w:rFonts w:asciiTheme="majorHAnsi" w:hAnsiTheme="majorHAnsi" w:cstheme="minorBidi"/>
          <w:sz w:val="23"/>
          <w:szCs w:val="22"/>
        </w:rPr>
      </w:pPr>
      <w:r w:rsidRPr="0061127A">
        <w:rPr>
          <w:rFonts w:asciiTheme="majorHAnsi" w:hAnsiTheme="majorHAnsi" w:cstheme="minorBidi"/>
          <w:noProof/>
          <w:sz w:val="20"/>
          <w:szCs w:val="22"/>
          <w:vertAlign w:val="subscript"/>
        </w:rPr>
        <w:drawing>
          <wp:inline distT="0" distB="0" distL="0" distR="0" wp14:anchorId="5ADBD28C" wp14:editId="3E293DF2">
            <wp:extent cx="2651760" cy="338728"/>
            <wp:effectExtent l="0" t="0" r="0" b="4445"/>
            <wp:docPr id="61" name="Рисунок 16" descr="Описание: http://www.aup.ru/books/m94/3_5_2.files/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http://www.aup.ru/books/m94/3_5_2.files/image012.gif"/>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50677" cy="376911"/>
                    </a:xfrm>
                    <a:prstGeom prst="rect">
                      <a:avLst/>
                    </a:prstGeom>
                    <a:noFill/>
                    <a:ln>
                      <a:noFill/>
                    </a:ln>
                  </pic:spPr>
                </pic:pic>
              </a:graphicData>
            </a:graphic>
          </wp:inline>
        </w:drawing>
      </w:r>
      <w:r w:rsidRPr="0061127A">
        <w:rPr>
          <w:rFonts w:asciiTheme="majorHAnsi" w:hAnsiTheme="majorHAnsi" w:cstheme="minorBidi"/>
          <w:sz w:val="20"/>
          <w:szCs w:val="22"/>
        </w:rPr>
        <w:t>, где</w:t>
      </w:r>
    </w:p>
    <w:p w:rsidR="0061127A" w:rsidRPr="0061127A" w:rsidRDefault="0061127A" w:rsidP="0061127A">
      <w:pPr>
        <w:ind w:firstLine="709"/>
        <w:jc w:val="both"/>
        <w:rPr>
          <w:rFonts w:asciiTheme="majorHAnsi" w:hAnsiTheme="majorHAnsi" w:cstheme="minorBidi"/>
          <w:sz w:val="20"/>
          <w:szCs w:val="22"/>
        </w:rPr>
      </w:pPr>
      <w:r w:rsidRPr="0061127A">
        <w:rPr>
          <w:rFonts w:asciiTheme="majorHAnsi" w:hAnsiTheme="majorHAnsi" w:cstheme="minorBidi"/>
          <w:sz w:val="20"/>
          <w:szCs w:val="22"/>
        </w:rPr>
        <w:lastRenderedPageBreak/>
        <w:t>И – износ;</w:t>
      </w:r>
    </w:p>
    <w:p w:rsidR="0061127A" w:rsidRPr="0061127A" w:rsidRDefault="0061127A" w:rsidP="0061127A">
      <w:pPr>
        <w:ind w:firstLine="709"/>
        <w:jc w:val="both"/>
        <w:rPr>
          <w:rFonts w:asciiTheme="majorHAnsi" w:hAnsiTheme="majorHAnsi" w:cstheme="minorBidi"/>
          <w:sz w:val="20"/>
          <w:szCs w:val="22"/>
        </w:rPr>
      </w:pPr>
      <w:r w:rsidRPr="0061127A">
        <w:rPr>
          <w:rFonts w:asciiTheme="majorHAnsi" w:hAnsiTheme="majorHAnsi" w:cstheme="minorBidi"/>
          <w:sz w:val="20"/>
          <w:szCs w:val="22"/>
        </w:rPr>
        <w:t>ЭВ – эффективный возраст;</w:t>
      </w:r>
    </w:p>
    <w:p w:rsidR="0061127A" w:rsidRPr="0061127A" w:rsidRDefault="0061127A" w:rsidP="0061127A">
      <w:pPr>
        <w:ind w:firstLine="709"/>
        <w:jc w:val="both"/>
        <w:rPr>
          <w:rFonts w:asciiTheme="majorHAnsi" w:hAnsiTheme="majorHAnsi" w:cstheme="minorBidi"/>
          <w:sz w:val="20"/>
          <w:szCs w:val="22"/>
        </w:rPr>
      </w:pPr>
      <w:r w:rsidRPr="0061127A">
        <w:rPr>
          <w:rFonts w:asciiTheme="majorHAnsi" w:hAnsiTheme="majorHAnsi" w:cstheme="minorBidi"/>
          <w:sz w:val="20"/>
          <w:szCs w:val="22"/>
        </w:rPr>
        <w:t>ФЖ – типичный срок физической жизни;</w:t>
      </w:r>
    </w:p>
    <w:p w:rsidR="0061127A" w:rsidRPr="0061127A" w:rsidRDefault="0061127A" w:rsidP="00346D80">
      <w:pPr>
        <w:spacing w:after="100" w:afterAutospacing="1"/>
        <w:ind w:firstLine="709"/>
        <w:jc w:val="both"/>
        <w:rPr>
          <w:rFonts w:asciiTheme="majorHAnsi" w:hAnsiTheme="majorHAnsi" w:cstheme="minorBidi"/>
          <w:sz w:val="20"/>
          <w:szCs w:val="22"/>
        </w:rPr>
      </w:pPr>
      <w:r w:rsidRPr="0061127A">
        <w:rPr>
          <w:rFonts w:asciiTheme="majorHAnsi" w:hAnsiTheme="majorHAnsi" w:cstheme="minorBidi"/>
          <w:sz w:val="20"/>
          <w:szCs w:val="22"/>
        </w:rPr>
        <w:t>ОСФЖ – ос</w:t>
      </w:r>
      <w:r w:rsidR="00346D80">
        <w:rPr>
          <w:rFonts w:asciiTheme="majorHAnsi" w:hAnsiTheme="majorHAnsi" w:cstheme="minorBidi"/>
          <w:sz w:val="20"/>
          <w:szCs w:val="22"/>
        </w:rPr>
        <w:t>тавшийся срок физической жизни.</w:t>
      </w:r>
    </w:p>
    <w:tbl>
      <w:tblPr>
        <w:tblW w:w="9790"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1533"/>
        <w:gridCol w:w="2593"/>
        <w:gridCol w:w="1763"/>
        <w:gridCol w:w="3901"/>
      </w:tblGrid>
      <w:tr w:rsidR="0061127A" w:rsidRPr="00346D80" w:rsidTr="00346D80">
        <w:trPr>
          <w:trHeight w:val="20"/>
          <w:jc w:val="center"/>
        </w:trPr>
        <w:tc>
          <w:tcPr>
            <w:tcW w:w="1533" w:type="dxa"/>
            <w:shd w:val="clear" w:color="auto" w:fill="F2F2F2" w:themeFill="background1" w:themeFillShade="F2"/>
            <w:noWrap/>
            <w:vAlign w:val="center"/>
            <w:hideMark/>
          </w:tcPr>
          <w:p w:rsidR="0061127A" w:rsidRPr="00346D80" w:rsidRDefault="0061127A" w:rsidP="00DF580A">
            <w:pPr>
              <w:jc w:val="center"/>
              <w:rPr>
                <w:rFonts w:asciiTheme="majorHAnsi" w:hAnsiTheme="majorHAnsi" w:cstheme="minorBidi"/>
                <w:b/>
                <w:bCs/>
                <w:color w:val="000000"/>
                <w:sz w:val="18"/>
                <w:szCs w:val="18"/>
              </w:rPr>
            </w:pPr>
            <w:r w:rsidRPr="00346D80">
              <w:rPr>
                <w:rFonts w:asciiTheme="majorHAnsi" w:hAnsiTheme="majorHAnsi" w:cstheme="minorBidi"/>
                <w:b/>
                <w:bCs/>
                <w:color w:val="000000"/>
                <w:sz w:val="18"/>
                <w:szCs w:val="18"/>
              </w:rPr>
              <w:t>Методы расчета</w:t>
            </w:r>
          </w:p>
        </w:tc>
        <w:tc>
          <w:tcPr>
            <w:tcW w:w="2593" w:type="dxa"/>
            <w:shd w:val="clear" w:color="auto" w:fill="F2F2F2" w:themeFill="background1" w:themeFillShade="F2"/>
            <w:noWrap/>
            <w:vAlign w:val="center"/>
            <w:hideMark/>
          </w:tcPr>
          <w:p w:rsidR="0061127A" w:rsidRPr="00346D80" w:rsidRDefault="0061127A" w:rsidP="00DF580A">
            <w:pPr>
              <w:jc w:val="center"/>
              <w:rPr>
                <w:rFonts w:asciiTheme="majorHAnsi" w:hAnsiTheme="majorHAnsi" w:cstheme="minorBidi"/>
                <w:b/>
                <w:bCs/>
                <w:color w:val="000000"/>
                <w:sz w:val="18"/>
                <w:szCs w:val="18"/>
              </w:rPr>
            </w:pPr>
            <w:r w:rsidRPr="00346D80">
              <w:rPr>
                <w:rFonts w:asciiTheme="majorHAnsi" w:hAnsiTheme="majorHAnsi" w:cstheme="minorBidi"/>
                <w:b/>
                <w:bCs/>
                <w:color w:val="000000"/>
                <w:sz w:val="18"/>
                <w:szCs w:val="18"/>
              </w:rPr>
              <w:t>Характеристика</w:t>
            </w:r>
          </w:p>
        </w:tc>
        <w:tc>
          <w:tcPr>
            <w:tcW w:w="1763" w:type="dxa"/>
            <w:shd w:val="clear" w:color="auto" w:fill="F2F2F2" w:themeFill="background1" w:themeFillShade="F2"/>
            <w:noWrap/>
            <w:vAlign w:val="center"/>
            <w:hideMark/>
          </w:tcPr>
          <w:p w:rsidR="0061127A" w:rsidRPr="00346D80" w:rsidRDefault="0061127A" w:rsidP="00DF580A">
            <w:pPr>
              <w:jc w:val="center"/>
              <w:rPr>
                <w:rFonts w:asciiTheme="majorHAnsi" w:hAnsiTheme="majorHAnsi" w:cstheme="minorBidi"/>
                <w:b/>
                <w:bCs/>
                <w:color w:val="000000"/>
                <w:sz w:val="18"/>
                <w:szCs w:val="18"/>
              </w:rPr>
            </w:pPr>
            <w:r w:rsidRPr="00346D80">
              <w:rPr>
                <w:rFonts w:asciiTheme="majorHAnsi" w:hAnsiTheme="majorHAnsi" w:cstheme="minorBidi"/>
                <w:b/>
                <w:bCs/>
                <w:color w:val="000000"/>
                <w:sz w:val="18"/>
                <w:szCs w:val="18"/>
              </w:rPr>
              <w:t>Достоинства</w:t>
            </w:r>
          </w:p>
        </w:tc>
        <w:tc>
          <w:tcPr>
            <w:tcW w:w="3901" w:type="dxa"/>
            <w:shd w:val="clear" w:color="auto" w:fill="F2F2F2" w:themeFill="background1" w:themeFillShade="F2"/>
            <w:noWrap/>
            <w:vAlign w:val="center"/>
            <w:hideMark/>
          </w:tcPr>
          <w:p w:rsidR="0061127A" w:rsidRPr="00346D80" w:rsidRDefault="0061127A" w:rsidP="00DF580A">
            <w:pPr>
              <w:jc w:val="center"/>
              <w:rPr>
                <w:rFonts w:asciiTheme="majorHAnsi" w:hAnsiTheme="majorHAnsi" w:cstheme="minorBidi"/>
                <w:b/>
                <w:bCs/>
                <w:color w:val="000000"/>
                <w:sz w:val="18"/>
                <w:szCs w:val="18"/>
              </w:rPr>
            </w:pPr>
            <w:r w:rsidRPr="00346D80">
              <w:rPr>
                <w:rFonts w:asciiTheme="majorHAnsi" w:hAnsiTheme="majorHAnsi" w:cstheme="minorBidi"/>
                <w:b/>
                <w:bCs/>
                <w:color w:val="000000"/>
                <w:sz w:val="18"/>
                <w:szCs w:val="18"/>
              </w:rPr>
              <w:t>Недостатки</w:t>
            </w:r>
          </w:p>
        </w:tc>
      </w:tr>
      <w:tr w:rsidR="0061127A" w:rsidRPr="00346D80" w:rsidTr="00346D80">
        <w:trPr>
          <w:trHeight w:val="20"/>
          <w:jc w:val="center"/>
        </w:trPr>
        <w:tc>
          <w:tcPr>
            <w:tcW w:w="1533" w:type="dxa"/>
            <w:vMerge w:val="restart"/>
            <w:noWrap/>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Экспертный</w:t>
            </w:r>
          </w:p>
        </w:tc>
        <w:tc>
          <w:tcPr>
            <w:tcW w:w="2593" w:type="dxa"/>
            <w:vMerge w:val="restart"/>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Создание дефектной ведомости и определение процента износа всех конструктивных элементов здания или сооружения</w:t>
            </w:r>
          </w:p>
        </w:tc>
        <w:tc>
          <w:tcPr>
            <w:tcW w:w="1763" w:type="dxa"/>
            <w:vMerge w:val="restart"/>
            <w:noWrap/>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Наиболее точный</w:t>
            </w:r>
          </w:p>
        </w:tc>
        <w:tc>
          <w:tcPr>
            <w:tcW w:w="3901" w:type="dxa"/>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Невозможность дефектовки отдельных элементов в целях оценки (скрытых работ, элементов, требующих демонтажа…)</w:t>
            </w:r>
          </w:p>
        </w:tc>
      </w:tr>
      <w:tr w:rsidR="0061127A" w:rsidRPr="00346D80" w:rsidTr="00346D80">
        <w:trPr>
          <w:trHeight w:val="20"/>
          <w:jc w:val="center"/>
        </w:trPr>
        <w:tc>
          <w:tcPr>
            <w:tcW w:w="153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259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176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3901" w:type="dxa"/>
            <w:noWrap/>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Значительная трудоемкость</w:t>
            </w:r>
          </w:p>
        </w:tc>
      </w:tr>
      <w:tr w:rsidR="0061127A" w:rsidRPr="00346D80" w:rsidTr="00346D80">
        <w:trPr>
          <w:trHeight w:val="20"/>
          <w:jc w:val="center"/>
        </w:trPr>
        <w:tc>
          <w:tcPr>
            <w:tcW w:w="153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2593" w:type="dxa"/>
            <w:vMerge w:val="restart"/>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В соответствии со шкалой экспертных оценок для объекта в целом</w:t>
            </w:r>
          </w:p>
        </w:tc>
        <w:tc>
          <w:tcPr>
            <w:tcW w:w="1763" w:type="dxa"/>
            <w:vMerge w:val="restart"/>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Наиболее простой в применении</w:t>
            </w:r>
          </w:p>
        </w:tc>
        <w:tc>
          <w:tcPr>
            <w:tcW w:w="3901" w:type="dxa"/>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Наименее точные результаты применения метода</w:t>
            </w:r>
          </w:p>
        </w:tc>
      </w:tr>
      <w:tr w:rsidR="0061127A" w:rsidRPr="00346D80" w:rsidTr="00346D80">
        <w:trPr>
          <w:trHeight w:val="20"/>
          <w:jc w:val="center"/>
        </w:trPr>
        <w:tc>
          <w:tcPr>
            <w:tcW w:w="153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259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176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3901" w:type="dxa"/>
            <w:vAlign w:val="center"/>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Целесообразно использовать в случае недостаточности информации о конструктивных объектах объек</w:t>
            </w:r>
            <w:r w:rsidR="00346D80">
              <w:rPr>
                <w:rFonts w:asciiTheme="majorHAnsi" w:hAnsiTheme="majorHAnsi" w:cstheme="minorBidi"/>
                <w:color w:val="000000"/>
                <w:sz w:val="18"/>
                <w:szCs w:val="18"/>
              </w:rPr>
              <w:t>та</w:t>
            </w:r>
          </w:p>
        </w:tc>
      </w:tr>
      <w:tr w:rsidR="0061127A" w:rsidRPr="00346D80" w:rsidTr="00346D80">
        <w:trPr>
          <w:trHeight w:val="20"/>
          <w:jc w:val="center"/>
        </w:trPr>
        <w:tc>
          <w:tcPr>
            <w:tcW w:w="1533" w:type="dxa"/>
            <w:vMerge w:val="restart"/>
            <w:noWrap/>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Нормативный</w:t>
            </w:r>
          </w:p>
        </w:tc>
        <w:tc>
          <w:tcPr>
            <w:tcW w:w="2593" w:type="dxa"/>
            <w:vMerge w:val="restart"/>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Основан на использовании различных нормативных инструкций межотраслевого или ведомственного уровня</w:t>
            </w:r>
          </w:p>
        </w:tc>
        <w:tc>
          <w:tcPr>
            <w:tcW w:w="1763" w:type="dxa"/>
            <w:vMerge w:val="restart"/>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Достаточность информации для применения</w:t>
            </w:r>
          </w:p>
        </w:tc>
        <w:tc>
          <w:tcPr>
            <w:tcW w:w="3901" w:type="dxa"/>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По причине своей «нормативности» она изначально не может учесть нетипичные условия эксплуатации объекта;</w:t>
            </w:r>
          </w:p>
        </w:tc>
      </w:tr>
      <w:tr w:rsidR="0061127A" w:rsidRPr="00346D80" w:rsidTr="00346D80">
        <w:trPr>
          <w:trHeight w:val="20"/>
          <w:jc w:val="center"/>
        </w:trPr>
        <w:tc>
          <w:tcPr>
            <w:tcW w:w="153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259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176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3901" w:type="dxa"/>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Трудоемкость применения по причине необходимой детализации конструктивных элементов здания;</w:t>
            </w:r>
          </w:p>
        </w:tc>
      </w:tr>
      <w:tr w:rsidR="0061127A" w:rsidRPr="00346D80" w:rsidTr="00346D80">
        <w:trPr>
          <w:trHeight w:val="20"/>
          <w:jc w:val="center"/>
        </w:trPr>
        <w:tc>
          <w:tcPr>
            <w:tcW w:w="153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259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176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3901" w:type="dxa"/>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Невозможность измерения функционального и внешнего износа;</w:t>
            </w:r>
          </w:p>
        </w:tc>
      </w:tr>
      <w:tr w:rsidR="0061127A" w:rsidRPr="00346D80" w:rsidTr="00346D80">
        <w:trPr>
          <w:trHeight w:val="20"/>
          <w:jc w:val="center"/>
        </w:trPr>
        <w:tc>
          <w:tcPr>
            <w:tcW w:w="153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259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176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3901" w:type="dxa"/>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Субъективность удельного взвешивания конструктивных элементов.</w:t>
            </w:r>
          </w:p>
        </w:tc>
      </w:tr>
      <w:tr w:rsidR="0061127A" w:rsidRPr="00346D80" w:rsidTr="00346D80">
        <w:trPr>
          <w:trHeight w:val="20"/>
          <w:jc w:val="center"/>
        </w:trPr>
        <w:tc>
          <w:tcPr>
            <w:tcW w:w="1533" w:type="dxa"/>
            <w:vMerge w:val="restart"/>
            <w:noWrap/>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Стоимостной</w:t>
            </w:r>
          </w:p>
        </w:tc>
        <w:tc>
          <w:tcPr>
            <w:tcW w:w="2593" w:type="dxa"/>
            <w:vMerge w:val="restart"/>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Заключается в определении затрат на восстановление элементов зданий и сооружений</w:t>
            </w:r>
          </w:p>
        </w:tc>
        <w:tc>
          <w:tcPr>
            <w:tcW w:w="1763" w:type="dxa"/>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Позволяет сразу рассчитать износ элементов и здания в целом в стоимостном выражении.</w:t>
            </w:r>
          </w:p>
        </w:tc>
        <w:tc>
          <w:tcPr>
            <w:tcW w:w="3901" w:type="dxa"/>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Обязательная детализация и точность расчета затрат на проведение ремонта изношенных элементов здания</w:t>
            </w:r>
          </w:p>
        </w:tc>
      </w:tr>
      <w:tr w:rsidR="0061127A" w:rsidRPr="00346D80" w:rsidTr="00346D80">
        <w:trPr>
          <w:trHeight w:val="20"/>
          <w:jc w:val="center"/>
        </w:trPr>
        <w:tc>
          <w:tcPr>
            <w:tcW w:w="153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259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1763" w:type="dxa"/>
            <w:vMerge w:val="restart"/>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Результат по данному подходу можно считать достаточно точным</w:t>
            </w:r>
          </w:p>
        </w:tc>
        <w:tc>
          <w:tcPr>
            <w:tcW w:w="3901" w:type="dxa"/>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Применяется для определения устранимого физического износа</w:t>
            </w:r>
          </w:p>
        </w:tc>
      </w:tr>
      <w:tr w:rsidR="0061127A" w:rsidRPr="00346D80" w:rsidTr="00346D80">
        <w:trPr>
          <w:trHeight w:val="20"/>
          <w:jc w:val="center"/>
        </w:trPr>
        <w:tc>
          <w:tcPr>
            <w:tcW w:w="153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259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176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3901" w:type="dxa"/>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Отсутствие целесообразности расчета износа не полностью изношенных отдельных элементов</w:t>
            </w:r>
          </w:p>
        </w:tc>
      </w:tr>
      <w:tr w:rsidR="0061127A" w:rsidRPr="00346D80" w:rsidTr="00346D80">
        <w:trPr>
          <w:trHeight w:val="20"/>
          <w:jc w:val="center"/>
        </w:trPr>
        <w:tc>
          <w:tcPr>
            <w:tcW w:w="1533" w:type="dxa"/>
            <w:vMerge w:val="restart"/>
            <w:noWrap/>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Метод срока жизни</w:t>
            </w:r>
          </w:p>
        </w:tc>
        <w:tc>
          <w:tcPr>
            <w:tcW w:w="2593" w:type="dxa"/>
            <w:vMerge w:val="restart"/>
            <w:shd w:val="clear" w:color="auto" w:fill="auto"/>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Заключается в расчете показателей  физического износа, эффективного возраста и срока экономической жизни  в определенном их соотношении.</w:t>
            </w:r>
          </w:p>
        </w:tc>
        <w:tc>
          <w:tcPr>
            <w:tcW w:w="1763" w:type="dxa"/>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Возможность анализа износа в рамках долгоживущих и короткоживущих элементов</w:t>
            </w:r>
          </w:p>
        </w:tc>
        <w:tc>
          <w:tcPr>
            <w:tcW w:w="3901" w:type="dxa"/>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Субъективный фактор при определении эффективного возраста, оставшегося срока физической жизни</w:t>
            </w:r>
          </w:p>
        </w:tc>
      </w:tr>
      <w:tr w:rsidR="0061127A" w:rsidRPr="00346D80" w:rsidTr="00346D80">
        <w:trPr>
          <w:trHeight w:val="20"/>
          <w:jc w:val="center"/>
        </w:trPr>
        <w:tc>
          <w:tcPr>
            <w:tcW w:w="153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2593" w:type="dxa"/>
            <w:vMerge/>
            <w:shd w:val="clear" w:color="auto" w:fill="auto"/>
            <w:vAlign w:val="center"/>
            <w:hideMark/>
          </w:tcPr>
          <w:p w:rsidR="0061127A" w:rsidRPr="00346D80" w:rsidRDefault="0061127A" w:rsidP="00DF580A">
            <w:pPr>
              <w:rPr>
                <w:rFonts w:asciiTheme="majorHAnsi" w:hAnsiTheme="majorHAnsi" w:cstheme="minorBidi"/>
                <w:color w:val="000000"/>
                <w:sz w:val="18"/>
                <w:szCs w:val="18"/>
              </w:rPr>
            </w:pPr>
          </w:p>
        </w:tc>
        <w:tc>
          <w:tcPr>
            <w:tcW w:w="1763" w:type="dxa"/>
            <w:vMerge w:val="restart"/>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Позволяет получить информацию о устранимом и неустранимом износе</w:t>
            </w:r>
          </w:p>
        </w:tc>
        <w:tc>
          <w:tcPr>
            <w:tcW w:w="3901" w:type="dxa"/>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Требование к наличию информации о проведении ремонтных работ</w:t>
            </w:r>
          </w:p>
        </w:tc>
      </w:tr>
      <w:tr w:rsidR="0061127A" w:rsidRPr="00346D80" w:rsidTr="00346D80">
        <w:trPr>
          <w:trHeight w:val="20"/>
          <w:jc w:val="center"/>
        </w:trPr>
        <w:tc>
          <w:tcPr>
            <w:tcW w:w="153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2593" w:type="dxa"/>
            <w:vMerge/>
            <w:shd w:val="clear" w:color="auto" w:fill="auto"/>
            <w:vAlign w:val="center"/>
            <w:hideMark/>
          </w:tcPr>
          <w:p w:rsidR="0061127A" w:rsidRPr="00346D80" w:rsidRDefault="0061127A" w:rsidP="00DF580A">
            <w:pPr>
              <w:rPr>
                <w:rFonts w:asciiTheme="majorHAnsi" w:hAnsiTheme="majorHAnsi" w:cstheme="minorBidi"/>
                <w:color w:val="000000"/>
                <w:sz w:val="18"/>
                <w:szCs w:val="18"/>
              </w:rPr>
            </w:pPr>
          </w:p>
        </w:tc>
        <w:tc>
          <w:tcPr>
            <w:tcW w:w="1763" w:type="dxa"/>
            <w:vMerge/>
            <w:vAlign w:val="center"/>
            <w:hideMark/>
          </w:tcPr>
          <w:p w:rsidR="0061127A" w:rsidRPr="00346D80" w:rsidRDefault="0061127A" w:rsidP="00DF580A">
            <w:pPr>
              <w:rPr>
                <w:rFonts w:asciiTheme="majorHAnsi" w:hAnsiTheme="majorHAnsi" w:cstheme="minorBidi"/>
                <w:color w:val="000000"/>
                <w:sz w:val="18"/>
                <w:szCs w:val="18"/>
              </w:rPr>
            </w:pPr>
          </w:p>
        </w:tc>
        <w:tc>
          <w:tcPr>
            <w:tcW w:w="3901" w:type="dxa"/>
            <w:vAlign w:val="center"/>
            <w:hideMark/>
          </w:tcPr>
          <w:p w:rsidR="0061127A" w:rsidRPr="00346D80" w:rsidRDefault="0061127A" w:rsidP="00DF580A">
            <w:pPr>
              <w:jc w:val="center"/>
              <w:rPr>
                <w:rFonts w:asciiTheme="majorHAnsi" w:hAnsiTheme="majorHAnsi" w:cstheme="minorBidi"/>
                <w:color w:val="000000"/>
                <w:sz w:val="18"/>
                <w:szCs w:val="18"/>
              </w:rPr>
            </w:pPr>
            <w:r w:rsidRPr="00346D80">
              <w:rPr>
                <w:rFonts w:asciiTheme="majorHAnsi" w:hAnsiTheme="majorHAnsi" w:cstheme="minorBidi"/>
                <w:color w:val="000000"/>
                <w:sz w:val="18"/>
                <w:szCs w:val="18"/>
              </w:rPr>
              <w:t>Отсутствие целесообразности расчета износа не полностью изношенных отдельных элементов</w:t>
            </w:r>
          </w:p>
        </w:tc>
      </w:tr>
    </w:tbl>
    <w:p w:rsidR="00346D80" w:rsidRDefault="00346D80" w:rsidP="0061127A">
      <w:pPr>
        <w:ind w:firstLine="709"/>
        <w:jc w:val="both"/>
        <w:rPr>
          <w:rFonts w:asciiTheme="majorHAnsi" w:eastAsiaTheme="minorHAnsi" w:hAnsiTheme="majorHAnsi" w:cstheme="minorBidi"/>
          <w:sz w:val="20"/>
          <w:szCs w:val="22"/>
          <w:lang w:eastAsia="en-US"/>
        </w:rPr>
      </w:pPr>
    </w:p>
    <w:p w:rsidR="0061127A" w:rsidRPr="0061127A" w:rsidRDefault="0061127A" w:rsidP="0061127A">
      <w:pPr>
        <w:ind w:firstLine="709"/>
        <w:jc w:val="both"/>
        <w:rPr>
          <w:rFonts w:asciiTheme="majorHAnsi" w:eastAsiaTheme="minorHAnsi" w:hAnsiTheme="majorHAnsi" w:cstheme="minorBidi"/>
          <w:sz w:val="22"/>
          <w:szCs w:val="22"/>
          <w:lang w:eastAsia="en-US"/>
        </w:rPr>
      </w:pPr>
      <w:r w:rsidRPr="0061127A">
        <w:rPr>
          <w:rFonts w:asciiTheme="majorHAnsi" w:eastAsiaTheme="minorHAnsi" w:hAnsiTheme="majorHAnsi" w:cstheme="minorBidi"/>
          <w:sz w:val="20"/>
          <w:szCs w:val="22"/>
          <w:lang w:eastAsia="en-US"/>
        </w:rPr>
        <w:t xml:space="preserve">Физический износ объектов недвижимости в настоящем Отчете определялся экспертным методом расчета. </w:t>
      </w:r>
    </w:p>
    <w:p w:rsidR="0061127A" w:rsidRDefault="0061127A" w:rsidP="0061127A">
      <w:pPr>
        <w:ind w:firstLine="709"/>
        <w:jc w:val="both"/>
        <w:rPr>
          <w:rFonts w:asciiTheme="majorHAnsi" w:eastAsiaTheme="minorHAnsi" w:hAnsiTheme="majorHAnsi" w:cstheme="minorBidi"/>
          <w:b/>
          <w:i/>
          <w:sz w:val="20"/>
          <w:szCs w:val="22"/>
          <w:u w:val="single"/>
          <w:lang w:eastAsia="en-US"/>
        </w:rPr>
      </w:pPr>
      <w:r w:rsidRPr="0061127A">
        <w:rPr>
          <w:rFonts w:asciiTheme="majorHAnsi" w:eastAsiaTheme="minorHAnsi" w:hAnsiTheme="majorHAnsi" w:cstheme="minorBidi"/>
          <w:b/>
          <w:i/>
          <w:sz w:val="20"/>
          <w:szCs w:val="22"/>
          <w:u w:val="single"/>
          <w:lang w:eastAsia="en-US"/>
        </w:rPr>
        <w:t>Пункт 19  Федерального стандарта оценки (ФСО №1)</w:t>
      </w:r>
    </w:p>
    <w:p w:rsidR="00346D80" w:rsidRPr="0061127A" w:rsidRDefault="00346D80" w:rsidP="0061127A">
      <w:pPr>
        <w:ind w:firstLine="709"/>
        <w:jc w:val="both"/>
        <w:rPr>
          <w:rFonts w:asciiTheme="majorHAnsi" w:eastAsiaTheme="minorHAnsi" w:hAnsiTheme="majorHAnsi" w:cstheme="minorBidi"/>
          <w:b/>
          <w:i/>
          <w:sz w:val="23"/>
          <w:szCs w:val="22"/>
          <w:u w:val="single"/>
          <w:lang w:eastAsia="en-US"/>
        </w:rPr>
      </w:pPr>
    </w:p>
    <w:p w:rsidR="0061127A" w:rsidRPr="00346D80" w:rsidRDefault="0061127A" w:rsidP="0061127A">
      <w:pPr>
        <w:ind w:firstLine="709"/>
        <w:jc w:val="both"/>
        <w:rPr>
          <w:rFonts w:asciiTheme="majorHAnsi" w:hAnsiTheme="majorHAnsi"/>
          <w:b/>
          <w:color w:val="000000"/>
          <w:sz w:val="18"/>
          <w:szCs w:val="18"/>
        </w:rPr>
      </w:pPr>
      <w:r w:rsidRPr="0061127A">
        <w:rPr>
          <w:rFonts w:asciiTheme="majorHAnsi" w:hAnsiTheme="majorHAnsi"/>
          <w:color w:val="000000"/>
          <w:sz w:val="22"/>
          <w:szCs w:val="22"/>
        </w:rPr>
        <w:t>«</w:t>
      </w:r>
      <w:r w:rsidRPr="00346D80">
        <w:rPr>
          <w:rFonts w:asciiTheme="majorHAnsi" w:hAnsiTheme="majorHAnsi"/>
          <w:color w:val="000000"/>
          <w:sz w:val="18"/>
          <w:szCs w:val="18"/>
        </w:rPr>
        <w:t>Если в качестве информации, существенной для определения стоимости объекта оценки, используется экспертное суждение оценщика или привлеченного оценщиком специалиста (эксперта), для характеристик, значение которых оценивается таким образом, должны быть описаны условия, при которых указанные характеристики могут достигать тех или иных значений.»</w:t>
      </w:r>
    </w:p>
    <w:p w:rsidR="0061127A" w:rsidRDefault="0061127A" w:rsidP="0061127A">
      <w:pPr>
        <w:ind w:firstLine="709"/>
        <w:jc w:val="both"/>
        <w:rPr>
          <w:rFonts w:asciiTheme="majorHAnsi" w:hAnsiTheme="majorHAnsi" w:cstheme="minorBidi"/>
          <w:sz w:val="20"/>
          <w:lang w:eastAsia="en-US"/>
        </w:rPr>
      </w:pPr>
      <w:r w:rsidRPr="0061127A">
        <w:rPr>
          <w:rFonts w:asciiTheme="majorHAnsi" w:eastAsiaTheme="minorHAnsi" w:hAnsiTheme="majorHAnsi" w:cstheme="minorBidi"/>
          <w:sz w:val="20"/>
          <w:lang w:eastAsia="en-US"/>
        </w:rPr>
        <w:t xml:space="preserve">Критерии экспертной оценки приняты шкалы по аналогии с критериями, установленными  для расчета физического износа зданий </w:t>
      </w:r>
      <w:r w:rsidRPr="0061127A">
        <w:rPr>
          <w:rFonts w:asciiTheme="majorHAnsi" w:hAnsiTheme="majorHAnsi" w:cstheme="minorBidi"/>
          <w:sz w:val="20"/>
          <w:lang w:eastAsia="en-US"/>
        </w:rPr>
        <w:t>«Положению о порядке решения вопросов о сносе жилых домов при реконструкции и застройке городов» утвержденному Госстроем.  Предельный физический износ здания согласно данному положению может составлять не более 70%, здания с предельным износом свыше 70% сносятся по ветхости.</w:t>
      </w:r>
    </w:p>
    <w:p w:rsidR="00DF580A" w:rsidRDefault="00DF580A" w:rsidP="0061127A">
      <w:pPr>
        <w:ind w:firstLine="709"/>
        <w:jc w:val="both"/>
        <w:rPr>
          <w:rFonts w:asciiTheme="majorHAnsi" w:hAnsiTheme="majorHAnsi" w:cstheme="minorBidi"/>
          <w:sz w:val="20"/>
          <w:lang w:eastAsia="en-US"/>
        </w:rPr>
      </w:pPr>
    </w:p>
    <w:p w:rsidR="00346D80" w:rsidRPr="0061127A" w:rsidRDefault="00346D80" w:rsidP="0061127A">
      <w:pPr>
        <w:ind w:firstLine="709"/>
        <w:jc w:val="both"/>
        <w:rPr>
          <w:rFonts w:asciiTheme="majorHAnsi" w:hAnsiTheme="majorHAnsi" w:cstheme="minorBidi"/>
          <w:sz w:val="22"/>
          <w:lang w:eastAsia="en-US"/>
        </w:rPr>
      </w:pPr>
    </w:p>
    <w:p w:rsidR="0061127A" w:rsidRPr="0061127A" w:rsidRDefault="0061127A" w:rsidP="0061127A">
      <w:pPr>
        <w:ind w:firstLine="709"/>
        <w:jc w:val="both"/>
        <w:rPr>
          <w:rFonts w:asciiTheme="majorHAnsi" w:hAnsiTheme="majorHAnsi" w:cstheme="minorBidi"/>
          <w:sz w:val="23"/>
          <w:lang w:eastAsia="en-US"/>
        </w:rPr>
      </w:pPr>
      <w:r w:rsidRPr="0061127A">
        <w:rPr>
          <w:rFonts w:asciiTheme="majorHAnsi" w:hAnsiTheme="majorHAnsi" w:cstheme="minorBidi"/>
          <w:sz w:val="20"/>
          <w:lang w:eastAsia="en-US"/>
        </w:rPr>
        <w:lastRenderedPageBreak/>
        <w:t xml:space="preserve">Оценка состояния здания              Физический износ, % </w:t>
      </w:r>
    </w:p>
    <w:p w:rsidR="0061127A" w:rsidRPr="0061127A" w:rsidRDefault="0061127A" w:rsidP="0061127A">
      <w:pPr>
        <w:tabs>
          <w:tab w:val="left" w:pos="3261"/>
        </w:tabs>
        <w:ind w:firstLine="709"/>
        <w:jc w:val="both"/>
        <w:rPr>
          <w:rFonts w:asciiTheme="majorHAnsi" w:hAnsiTheme="majorHAnsi" w:cstheme="minorBidi"/>
          <w:sz w:val="20"/>
          <w:lang w:eastAsia="en-US"/>
        </w:rPr>
      </w:pPr>
      <w:r w:rsidRPr="0061127A">
        <w:rPr>
          <w:rFonts w:asciiTheme="majorHAnsi" w:hAnsiTheme="majorHAnsi" w:cstheme="minorBidi"/>
          <w:sz w:val="20"/>
          <w:lang w:eastAsia="en-US"/>
        </w:rPr>
        <w:t xml:space="preserve">Хорошее                                                      </w:t>
      </w:r>
      <w:r w:rsidR="00346D80">
        <w:rPr>
          <w:rFonts w:asciiTheme="majorHAnsi" w:hAnsiTheme="majorHAnsi" w:cstheme="minorBidi"/>
          <w:sz w:val="20"/>
          <w:lang w:eastAsia="en-US"/>
        </w:rPr>
        <w:t xml:space="preserve"> </w:t>
      </w:r>
      <w:r w:rsidRPr="0061127A">
        <w:rPr>
          <w:rFonts w:asciiTheme="majorHAnsi" w:hAnsiTheme="majorHAnsi" w:cstheme="minorBidi"/>
          <w:sz w:val="20"/>
          <w:lang w:eastAsia="en-US"/>
        </w:rPr>
        <w:t xml:space="preserve">0—10 </w:t>
      </w:r>
    </w:p>
    <w:p w:rsidR="0061127A" w:rsidRPr="0061127A" w:rsidRDefault="0061127A" w:rsidP="0061127A">
      <w:pPr>
        <w:tabs>
          <w:tab w:val="left" w:pos="3261"/>
        </w:tabs>
        <w:ind w:firstLine="709"/>
        <w:jc w:val="both"/>
        <w:rPr>
          <w:rFonts w:asciiTheme="majorHAnsi" w:hAnsiTheme="majorHAnsi" w:cstheme="minorBidi"/>
          <w:sz w:val="20"/>
          <w:lang w:eastAsia="en-US"/>
        </w:rPr>
      </w:pPr>
      <w:r w:rsidRPr="0061127A">
        <w:rPr>
          <w:rFonts w:asciiTheme="majorHAnsi" w:hAnsiTheme="majorHAnsi" w:cstheme="minorBidi"/>
          <w:sz w:val="20"/>
          <w:lang w:eastAsia="en-US"/>
        </w:rPr>
        <w:t>Вполне удовлетворительное             </w:t>
      </w:r>
      <w:r w:rsidR="0001080D">
        <w:rPr>
          <w:rFonts w:asciiTheme="majorHAnsi" w:hAnsiTheme="majorHAnsi" w:cstheme="minorBidi"/>
          <w:sz w:val="20"/>
          <w:lang w:eastAsia="en-US"/>
        </w:rPr>
        <w:t xml:space="preserve">  </w:t>
      </w:r>
      <w:r w:rsidRPr="0061127A">
        <w:rPr>
          <w:rFonts w:asciiTheme="majorHAnsi" w:hAnsiTheme="majorHAnsi" w:cstheme="minorBidi"/>
          <w:sz w:val="20"/>
          <w:lang w:eastAsia="en-US"/>
        </w:rPr>
        <w:t>11—</w:t>
      </w:r>
      <w:r w:rsidR="00346D80">
        <w:rPr>
          <w:rFonts w:asciiTheme="majorHAnsi" w:hAnsiTheme="majorHAnsi" w:cstheme="minorBidi"/>
          <w:sz w:val="20"/>
          <w:lang w:eastAsia="en-US"/>
        </w:rPr>
        <w:t xml:space="preserve"> </w:t>
      </w:r>
      <w:r w:rsidRPr="0061127A">
        <w:rPr>
          <w:rFonts w:asciiTheme="majorHAnsi" w:hAnsiTheme="majorHAnsi" w:cstheme="minorBidi"/>
          <w:sz w:val="20"/>
          <w:lang w:eastAsia="en-US"/>
        </w:rPr>
        <w:t xml:space="preserve">20 </w:t>
      </w:r>
    </w:p>
    <w:p w:rsidR="0061127A" w:rsidRPr="0061127A" w:rsidRDefault="0061127A" w:rsidP="0061127A">
      <w:pPr>
        <w:tabs>
          <w:tab w:val="left" w:pos="3261"/>
        </w:tabs>
        <w:ind w:firstLine="709"/>
        <w:jc w:val="both"/>
        <w:rPr>
          <w:rFonts w:asciiTheme="majorHAnsi" w:hAnsiTheme="majorHAnsi" w:cstheme="minorBidi"/>
          <w:sz w:val="20"/>
          <w:lang w:eastAsia="en-US"/>
        </w:rPr>
      </w:pPr>
      <w:r w:rsidRPr="0061127A">
        <w:rPr>
          <w:rFonts w:asciiTheme="majorHAnsi" w:hAnsiTheme="majorHAnsi" w:cstheme="minorBidi"/>
          <w:sz w:val="20"/>
          <w:lang w:eastAsia="en-US"/>
        </w:rPr>
        <w:t xml:space="preserve">Удовлетворительное                            </w:t>
      </w:r>
      <w:r w:rsidR="00346D80">
        <w:rPr>
          <w:rFonts w:asciiTheme="majorHAnsi" w:hAnsiTheme="majorHAnsi" w:cstheme="minorBidi"/>
          <w:sz w:val="20"/>
          <w:lang w:eastAsia="en-US"/>
        </w:rPr>
        <w:t xml:space="preserve"> </w:t>
      </w:r>
      <w:r w:rsidRPr="0061127A">
        <w:rPr>
          <w:rFonts w:asciiTheme="majorHAnsi" w:hAnsiTheme="majorHAnsi" w:cstheme="minorBidi"/>
          <w:sz w:val="20"/>
          <w:lang w:eastAsia="en-US"/>
        </w:rPr>
        <w:t>21—</w:t>
      </w:r>
      <w:r w:rsidR="00346D80">
        <w:rPr>
          <w:rFonts w:asciiTheme="majorHAnsi" w:hAnsiTheme="majorHAnsi" w:cstheme="minorBidi"/>
          <w:sz w:val="20"/>
          <w:lang w:eastAsia="en-US"/>
        </w:rPr>
        <w:t xml:space="preserve"> </w:t>
      </w:r>
      <w:r w:rsidRPr="0061127A">
        <w:rPr>
          <w:rFonts w:asciiTheme="majorHAnsi" w:hAnsiTheme="majorHAnsi" w:cstheme="minorBidi"/>
          <w:sz w:val="20"/>
          <w:lang w:eastAsia="en-US"/>
        </w:rPr>
        <w:t xml:space="preserve">30 </w:t>
      </w:r>
    </w:p>
    <w:p w:rsidR="0061127A" w:rsidRPr="0061127A" w:rsidRDefault="0061127A" w:rsidP="0061127A">
      <w:pPr>
        <w:tabs>
          <w:tab w:val="left" w:pos="3261"/>
        </w:tabs>
        <w:ind w:firstLine="709"/>
        <w:jc w:val="both"/>
        <w:rPr>
          <w:rFonts w:asciiTheme="majorHAnsi" w:hAnsiTheme="majorHAnsi" w:cstheme="minorBidi"/>
          <w:sz w:val="20"/>
          <w:lang w:eastAsia="en-US"/>
        </w:rPr>
      </w:pPr>
      <w:r w:rsidRPr="0061127A">
        <w:rPr>
          <w:rFonts w:asciiTheme="majorHAnsi" w:hAnsiTheme="majorHAnsi" w:cstheme="minorBidi"/>
          <w:sz w:val="20"/>
          <w:lang w:eastAsia="en-US"/>
        </w:rPr>
        <w:t>Не вп</w:t>
      </w:r>
      <w:r w:rsidR="00346D80">
        <w:rPr>
          <w:rFonts w:asciiTheme="majorHAnsi" w:hAnsiTheme="majorHAnsi" w:cstheme="minorBidi"/>
          <w:sz w:val="20"/>
          <w:lang w:eastAsia="en-US"/>
        </w:rPr>
        <w:t>олне удовлетворительное       </w:t>
      </w:r>
      <w:r w:rsidR="0001080D">
        <w:rPr>
          <w:rFonts w:asciiTheme="majorHAnsi" w:hAnsiTheme="majorHAnsi" w:cstheme="minorBidi"/>
          <w:sz w:val="20"/>
          <w:lang w:eastAsia="en-US"/>
        </w:rPr>
        <w:t xml:space="preserve">  </w:t>
      </w:r>
      <w:r w:rsidR="00346D80">
        <w:rPr>
          <w:rFonts w:asciiTheme="majorHAnsi" w:hAnsiTheme="majorHAnsi" w:cstheme="minorBidi"/>
          <w:sz w:val="20"/>
          <w:lang w:eastAsia="en-US"/>
        </w:rPr>
        <w:t>31</w:t>
      </w:r>
      <w:r w:rsidRPr="0061127A">
        <w:rPr>
          <w:rFonts w:asciiTheme="majorHAnsi" w:hAnsiTheme="majorHAnsi" w:cstheme="minorBidi"/>
          <w:sz w:val="20"/>
          <w:lang w:eastAsia="en-US"/>
        </w:rPr>
        <w:t xml:space="preserve">— 40 </w:t>
      </w:r>
    </w:p>
    <w:p w:rsidR="0061127A" w:rsidRPr="0061127A" w:rsidRDefault="0061127A" w:rsidP="0061127A">
      <w:pPr>
        <w:tabs>
          <w:tab w:val="left" w:pos="3261"/>
        </w:tabs>
        <w:ind w:firstLine="709"/>
        <w:jc w:val="both"/>
        <w:rPr>
          <w:rFonts w:asciiTheme="majorHAnsi" w:hAnsiTheme="majorHAnsi" w:cstheme="minorBidi"/>
          <w:sz w:val="20"/>
          <w:lang w:eastAsia="en-US"/>
        </w:rPr>
      </w:pPr>
      <w:r w:rsidRPr="0061127A">
        <w:rPr>
          <w:rFonts w:asciiTheme="majorHAnsi" w:hAnsiTheme="majorHAnsi" w:cstheme="minorBidi"/>
          <w:sz w:val="20"/>
          <w:lang w:eastAsia="en-US"/>
        </w:rPr>
        <w:t>Неудовлетворительное                        41—</w:t>
      </w:r>
      <w:r w:rsidR="00346D80">
        <w:rPr>
          <w:rFonts w:asciiTheme="majorHAnsi" w:hAnsiTheme="majorHAnsi" w:cstheme="minorBidi"/>
          <w:sz w:val="20"/>
          <w:lang w:eastAsia="en-US"/>
        </w:rPr>
        <w:t xml:space="preserve"> </w:t>
      </w:r>
      <w:r w:rsidR="00344590">
        <w:rPr>
          <w:rFonts w:asciiTheme="majorHAnsi" w:hAnsiTheme="majorHAnsi" w:cstheme="minorBidi"/>
          <w:sz w:val="20"/>
          <w:lang w:eastAsia="en-US"/>
        </w:rPr>
        <w:t>75</w:t>
      </w:r>
      <w:r w:rsidRPr="0061127A">
        <w:rPr>
          <w:rFonts w:asciiTheme="majorHAnsi" w:hAnsiTheme="majorHAnsi" w:cstheme="minorBidi"/>
          <w:sz w:val="20"/>
          <w:lang w:eastAsia="en-US"/>
        </w:rPr>
        <w:t xml:space="preserve"> </w:t>
      </w:r>
    </w:p>
    <w:p w:rsidR="0061127A" w:rsidRPr="0061127A" w:rsidRDefault="0061127A" w:rsidP="0061127A">
      <w:pPr>
        <w:tabs>
          <w:tab w:val="left" w:pos="3261"/>
        </w:tabs>
        <w:ind w:firstLine="709"/>
        <w:jc w:val="both"/>
        <w:rPr>
          <w:rFonts w:asciiTheme="majorHAnsi" w:hAnsiTheme="majorHAnsi" w:cstheme="minorBidi"/>
          <w:sz w:val="20"/>
          <w:lang w:eastAsia="en-US"/>
        </w:rPr>
      </w:pPr>
      <w:r w:rsidRPr="0061127A">
        <w:rPr>
          <w:rFonts w:asciiTheme="majorHAnsi" w:hAnsiTheme="majorHAnsi" w:cstheme="minorBidi"/>
          <w:sz w:val="20"/>
          <w:lang w:eastAsia="en-US"/>
        </w:rPr>
        <w:t>Непригодное</w:t>
      </w:r>
      <w:r w:rsidR="00C352AF">
        <w:rPr>
          <w:rFonts w:asciiTheme="majorHAnsi" w:hAnsiTheme="majorHAnsi" w:cstheme="minorBidi"/>
          <w:sz w:val="20"/>
          <w:lang w:eastAsia="en-US"/>
        </w:rPr>
        <w:t xml:space="preserve"> (аварийное)                   </w:t>
      </w:r>
      <w:r w:rsidRPr="0061127A">
        <w:rPr>
          <w:rFonts w:asciiTheme="majorHAnsi" w:hAnsiTheme="majorHAnsi" w:cstheme="minorBidi"/>
          <w:sz w:val="20"/>
          <w:lang w:eastAsia="en-US"/>
        </w:rPr>
        <w:t xml:space="preserve">75 и выше </w:t>
      </w:r>
    </w:p>
    <w:p w:rsidR="0061127A" w:rsidRPr="0061127A" w:rsidRDefault="0061127A" w:rsidP="0061127A">
      <w:pPr>
        <w:tabs>
          <w:tab w:val="left" w:pos="3261"/>
        </w:tabs>
        <w:ind w:firstLine="709"/>
        <w:jc w:val="both"/>
        <w:rPr>
          <w:rFonts w:asciiTheme="majorHAnsi" w:hAnsiTheme="majorHAnsi" w:cstheme="minorBidi"/>
          <w:sz w:val="20"/>
          <w:lang w:eastAsia="en-US"/>
        </w:rPr>
      </w:pPr>
    </w:p>
    <w:p w:rsidR="0061127A" w:rsidRPr="0061127A" w:rsidRDefault="0061127A" w:rsidP="0061127A">
      <w:pPr>
        <w:ind w:firstLine="709"/>
        <w:jc w:val="both"/>
        <w:rPr>
          <w:rFonts w:asciiTheme="majorHAnsi" w:eastAsiaTheme="minorHAnsi" w:hAnsiTheme="majorHAnsi" w:cstheme="minorBidi"/>
          <w:sz w:val="20"/>
          <w:lang w:eastAsia="en-US"/>
        </w:rPr>
      </w:pPr>
      <w:r w:rsidRPr="0061127A">
        <w:rPr>
          <w:rFonts w:asciiTheme="majorHAnsi" w:eastAsiaTheme="minorHAnsi" w:hAnsiTheme="majorHAnsi" w:cstheme="minorBidi"/>
          <w:sz w:val="20"/>
          <w:lang w:eastAsia="en-US"/>
        </w:rPr>
        <w:t>В связи с тем, что неустранимый и устранимый физический износ определен при осмотре и (с учетом того, что за период с даты оценки до даты составления отчета имели место несущественные изменения в состоянии объектов, вызванные их нормальной эксплуатацией,  которые привели к изменению рыночной стоимости объектов в пределах их «возрастного» физического устаревания) включен в величину общего износа оцениваемого объекта, в дальнейших расчетах раздельно стоимость устранимого и неустранимого физического износа не учитывается.</w:t>
      </w:r>
    </w:p>
    <w:p w:rsidR="0061127A" w:rsidRPr="0061127A" w:rsidRDefault="0061127A" w:rsidP="0061127A">
      <w:pPr>
        <w:ind w:firstLine="709"/>
        <w:jc w:val="both"/>
        <w:rPr>
          <w:rFonts w:asciiTheme="majorHAnsi" w:eastAsiaTheme="minorHAnsi" w:hAnsiTheme="majorHAnsi" w:cstheme="minorBidi"/>
          <w:sz w:val="20"/>
          <w:lang w:eastAsia="en-US"/>
        </w:rPr>
      </w:pPr>
      <w:r w:rsidRPr="0061127A">
        <w:rPr>
          <w:rFonts w:asciiTheme="majorHAnsi" w:eastAsiaTheme="minorHAnsi" w:hAnsiTheme="majorHAnsi" w:cstheme="minorBidi"/>
          <w:sz w:val="20"/>
          <w:lang w:eastAsia="en-US"/>
        </w:rPr>
        <w:t xml:space="preserve">Физический износ объектов недвижимости в настоящем Отчете определялся  с помощью </w:t>
      </w:r>
      <w:r w:rsidR="0068381D">
        <w:rPr>
          <w:rFonts w:asciiTheme="majorHAnsi" w:eastAsiaTheme="minorHAnsi" w:hAnsiTheme="majorHAnsi" w:cstheme="minorBidi"/>
          <w:sz w:val="20"/>
          <w:lang w:eastAsia="en-US"/>
        </w:rPr>
        <w:t xml:space="preserve">экспертного метода, </w:t>
      </w:r>
      <w:r w:rsidRPr="0061127A">
        <w:rPr>
          <w:rFonts w:asciiTheme="majorHAnsi" w:eastAsiaTheme="minorHAnsi" w:hAnsiTheme="majorHAnsi" w:cstheme="minorBidi"/>
          <w:sz w:val="20"/>
          <w:lang w:eastAsia="en-US"/>
        </w:rPr>
        <w:t>согласно фактическому техническому состоянию объект</w:t>
      </w:r>
      <w:r w:rsidR="0068381D">
        <w:rPr>
          <w:rFonts w:asciiTheme="majorHAnsi" w:eastAsiaTheme="minorHAnsi" w:hAnsiTheme="majorHAnsi" w:cstheme="minorBidi"/>
          <w:sz w:val="20"/>
          <w:lang w:eastAsia="en-US"/>
        </w:rPr>
        <w:t>ов</w:t>
      </w:r>
      <w:r w:rsidRPr="0061127A">
        <w:rPr>
          <w:rFonts w:asciiTheme="majorHAnsi" w:eastAsiaTheme="minorHAnsi" w:hAnsiTheme="majorHAnsi" w:cstheme="minorBidi"/>
          <w:sz w:val="20"/>
          <w:lang w:eastAsia="en-US"/>
        </w:rPr>
        <w:t xml:space="preserve"> недвижимости и году постройки с учетом нормативного срока эксплуатации (с учетом срока нормативной эксплуатации основных базовых конструктивных элементов – стен) около 120 лет для зданий. Оценщик исходит из допущения, что с даты оценки до даты осмотра не было значительных изменений технического состояния объектов капитального строительства (отсутствие капитального ремонта).</w:t>
      </w:r>
    </w:p>
    <w:p w:rsidR="0061127A" w:rsidRPr="0061127A" w:rsidRDefault="0061127A" w:rsidP="00346D80">
      <w:pPr>
        <w:spacing w:before="100" w:beforeAutospacing="1" w:after="100" w:afterAutospacing="1"/>
        <w:jc w:val="center"/>
        <w:rPr>
          <w:rFonts w:cstheme="minorBidi"/>
          <w:lang w:eastAsia="en-US"/>
        </w:rPr>
      </w:pPr>
      <w:r w:rsidRPr="0061127A">
        <w:rPr>
          <w:rFonts w:asciiTheme="majorHAnsi" w:hAnsiTheme="majorHAnsi" w:cstheme="minorBidi"/>
          <w:b/>
          <w:bCs/>
          <w:lang w:eastAsia="en-US"/>
        </w:rPr>
        <w:t>Нормативные показатели для расчета эксплуатационных расходов по жилым и общественным зданиям</w:t>
      </w: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79"/>
        <w:gridCol w:w="7024"/>
        <w:gridCol w:w="1598"/>
      </w:tblGrid>
      <w:tr w:rsidR="0061127A" w:rsidRPr="0061127A" w:rsidTr="007C17E4">
        <w:trPr>
          <w:tblCellSpacing w:w="0" w:type="dxa"/>
          <w:jc w:val="center"/>
        </w:trPr>
        <w:tc>
          <w:tcPr>
            <w:tcW w:w="7503" w:type="dxa"/>
            <w:gridSpan w:val="2"/>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Характеристика конструктивного элемента и инженерного оборудования</w:t>
            </w:r>
          </w:p>
        </w:tc>
        <w:tc>
          <w:tcPr>
            <w:tcW w:w="1598" w:type="dxa"/>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Срок службы в годах</w:t>
            </w:r>
          </w:p>
        </w:tc>
      </w:tr>
      <w:tr w:rsidR="0061127A" w:rsidRPr="0061127A" w:rsidTr="00346D80">
        <w:trPr>
          <w:tblCellSpacing w:w="0" w:type="dxa"/>
          <w:jc w:val="center"/>
        </w:trPr>
        <w:tc>
          <w:tcPr>
            <w:tcW w:w="7503" w:type="dxa"/>
            <w:gridSpan w:val="2"/>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1</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2</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w:t>
            </w: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Фундаменты: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бетонные, железобетонные, ленточные и свайные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150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бутовые на сложном растворе или цементном растворе, бутобетоне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150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бутовые на известковом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100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2.</w:t>
            </w: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Стены: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капитальные, кирпичные при толщине стен в 2,5-3,5 кирпича на сложном или цементном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150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кирпичные с железобетонным или металлическим каркасом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150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крупноблочные толщиной 40 см и более шлакобетонных или керамзитобетонных блоков на цементном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125</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кирпичные с толщиной стен в 2,0-2,5 кирпича на известковом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125</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крупноблочные из шлакобетонных и керамзитобетонных блоков толщиной 40 см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125</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крупноблочные из силикальцитных, кирпичных, легкобетонных и зольно-сланцевых блоков</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100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крупнопанельные однослойные из шлакобетона, керамзитобетона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125</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многослойные из железобетонных плит и утеплителя, керамзитобетонные, виброкирпичные с утеплителем, кирпичные облегченные при толщине 1,5-2 кирпича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100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3.</w:t>
            </w: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Перекрытия железобетонные.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монолитные, сборно-монолитные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150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сборные из панелей и настилов толщиной более 10 см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150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толщиной 10 см и менее 10 см и ребристое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70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сборные по ж/б балкам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150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железобетонные или бетонные по металлическим балкам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125</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4.</w:t>
            </w: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Полы: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из метлахской и керамической плитки по бетонному основанию</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80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паркетные дубовые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80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то же, буковые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50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дощатые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30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из поливинилхлоридных плиток, линолеума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5.</w:t>
            </w: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Лестницы: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из сборных железобетонных элементов, из каменных, бетонных и железобетонных плит по металлическим и железобетонным косоурам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100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6.</w:t>
            </w: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Крыши: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А. Несущие элементы: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из сборных железобетонных настилов</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150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из железобетонных стропил и обрешетки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150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железобетонные совмещенные крыши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100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Б. кровля из:</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керамической первосортной черепицы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80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асбестоцементных плит и волнистого асбошифера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30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оцинкованной стали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25</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черной листовой стали, окрашенной масляными или синтетическими красками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15</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рулонных материалов</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8</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7.</w:t>
            </w: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Перегородки: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железобетонные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150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шлакобетонные, бетонные, кирпичные, оштукатуренные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75</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гипсовые, гипсоволокнистые, гипсобетонные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60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деревянные оштукатуренные или обитые сухой штукатуркой</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40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8.</w:t>
            </w: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Двери и окна: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дверные и оконные блоки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20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9.</w:t>
            </w: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Внутренняя отделка: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штукатурка по бетонным и кирпичным стенам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50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штукатурка по деревянным перегородкам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35</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масляная окраска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6</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оклейка стен обоями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4</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10.</w:t>
            </w: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Инженерное оборудование: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водопровод и канализация</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30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отопление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30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горячее водоснабжение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вентиляция</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30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электроосвещение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15</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электроплиты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20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газооборудование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20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лифты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20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11.</w:t>
            </w: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Благоустройство придомового участка: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благоустройство участка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15</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12.</w:t>
            </w: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Наружная отделка: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облицовка стен естественным камнем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125</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облицовка стен керамическими плитками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75</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терразитовая штукатурка с мраморной крошкой</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50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облицовка ковровой плиткой</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35</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штукатурка по кирпичу на сложном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30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штукатурка по кирпичу на известковом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20</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штукатурка по дереву</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15</w:t>
            </w:r>
          </w:p>
        </w:tc>
      </w:tr>
      <w:tr w:rsidR="0061127A" w:rsidRPr="0061127A" w:rsidTr="00346D80">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rPr>
                <w:rFonts w:ascii="Calibri" w:eastAsiaTheme="minorHAnsi" w:hAnsi="Calibri"/>
                <w:sz w:val="20"/>
                <w:szCs w:val="20"/>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ind w:firstLine="709"/>
              <w:jc w:val="center"/>
              <w:rPr>
                <w:rFonts w:ascii="Cambria" w:hAnsi="Cambria"/>
                <w:sz w:val="20"/>
                <w:szCs w:val="20"/>
                <w:lang w:eastAsia="en-US"/>
              </w:rPr>
            </w:pPr>
            <w:r w:rsidRPr="0061127A">
              <w:rPr>
                <w:rFonts w:asciiTheme="majorHAnsi" w:hAnsiTheme="majorHAnsi" w:cstheme="minorBidi"/>
                <w:sz w:val="20"/>
                <w:szCs w:val="20"/>
                <w:lang w:eastAsia="en-US"/>
              </w:rPr>
              <w:t>- окраска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61127A" w:rsidRPr="0061127A" w:rsidRDefault="0061127A" w:rsidP="007C17E4">
            <w:pPr>
              <w:jc w:val="center"/>
              <w:rPr>
                <w:rFonts w:ascii="Cambria" w:hAnsi="Cambria"/>
                <w:sz w:val="20"/>
                <w:szCs w:val="20"/>
                <w:lang w:eastAsia="en-US"/>
              </w:rPr>
            </w:pPr>
            <w:r w:rsidRPr="0061127A">
              <w:rPr>
                <w:rFonts w:asciiTheme="majorHAnsi" w:hAnsiTheme="majorHAnsi" w:cstheme="minorBidi"/>
                <w:sz w:val="20"/>
                <w:szCs w:val="20"/>
                <w:lang w:eastAsia="en-US"/>
              </w:rPr>
              <w:t>5</w:t>
            </w:r>
          </w:p>
        </w:tc>
      </w:tr>
    </w:tbl>
    <w:p w:rsidR="0061127A" w:rsidRPr="0061127A" w:rsidRDefault="0061127A" w:rsidP="0061127A">
      <w:pPr>
        <w:spacing w:before="120"/>
        <w:ind w:firstLine="709"/>
        <w:jc w:val="both"/>
        <w:rPr>
          <w:rFonts w:ascii="Cambria" w:hAnsi="Cambria" w:cstheme="minorBidi"/>
          <w:sz w:val="20"/>
          <w:szCs w:val="20"/>
          <w:lang w:eastAsia="en-US"/>
        </w:rPr>
      </w:pPr>
      <w:r w:rsidRPr="0061127A">
        <w:rPr>
          <w:rFonts w:asciiTheme="majorHAnsi" w:hAnsiTheme="majorHAnsi" w:cstheme="minorBidi"/>
          <w:sz w:val="20"/>
          <w:szCs w:val="20"/>
          <w:lang w:eastAsia="en-US"/>
        </w:rPr>
        <w:t xml:space="preserve">* Методические рекомендации по технико-экономической оценке санитарно-технических систем (отопление и вентиляция) зданий ЦНИИЭП инж. оборуд. М., 85 г. </w:t>
      </w:r>
    </w:p>
    <w:p w:rsidR="0061127A" w:rsidRPr="0061127A" w:rsidRDefault="0061127A" w:rsidP="007C17E4">
      <w:pPr>
        <w:spacing w:before="120" w:after="120"/>
        <w:ind w:firstLine="709"/>
        <w:rPr>
          <w:rFonts w:ascii="Cambria" w:eastAsia="Calibri" w:hAnsi="Cambria" w:cstheme="minorBidi"/>
          <w:b/>
          <w:bCs/>
          <w:sz w:val="23"/>
          <w:szCs w:val="22"/>
          <w:lang w:eastAsia="en-US"/>
        </w:rPr>
      </w:pPr>
      <w:r w:rsidRPr="0061127A">
        <w:rPr>
          <w:rFonts w:ascii="Cambria" w:eastAsiaTheme="minorHAnsi" w:hAnsi="Cambria" w:cstheme="minorBidi"/>
          <w:b/>
          <w:bCs/>
          <w:sz w:val="20"/>
          <w:szCs w:val="22"/>
          <w:lang w:eastAsia="en-US"/>
        </w:rPr>
        <w:t>Функциональный износ</w:t>
      </w:r>
    </w:p>
    <w:p w:rsidR="0061127A" w:rsidRPr="007C17E4" w:rsidRDefault="0061127A" w:rsidP="00DF580A">
      <w:pPr>
        <w:ind w:firstLine="709"/>
        <w:jc w:val="both"/>
        <w:rPr>
          <w:rFonts w:ascii="Cambria" w:hAnsi="Cambria" w:cs="Verdana"/>
          <w:sz w:val="20"/>
          <w:szCs w:val="20"/>
        </w:rPr>
      </w:pPr>
      <w:r w:rsidRPr="00DF580A">
        <w:rPr>
          <w:rFonts w:ascii="Cambria" w:eastAsiaTheme="minorHAnsi" w:hAnsi="Cambria" w:cs="Verdana"/>
          <w:b/>
          <w:bCs/>
          <w:sz w:val="20"/>
          <w:szCs w:val="20"/>
          <w:lang w:eastAsia="en-US"/>
        </w:rPr>
        <w:t>Функциональный износ</w:t>
      </w:r>
      <w:r w:rsidRPr="0061127A">
        <w:rPr>
          <w:rFonts w:ascii="Cambria" w:eastAsiaTheme="minorHAnsi" w:hAnsi="Cambria" w:cs="Verdana"/>
          <w:b/>
          <w:bCs/>
          <w:sz w:val="18"/>
          <w:szCs w:val="20"/>
          <w:lang w:eastAsia="en-US"/>
        </w:rPr>
        <w:t xml:space="preserve"> </w:t>
      </w:r>
      <w:r w:rsidRPr="0061127A">
        <w:rPr>
          <w:rFonts w:ascii="Cambria" w:eastAsiaTheme="minorHAnsi" w:hAnsi="Cambria" w:cs="Verdana"/>
          <w:sz w:val="18"/>
          <w:szCs w:val="20"/>
          <w:lang w:eastAsia="en-US"/>
        </w:rPr>
        <w:t>(</w:t>
      </w:r>
      <w:r w:rsidRPr="007C17E4">
        <w:rPr>
          <w:rFonts w:ascii="Cambria" w:hAnsi="Cambria" w:cs="Verdana"/>
          <w:sz w:val="20"/>
          <w:szCs w:val="20"/>
        </w:rPr>
        <w:t xml:space="preserve">обесценивание) есть потеря в стоимости, вызванная тем, что объект не соответствует современным стандартам с точки зрения его функциональной полезности. Функциональное устаревание может проявляться в устаревшей архитектуре здания, в удобствах его планировки, объемах, </w:t>
      </w:r>
      <w:r w:rsidRPr="007C17E4">
        <w:rPr>
          <w:rFonts w:ascii="Cambria" w:hAnsi="Cambria" w:cs="Verdana"/>
          <w:sz w:val="20"/>
          <w:szCs w:val="20"/>
        </w:rPr>
        <w:lastRenderedPageBreak/>
        <w:t>инженерном обеспечении, в излишке производственных мощностей, конструкционной избыточности, недостатке утилитарности, избытке переменных производственных затрат и т. д. Функциональное устаревание обусловлено влиянием научно-технического прогресса в области архитектуры и строительства. Функциональный износ может быть устранимым и неустранимым.</w:t>
      </w:r>
    </w:p>
    <w:p w:rsidR="0061127A" w:rsidRPr="007C17E4" w:rsidRDefault="0061127A" w:rsidP="00DF580A">
      <w:pPr>
        <w:ind w:firstLine="709"/>
        <w:jc w:val="both"/>
        <w:rPr>
          <w:rFonts w:ascii="Cambria" w:hAnsi="Cambria" w:cs="Verdana"/>
          <w:sz w:val="20"/>
          <w:szCs w:val="20"/>
        </w:rPr>
      </w:pPr>
      <w:r w:rsidRPr="007C17E4">
        <w:rPr>
          <w:rFonts w:ascii="Cambria" w:hAnsi="Cambria" w:cs="Verdana"/>
          <w:sz w:val="20"/>
          <w:szCs w:val="20"/>
        </w:rPr>
        <w:t>Критерием того, является ли износ устранимым или нет, является сравнение величины затрат на ремонт с величиной дополнительно полученной стоимости. Если дополнительно полученная стоимость превышает затраты на восстановление, то функциональный износ  устранимый. Величина устранимого износа определяется как разница между потенциальной стоимостью здания на момент его оценки с обновленными элементами и его же стоимостью на дату оценки без обновленных элементов.</w:t>
      </w:r>
    </w:p>
    <w:p w:rsidR="0061127A" w:rsidRPr="007C17E4" w:rsidRDefault="0061127A" w:rsidP="00DF580A">
      <w:pPr>
        <w:ind w:firstLine="709"/>
        <w:jc w:val="both"/>
        <w:rPr>
          <w:rFonts w:ascii="Cambria" w:hAnsi="Cambria" w:cs="Verdana"/>
          <w:sz w:val="20"/>
          <w:szCs w:val="20"/>
        </w:rPr>
      </w:pPr>
      <w:r w:rsidRPr="007C17E4">
        <w:rPr>
          <w:rFonts w:ascii="Cambria" w:hAnsi="Cambria" w:cs="Verdana"/>
          <w:sz w:val="20"/>
          <w:szCs w:val="20"/>
        </w:rPr>
        <w:t>К неустранимому функциональному износу относится уменьшение стоимости, свя</w:t>
      </w:r>
      <w:r w:rsidRPr="007C17E4">
        <w:rPr>
          <w:rFonts w:ascii="Cambria" w:hAnsi="Cambria" w:cs="Verdana"/>
          <w:sz w:val="20"/>
          <w:szCs w:val="20"/>
        </w:rPr>
        <w:softHyphen/>
        <w:t>занное с избытком или недостатком качественных характеристик здания. Величину данного вида износа рассчитывают как величину потерь от арендной платы при сдаче в аренду объекта недвижимости, умноженную на мультипликатор валовой рентной платы, характерный для данного вида недвижимости.</w:t>
      </w:r>
    </w:p>
    <w:p w:rsidR="0061127A" w:rsidRPr="0061127A" w:rsidRDefault="0061127A" w:rsidP="00DF580A">
      <w:pPr>
        <w:ind w:firstLine="709"/>
        <w:jc w:val="both"/>
        <w:rPr>
          <w:rFonts w:ascii="Cambria" w:eastAsiaTheme="minorHAnsi" w:hAnsi="Cambria" w:cs="Verdana"/>
          <w:sz w:val="18"/>
          <w:szCs w:val="20"/>
          <w:lang w:eastAsia="en-US"/>
        </w:rPr>
      </w:pPr>
      <w:r w:rsidRPr="007C17E4">
        <w:rPr>
          <w:rFonts w:ascii="Cambria" w:hAnsi="Cambria" w:cs="Verdana"/>
          <w:sz w:val="20"/>
          <w:szCs w:val="20"/>
        </w:rPr>
        <w:t>По мнению оценщика, функциональный (моральный) износ для рассматриваем</w:t>
      </w:r>
      <w:r w:rsidR="007C17E4">
        <w:rPr>
          <w:rFonts w:ascii="Cambria" w:hAnsi="Cambria" w:cs="Verdana"/>
          <w:sz w:val="20"/>
          <w:szCs w:val="20"/>
        </w:rPr>
        <w:t>ого</w:t>
      </w:r>
      <w:r w:rsidRPr="007C17E4">
        <w:rPr>
          <w:rFonts w:ascii="Cambria" w:hAnsi="Cambria" w:cs="Verdana"/>
          <w:sz w:val="20"/>
          <w:szCs w:val="20"/>
        </w:rPr>
        <w:t xml:space="preserve"> объект</w:t>
      </w:r>
      <w:r w:rsidR="007C17E4">
        <w:rPr>
          <w:rFonts w:ascii="Cambria" w:hAnsi="Cambria" w:cs="Verdana"/>
          <w:sz w:val="20"/>
          <w:szCs w:val="20"/>
        </w:rPr>
        <w:t>а</w:t>
      </w:r>
      <w:r w:rsidRPr="007C17E4">
        <w:rPr>
          <w:rFonts w:ascii="Cambria" w:hAnsi="Cambria" w:cs="Verdana"/>
          <w:sz w:val="20"/>
          <w:szCs w:val="20"/>
        </w:rPr>
        <w:t xml:space="preserve"> не влияет на </w:t>
      </w:r>
      <w:r w:rsidR="007C17E4">
        <w:rPr>
          <w:rFonts w:ascii="Cambria" w:hAnsi="Cambria" w:cs="Verdana"/>
          <w:sz w:val="20"/>
          <w:szCs w:val="20"/>
        </w:rPr>
        <w:t>его</w:t>
      </w:r>
      <w:r w:rsidRPr="007C17E4">
        <w:rPr>
          <w:rFonts w:ascii="Cambria" w:hAnsi="Cambria" w:cs="Verdana"/>
          <w:sz w:val="20"/>
          <w:szCs w:val="20"/>
        </w:rPr>
        <w:t xml:space="preserve"> стоимость, т.к. отсутствуют различия в конструктивных решениях и применяемых материалах в зданиях аналогичного функционального назначения современной постройки.</w:t>
      </w:r>
    </w:p>
    <w:p w:rsidR="0061127A" w:rsidRPr="0061127A" w:rsidRDefault="0061127A" w:rsidP="007C17E4">
      <w:pPr>
        <w:spacing w:before="120" w:after="120"/>
        <w:ind w:firstLine="709"/>
        <w:rPr>
          <w:rFonts w:ascii="Cambria" w:eastAsiaTheme="minorHAnsi" w:hAnsi="Cambria" w:cstheme="minorBidi"/>
          <w:b/>
          <w:bCs/>
          <w:sz w:val="23"/>
          <w:szCs w:val="22"/>
          <w:lang w:eastAsia="en-US"/>
        </w:rPr>
      </w:pPr>
      <w:r w:rsidRPr="0061127A">
        <w:rPr>
          <w:rFonts w:ascii="Cambria" w:eastAsiaTheme="minorHAnsi" w:hAnsi="Cambria" w:cstheme="minorBidi"/>
          <w:b/>
          <w:bCs/>
          <w:sz w:val="20"/>
          <w:szCs w:val="22"/>
          <w:lang w:eastAsia="en-US"/>
        </w:rPr>
        <w:t>Экономический износ</w:t>
      </w:r>
    </w:p>
    <w:p w:rsidR="00B25F6D" w:rsidRPr="00666077" w:rsidRDefault="00B25F6D" w:rsidP="00B25F6D">
      <w:pPr>
        <w:autoSpaceDE w:val="0"/>
        <w:autoSpaceDN w:val="0"/>
        <w:adjustRightInd w:val="0"/>
        <w:ind w:firstLine="709"/>
        <w:jc w:val="both"/>
        <w:rPr>
          <w:rFonts w:ascii="Cambria" w:hAnsi="Cambria" w:cs="Verdana"/>
          <w:bCs/>
          <w:sz w:val="20"/>
          <w:szCs w:val="20"/>
        </w:rPr>
      </w:pPr>
      <w:r w:rsidRPr="00666077">
        <w:rPr>
          <w:rFonts w:ascii="Cambria" w:hAnsi="Cambria" w:cs="Verdana"/>
          <w:b/>
          <w:bCs/>
          <w:sz w:val="20"/>
          <w:szCs w:val="20"/>
        </w:rPr>
        <w:t xml:space="preserve">Внешний (или экономический) износ </w:t>
      </w:r>
      <w:r w:rsidRPr="00666077">
        <w:rPr>
          <w:rFonts w:ascii="Cambria" w:hAnsi="Cambria" w:cs="Verdana"/>
          <w:bCs/>
          <w:sz w:val="20"/>
          <w:szCs w:val="20"/>
        </w:rPr>
        <w:t xml:space="preserve">для решения задач настоящей оценки определяется как «...снижение функциональной пригодности здания вследствие влияния внешней среды, что является непоправимым фактором для собственника недвижимости, землевладельца или арендатора. </w:t>
      </w:r>
    </w:p>
    <w:p w:rsidR="00B25F6D" w:rsidRPr="00666077" w:rsidRDefault="00B25F6D" w:rsidP="00B25F6D">
      <w:pPr>
        <w:autoSpaceDE w:val="0"/>
        <w:autoSpaceDN w:val="0"/>
        <w:adjustRightInd w:val="0"/>
        <w:ind w:firstLine="709"/>
        <w:jc w:val="both"/>
        <w:rPr>
          <w:rFonts w:ascii="Cambria" w:hAnsi="Cambria" w:cs="Verdana"/>
          <w:bCs/>
          <w:sz w:val="20"/>
          <w:szCs w:val="20"/>
        </w:rPr>
      </w:pPr>
      <w:r w:rsidRPr="00666077">
        <w:rPr>
          <w:rFonts w:ascii="Cambria" w:hAnsi="Cambria" w:cs="Verdana"/>
          <w:bCs/>
          <w:sz w:val="20"/>
          <w:szCs w:val="20"/>
        </w:rPr>
        <w:t xml:space="preserve">Износ внешнего воздействия может быть вызван рядом причин, таких как общий упадок района (квартала), места расположения объекта в районе (квартале) или регионе или состоянием рынка.» (Генри С. Харрисон, Оценка недвижимости, Москва, РИО, 1994г., стр.133). </w:t>
      </w:r>
    </w:p>
    <w:p w:rsidR="00B25F6D" w:rsidRPr="00666077" w:rsidRDefault="00B25F6D" w:rsidP="00B25F6D">
      <w:pPr>
        <w:autoSpaceDE w:val="0"/>
        <w:autoSpaceDN w:val="0"/>
        <w:adjustRightInd w:val="0"/>
        <w:ind w:firstLine="709"/>
        <w:jc w:val="both"/>
        <w:rPr>
          <w:rFonts w:ascii="Cambria" w:hAnsi="Cambria" w:cs="Verdana"/>
          <w:bCs/>
          <w:sz w:val="20"/>
          <w:szCs w:val="20"/>
        </w:rPr>
      </w:pPr>
      <w:r w:rsidRPr="00666077">
        <w:rPr>
          <w:rFonts w:ascii="Cambria" w:hAnsi="Cambria" w:cs="Verdana"/>
          <w:bCs/>
          <w:sz w:val="20"/>
          <w:szCs w:val="20"/>
        </w:rPr>
        <w:t xml:space="preserve">Внешний износ, в отличие от физического и функционального износа, практически всегда считается неустранимым, ибо сумма затрат, направляемая на устранение внешних факторов, значительно высока. </w:t>
      </w:r>
    </w:p>
    <w:p w:rsidR="00B25F6D" w:rsidRDefault="00B25F6D" w:rsidP="00B25F6D">
      <w:pPr>
        <w:autoSpaceDE w:val="0"/>
        <w:autoSpaceDN w:val="0"/>
        <w:adjustRightInd w:val="0"/>
        <w:ind w:firstLine="709"/>
        <w:jc w:val="both"/>
        <w:rPr>
          <w:rFonts w:ascii="Cambria" w:hAnsi="Cambria" w:cs="Verdana"/>
          <w:bCs/>
          <w:sz w:val="20"/>
          <w:szCs w:val="20"/>
        </w:rPr>
      </w:pPr>
      <w:r w:rsidRPr="00666077">
        <w:rPr>
          <w:rFonts w:ascii="Cambria" w:hAnsi="Cambria" w:cs="Verdana"/>
          <w:bCs/>
          <w:sz w:val="20"/>
          <w:szCs w:val="20"/>
        </w:rPr>
        <w:t xml:space="preserve">В литературе по оценке недостаточно алгоритмов расчетов, используемых для расчета экономического устаревания, поскольку большинство объектов, особенно промышленных, являются по-своему уникальными и требуют иных алгоритмов расчетов, кроме известных в литературе двух методов: капитализации потери дохода, относящегося к внешнему воздействию, и сравнения продаж подобных объектов при наличии и без наличия внешних воздействий. </w:t>
      </w:r>
    </w:p>
    <w:p w:rsidR="00B25F6D" w:rsidRDefault="00B25F6D" w:rsidP="00B25F6D">
      <w:pPr>
        <w:ind w:firstLine="709"/>
        <w:jc w:val="both"/>
        <w:rPr>
          <w:rFonts w:ascii="Cambria" w:hAnsi="Cambria" w:cs="Verdana"/>
          <w:bCs/>
          <w:sz w:val="20"/>
          <w:szCs w:val="20"/>
        </w:rPr>
      </w:pPr>
      <w:r w:rsidRPr="00BB20C1">
        <w:rPr>
          <w:rFonts w:ascii="Cambria" w:hAnsi="Cambria" w:cs="Verdana"/>
          <w:bCs/>
          <w:sz w:val="20"/>
          <w:szCs w:val="20"/>
        </w:rPr>
        <w:t xml:space="preserve">По мнению оценщика, </w:t>
      </w:r>
      <w:r>
        <w:rPr>
          <w:rFonts w:ascii="Cambria" w:hAnsi="Cambria" w:cs="Verdana"/>
          <w:bCs/>
          <w:sz w:val="20"/>
          <w:szCs w:val="20"/>
        </w:rPr>
        <w:t>эконоический</w:t>
      </w:r>
      <w:r w:rsidRPr="00BB20C1">
        <w:rPr>
          <w:rFonts w:ascii="Cambria" w:hAnsi="Cambria" w:cs="Verdana"/>
          <w:bCs/>
          <w:sz w:val="20"/>
          <w:szCs w:val="20"/>
        </w:rPr>
        <w:t xml:space="preserve"> (моральный) износ для рассматриваемых объектов не влияет на их стоимость, т.к. отсутствуют различия в усл</w:t>
      </w:r>
      <w:r>
        <w:rPr>
          <w:rFonts w:ascii="Cambria" w:hAnsi="Cambria" w:cs="Verdana"/>
          <w:bCs/>
          <w:sz w:val="20"/>
          <w:szCs w:val="20"/>
        </w:rPr>
        <w:t>овиях эксплуатации объектов оце</w:t>
      </w:r>
      <w:r w:rsidRPr="00BB20C1">
        <w:rPr>
          <w:rFonts w:ascii="Cambria" w:hAnsi="Cambria" w:cs="Verdana"/>
          <w:bCs/>
          <w:sz w:val="20"/>
          <w:szCs w:val="20"/>
        </w:rPr>
        <w:t xml:space="preserve">нки и аналогичных объектов в черте </w:t>
      </w:r>
      <w:r>
        <w:rPr>
          <w:rFonts w:ascii="Cambria" w:hAnsi="Cambria" w:cs="Verdana"/>
          <w:bCs/>
          <w:sz w:val="20"/>
          <w:szCs w:val="20"/>
        </w:rPr>
        <w:t>Белгорода</w:t>
      </w:r>
      <w:r w:rsidRPr="00BB20C1">
        <w:rPr>
          <w:rFonts w:ascii="Cambria" w:hAnsi="Cambria" w:cs="Verdana"/>
          <w:bCs/>
          <w:sz w:val="20"/>
          <w:szCs w:val="20"/>
        </w:rPr>
        <w:t>.</w:t>
      </w:r>
    </w:p>
    <w:p w:rsidR="00B25F6D" w:rsidRPr="00666077" w:rsidRDefault="00B25F6D" w:rsidP="00B25F6D">
      <w:pPr>
        <w:ind w:firstLine="709"/>
        <w:jc w:val="both"/>
        <w:rPr>
          <w:rFonts w:ascii="Cambria" w:hAnsi="Cambria" w:cs="Verdana"/>
          <w:bCs/>
          <w:sz w:val="20"/>
          <w:szCs w:val="20"/>
        </w:rPr>
      </w:pPr>
    </w:p>
    <w:p w:rsidR="007C17E4" w:rsidRDefault="0061127A" w:rsidP="007C17E4">
      <w:pPr>
        <w:keepNext/>
        <w:keepLines/>
        <w:jc w:val="center"/>
        <w:outlineLvl w:val="3"/>
        <w:rPr>
          <w:rFonts w:asciiTheme="majorHAnsi" w:eastAsiaTheme="majorEastAsia" w:hAnsiTheme="majorHAnsi" w:cstheme="majorBidi"/>
          <w:b/>
          <w:i/>
          <w:iCs/>
          <w:sz w:val="20"/>
          <w:szCs w:val="22"/>
          <w:lang w:eastAsia="en-US"/>
        </w:rPr>
      </w:pPr>
      <w:r w:rsidRPr="0061127A">
        <w:rPr>
          <w:rFonts w:asciiTheme="majorHAnsi" w:eastAsiaTheme="majorEastAsia" w:hAnsiTheme="majorHAnsi" w:cstheme="majorBidi"/>
          <w:b/>
          <w:i/>
          <w:iCs/>
          <w:sz w:val="20"/>
          <w:szCs w:val="22"/>
          <w:lang w:eastAsia="en-US"/>
        </w:rPr>
        <w:t>Расчеты и пояснения к расчетам,</w:t>
      </w:r>
      <w:r w:rsidR="007C17E4">
        <w:rPr>
          <w:rFonts w:asciiTheme="majorHAnsi" w:eastAsiaTheme="majorEastAsia" w:hAnsiTheme="majorHAnsi" w:cstheme="majorBidi"/>
          <w:b/>
          <w:i/>
          <w:iCs/>
          <w:sz w:val="20"/>
          <w:szCs w:val="22"/>
          <w:lang w:eastAsia="en-US"/>
        </w:rPr>
        <w:t xml:space="preserve"> </w:t>
      </w:r>
      <w:r w:rsidRPr="0061127A">
        <w:rPr>
          <w:rFonts w:asciiTheme="majorHAnsi" w:eastAsiaTheme="majorEastAsia" w:hAnsiTheme="majorHAnsi" w:cstheme="majorBidi"/>
          <w:b/>
          <w:i/>
          <w:iCs/>
          <w:sz w:val="20"/>
          <w:szCs w:val="22"/>
          <w:lang w:eastAsia="en-US"/>
        </w:rPr>
        <w:t>обеспечивающие проверяемость</w:t>
      </w:r>
    </w:p>
    <w:p w:rsidR="007C17E4" w:rsidRDefault="0061127A" w:rsidP="007C17E4">
      <w:pPr>
        <w:keepNext/>
        <w:keepLines/>
        <w:jc w:val="center"/>
        <w:outlineLvl w:val="3"/>
        <w:rPr>
          <w:rFonts w:asciiTheme="majorHAnsi" w:eastAsiaTheme="majorEastAsia" w:hAnsiTheme="majorHAnsi" w:cstheme="majorBidi"/>
          <w:b/>
          <w:i/>
          <w:iCs/>
          <w:sz w:val="20"/>
          <w:szCs w:val="22"/>
          <w:lang w:eastAsia="en-US"/>
        </w:rPr>
      </w:pPr>
      <w:r w:rsidRPr="0061127A">
        <w:rPr>
          <w:rFonts w:asciiTheme="majorHAnsi" w:eastAsiaTheme="majorEastAsia" w:hAnsiTheme="majorHAnsi" w:cstheme="majorBidi"/>
          <w:b/>
          <w:i/>
          <w:iCs/>
          <w:sz w:val="20"/>
          <w:szCs w:val="22"/>
          <w:lang w:eastAsia="en-US"/>
        </w:rPr>
        <w:t>выводов и результатов, указанных или полученных</w:t>
      </w:r>
      <w:r w:rsidR="007C17E4">
        <w:rPr>
          <w:rFonts w:asciiTheme="majorHAnsi" w:eastAsiaTheme="majorEastAsia" w:hAnsiTheme="majorHAnsi" w:cstheme="majorBidi"/>
          <w:b/>
          <w:i/>
          <w:iCs/>
          <w:sz w:val="20"/>
          <w:szCs w:val="22"/>
          <w:lang w:eastAsia="en-US"/>
        </w:rPr>
        <w:t xml:space="preserve"> </w:t>
      </w:r>
      <w:r w:rsidRPr="0061127A">
        <w:rPr>
          <w:rFonts w:asciiTheme="majorHAnsi" w:eastAsiaTheme="majorEastAsia" w:hAnsiTheme="majorHAnsi" w:cstheme="majorBidi"/>
          <w:b/>
          <w:i/>
          <w:iCs/>
          <w:sz w:val="20"/>
          <w:szCs w:val="22"/>
          <w:lang w:eastAsia="en-US"/>
        </w:rPr>
        <w:t>оценщиком</w:t>
      </w:r>
    </w:p>
    <w:p w:rsidR="0061127A" w:rsidRPr="0061127A" w:rsidRDefault="0061127A" w:rsidP="007C17E4">
      <w:pPr>
        <w:keepNext/>
        <w:keepLines/>
        <w:jc w:val="center"/>
        <w:outlineLvl w:val="3"/>
        <w:rPr>
          <w:rFonts w:asciiTheme="majorHAnsi" w:eastAsiaTheme="majorEastAsia" w:hAnsiTheme="majorHAnsi" w:cstheme="majorBidi"/>
          <w:b/>
          <w:i/>
          <w:iCs/>
          <w:sz w:val="20"/>
          <w:szCs w:val="22"/>
          <w:lang w:eastAsia="en-US"/>
        </w:rPr>
      </w:pPr>
      <w:r w:rsidRPr="0061127A">
        <w:rPr>
          <w:rFonts w:asciiTheme="majorHAnsi" w:eastAsiaTheme="majorEastAsia" w:hAnsiTheme="majorHAnsi" w:cstheme="majorBidi"/>
          <w:b/>
          <w:i/>
          <w:iCs/>
          <w:sz w:val="20"/>
          <w:szCs w:val="22"/>
          <w:lang w:eastAsia="en-US"/>
        </w:rPr>
        <w:t xml:space="preserve"> в рамках затратного подхода.</w:t>
      </w:r>
    </w:p>
    <w:p w:rsidR="0061127A" w:rsidRPr="0061127A" w:rsidRDefault="0061127A" w:rsidP="0061127A">
      <w:pPr>
        <w:shd w:val="clear" w:color="auto" w:fill="FFFFFF" w:themeFill="background1"/>
        <w:spacing w:before="120" w:after="120"/>
        <w:ind w:firstLine="709"/>
        <w:jc w:val="both"/>
        <w:rPr>
          <w:rFonts w:ascii="Cambria" w:eastAsiaTheme="minorHAnsi" w:hAnsi="Cambria" w:cstheme="minorBidi"/>
          <w:sz w:val="20"/>
          <w:szCs w:val="22"/>
          <w:lang w:eastAsia="en-US"/>
        </w:rPr>
      </w:pPr>
      <w:r w:rsidRPr="0061127A">
        <w:rPr>
          <w:rFonts w:asciiTheme="majorHAnsi" w:eastAsiaTheme="minorHAnsi" w:hAnsiTheme="majorHAnsi" w:cstheme="minorBidi"/>
          <w:sz w:val="20"/>
          <w:szCs w:val="22"/>
          <w:lang w:eastAsia="en-US"/>
        </w:rPr>
        <w:t>Для определения полной восстановительной стоимости объекта оценки использовались: сборники  укрупненных показателей восстановительной стоимости зданий и сооружений, М. 1971г.;</w:t>
      </w:r>
    </w:p>
    <w:p w:rsidR="0061127A" w:rsidRPr="0061127A" w:rsidRDefault="0061127A" w:rsidP="0061127A">
      <w:pPr>
        <w:spacing w:before="120" w:after="120"/>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t>-</w:t>
      </w:r>
      <w:r w:rsidRPr="0061127A">
        <w:rPr>
          <w:rFonts w:asciiTheme="majorHAnsi" w:eastAsiaTheme="minorHAnsi" w:hAnsiTheme="majorHAnsi" w:cstheme="minorBidi"/>
          <w:sz w:val="20"/>
          <w:szCs w:val="22"/>
          <w:lang w:eastAsia="en-US"/>
        </w:rPr>
        <w:tab/>
        <w:t>Общая часть к сборникам укрупненных показателей восстановительной стоимости зданий и сооружений, М. 1971г.</w:t>
      </w:r>
    </w:p>
    <w:p w:rsidR="0061127A" w:rsidRPr="0061127A" w:rsidRDefault="0061127A" w:rsidP="0061127A">
      <w:pPr>
        <w:spacing w:before="120" w:after="120"/>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t>-</w:t>
      </w:r>
      <w:r w:rsidRPr="0061127A">
        <w:rPr>
          <w:rFonts w:asciiTheme="majorHAnsi" w:eastAsiaTheme="minorHAnsi" w:hAnsiTheme="majorHAnsi" w:cstheme="minorBidi"/>
          <w:sz w:val="20"/>
          <w:szCs w:val="22"/>
          <w:lang w:eastAsia="en-US"/>
        </w:rPr>
        <w:tab/>
        <w:t>Разъяснения по вопросам оценки недвижимости при использовании сборников УПВС, 1994г. А.Г. Самойлов «Оценка зданий и сооружений».</w:t>
      </w:r>
    </w:p>
    <w:p w:rsidR="0061127A" w:rsidRPr="0061127A" w:rsidRDefault="0061127A" w:rsidP="0061127A">
      <w:pPr>
        <w:spacing w:before="120" w:after="120"/>
        <w:ind w:firstLine="709"/>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t>Основная формула для расчета:</w:t>
      </w:r>
    </w:p>
    <w:p w:rsidR="0061127A" w:rsidRPr="0061127A" w:rsidRDefault="0061127A" w:rsidP="0061127A">
      <w:pPr>
        <w:spacing w:before="120" w:after="120"/>
        <w:ind w:firstLine="709"/>
        <w:jc w:val="both"/>
        <w:rPr>
          <w:rFonts w:asciiTheme="majorHAnsi" w:eastAsiaTheme="minorHAnsi" w:hAnsiTheme="majorHAnsi" w:cstheme="minorBidi"/>
          <w:b/>
          <w:sz w:val="23"/>
          <w:szCs w:val="22"/>
          <w:lang w:eastAsia="en-US"/>
        </w:rPr>
      </w:pPr>
      <w:r w:rsidRPr="0061127A">
        <w:rPr>
          <w:rFonts w:asciiTheme="majorHAnsi" w:eastAsiaTheme="minorHAnsi" w:hAnsiTheme="majorHAnsi" w:cstheme="minorBidi"/>
          <w:b/>
          <w:sz w:val="20"/>
          <w:szCs w:val="22"/>
          <w:lang w:eastAsia="en-US"/>
        </w:rPr>
        <w:t>С  =  С</w:t>
      </w:r>
      <w:r w:rsidRPr="0061127A">
        <w:rPr>
          <w:rFonts w:asciiTheme="majorHAnsi" w:eastAsiaTheme="minorHAnsi" w:hAnsiTheme="majorHAnsi" w:cstheme="minorBidi"/>
          <w:b/>
          <w:sz w:val="20"/>
          <w:szCs w:val="22"/>
          <w:vertAlign w:val="subscript"/>
          <w:lang w:eastAsia="en-US"/>
        </w:rPr>
        <w:t>ед.изм.</w:t>
      </w:r>
      <w:r w:rsidRPr="0061127A">
        <w:rPr>
          <w:rFonts w:asciiTheme="majorHAnsi" w:eastAsiaTheme="minorHAnsi" w:hAnsiTheme="majorHAnsi" w:cstheme="minorBidi"/>
          <w:b/>
          <w:sz w:val="20"/>
          <w:szCs w:val="22"/>
          <w:lang w:eastAsia="en-US"/>
        </w:rPr>
        <w:t xml:space="preserve">  х  К</w:t>
      </w:r>
      <w:r w:rsidRPr="0061127A">
        <w:rPr>
          <w:rFonts w:asciiTheme="majorHAnsi" w:eastAsiaTheme="minorHAnsi" w:hAnsiTheme="majorHAnsi" w:cstheme="minorBidi"/>
          <w:b/>
          <w:sz w:val="20"/>
          <w:szCs w:val="22"/>
          <w:vertAlign w:val="subscript"/>
          <w:lang w:eastAsia="en-US"/>
        </w:rPr>
        <w:t>ед.изм.</w:t>
      </w:r>
      <w:r w:rsidRPr="0061127A">
        <w:rPr>
          <w:rFonts w:asciiTheme="majorHAnsi" w:eastAsiaTheme="minorHAnsi" w:hAnsiTheme="majorHAnsi" w:cstheme="minorBidi"/>
          <w:b/>
          <w:sz w:val="20"/>
          <w:szCs w:val="22"/>
          <w:lang w:eastAsia="en-US"/>
        </w:rPr>
        <w:t xml:space="preserve">  х  И</w:t>
      </w:r>
      <w:r w:rsidRPr="0061127A">
        <w:rPr>
          <w:rFonts w:asciiTheme="majorHAnsi" w:eastAsiaTheme="minorHAnsi" w:hAnsiTheme="majorHAnsi" w:cstheme="minorBidi"/>
          <w:b/>
          <w:sz w:val="20"/>
          <w:szCs w:val="22"/>
          <w:vertAlign w:val="subscript"/>
          <w:lang w:eastAsia="en-US"/>
        </w:rPr>
        <w:t>69-84</w:t>
      </w:r>
      <w:r w:rsidRPr="0061127A">
        <w:rPr>
          <w:rFonts w:asciiTheme="majorHAnsi" w:eastAsiaTheme="minorHAnsi" w:hAnsiTheme="majorHAnsi" w:cstheme="minorBidi"/>
          <w:b/>
          <w:sz w:val="20"/>
          <w:szCs w:val="22"/>
          <w:lang w:eastAsia="en-US"/>
        </w:rPr>
        <w:t xml:space="preserve">  х  И</w:t>
      </w:r>
      <w:r w:rsidRPr="0061127A">
        <w:rPr>
          <w:rFonts w:asciiTheme="majorHAnsi" w:eastAsiaTheme="minorHAnsi" w:hAnsiTheme="majorHAnsi" w:cstheme="minorBidi"/>
          <w:b/>
          <w:sz w:val="20"/>
          <w:szCs w:val="22"/>
          <w:vertAlign w:val="subscript"/>
          <w:lang w:eastAsia="en-US"/>
        </w:rPr>
        <w:t xml:space="preserve">84-91  </w:t>
      </w:r>
      <w:r w:rsidRPr="0061127A">
        <w:rPr>
          <w:rFonts w:asciiTheme="majorHAnsi" w:eastAsiaTheme="minorHAnsi" w:hAnsiTheme="majorHAnsi" w:cstheme="minorBidi"/>
          <w:b/>
          <w:sz w:val="20"/>
          <w:szCs w:val="22"/>
          <w:lang w:eastAsia="en-US"/>
        </w:rPr>
        <w:t>х  И</w:t>
      </w:r>
      <w:r w:rsidRPr="0061127A">
        <w:rPr>
          <w:rFonts w:asciiTheme="majorHAnsi" w:eastAsiaTheme="minorHAnsi" w:hAnsiTheme="majorHAnsi" w:cstheme="minorBidi"/>
          <w:b/>
          <w:sz w:val="20"/>
          <w:szCs w:val="22"/>
          <w:vertAlign w:val="subscript"/>
          <w:lang w:eastAsia="en-US"/>
        </w:rPr>
        <w:t xml:space="preserve">91-ДО   </w:t>
      </w:r>
      <w:r w:rsidRPr="0061127A">
        <w:rPr>
          <w:rFonts w:asciiTheme="majorHAnsi" w:eastAsiaTheme="minorHAnsi" w:hAnsiTheme="majorHAnsi" w:cstheme="minorBidi"/>
          <w:b/>
          <w:sz w:val="20"/>
          <w:szCs w:val="22"/>
          <w:lang w:eastAsia="en-US"/>
        </w:rPr>
        <w:t>х  Д</w:t>
      </w:r>
      <w:r w:rsidRPr="0061127A">
        <w:rPr>
          <w:rFonts w:asciiTheme="majorHAnsi" w:eastAsiaTheme="minorHAnsi" w:hAnsiTheme="majorHAnsi" w:cstheme="minorBidi"/>
          <w:b/>
          <w:sz w:val="20"/>
          <w:szCs w:val="22"/>
          <w:vertAlign w:val="subscript"/>
          <w:lang w:eastAsia="en-US"/>
        </w:rPr>
        <w:t>пр</w:t>
      </w:r>
      <w:r w:rsidRPr="0061127A">
        <w:rPr>
          <w:rFonts w:asciiTheme="majorHAnsi" w:eastAsiaTheme="minorHAnsi" w:hAnsiTheme="majorHAnsi" w:cstheme="minorBidi"/>
          <w:b/>
          <w:sz w:val="20"/>
          <w:szCs w:val="22"/>
          <w:lang w:eastAsia="en-US"/>
        </w:rPr>
        <w:t>,</w:t>
      </w:r>
    </w:p>
    <w:p w:rsidR="0061127A" w:rsidRPr="0061127A" w:rsidRDefault="007C17E4" w:rsidP="007C17E4">
      <w:pPr>
        <w:spacing w:before="120" w:after="120"/>
        <w:jc w:val="both"/>
        <w:rPr>
          <w:rFonts w:asciiTheme="majorHAnsi" w:eastAsiaTheme="minorHAnsi" w:hAnsiTheme="majorHAnsi" w:cstheme="minorBidi"/>
          <w:sz w:val="23"/>
          <w:szCs w:val="22"/>
          <w:lang w:eastAsia="en-US"/>
        </w:rPr>
      </w:pPr>
      <w:r>
        <w:rPr>
          <w:rFonts w:asciiTheme="majorHAnsi" w:eastAsiaTheme="minorHAnsi" w:hAnsiTheme="majorHAnsi" w:cstheme="minorBidi"/>
          <w:sz w:val="20"/>
          <w:szCs w:val="22"/>
          <w:lang w:eastAsia="en-US"/>
        </w:rPr>
        <w:t xml:space="preserve">                </w:t>
      </w:r>
      <w:r w:rsidR="0061127A" w:rsidRPr="0061127A">
        <w:rPr>
          <w:rFonts w:asciiTheme="majorHAnsi" w:eastAsiaTheme="minorHAnsi" w:hAnsiTheme="majorHAnsi" w:cstheme="minorBidi"/>
          <w:sz w:val="20"/>
          <w:szCs w:val="22"/>
          <w:lang w:eastAsia="en-US"/>
        </w:rPr>
        <w:t>где:</w:t>
      </w:r>
      <w:r w:rsidR="0061127A" w:rsidRPr="0061127A">
        <w:rPr>
          <w:rFonts w:asciiTheme="majorHAnsi" w:eastAsiaTheme="minorHAnsi" w:hAnsiTheme="majorHAnsi" w:cstheme="minorBidi"/>
          <w:b/>
          <w:i/>
          <w:sz w:val="20"/>
          <w:szCs w:val="22"/>
          <w:lang w:eastAsia="en-US"/>
        </w:rPr>
        <w:t xml:space="preserve">  </w:t>
      </w:r>
      <w:r w:rsidR="0061127A" w:rsidRPr="0061127A">
        <w:rPr>
          <w:rFonts w:asciiTheme="majorHAnsi" w:eastAsiaTheme="minorHAnsi" w:hAnsiTheme="majorHAnsi" w:cstheme="minorBidi"/>
          <w:b/>
          <w:sz w:val="20"/>
          <w:szCs w:val="22"/>
          <w:lang w:eastAsia="en-US"/>
        </w:rPr>
        <w:t>С</w:t>
      </w:r>
      <w:r w:rsidR="0061127A" w:rsidRPr="0061127A">
        <w:rPr>
          <w:rFonts w:asciiTheme="majorHAnsi" w:eastAsiaTheme="minorHAnsi" w:hAnsiTheme="majorHAnsi" w:cstheme="minorBidi"/>
          <w:sz w:val="20"/>
          <w:szCs w:val="22"/>
          <w:lang w:eastAsia="en-US"/>
        </w:rPr>
        <w:t xml:space="preserve">  –  полная восстановительная стоимость;</w:t>
      </w:r>
    </w:p>
    <w:p w:rsidR="0061127A" w:rsidRPr="0061127A" w:rsidRDefault="0061127A" w:rsidP="007C17E4">
      <w:pPr>
        <w:spacing w:before="120" w:after="120"/>
        <w:ind w:firstLine="708"/>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b/>
          <w:sz w:val="20"/>
          <w:szCs w:val="22"/>
          <w:lang w:eastAsia="en-US"/>
        </w:rPr>
        <w:t>С</w:t>
      </w:r>
      <w:r w:rsidRPr="0061127A">
        <w:rPr>
          <w:rFonts w:asciiTheme="majorHAnsi" w:eastAsiaTheme="minorHAnsi" w:hAnsiTheme="majorHAnsi" w:cstheme="minorBidi"/>
          <w:b/>
          <w:sz w:val="20"/>
          <w:szCs w:val="22"/>
          <w:vertAlign w:val="subscript"/>
          <w:lang w:eastAsia="en-US"/>
        </w:rPr>
        <w:t>ед.изм.</w:t>
      </w:r>
      <w:r w:rsidRPr="0061127A">
        <w:rPr>
          <w:rFonts w:asciiTheme="majorHAnsi" w:eastAsiaTheme="minorHAnsi" w:hAnsiTheme="majorHAnsi" w:cstheme="minorBidi"/>
          <w:sz w:val="20"/>
          <w:szCs w:val="22"/>
          <w:vertAlign w:val="subscript"/>
          <w:lang w:eastAsia="en-US"/>
        </w:rPr>
        <w:t xml:space="preserve"> </w:t>
      </w:r>
      <w:r w:rsidRPr="0061127A">
        <w:rPr>
          <w:rFonts w:asciiTheme="majorHAnsi" w:eastAsiaTheme="minorHAnsi" w:hAnsiTheme="majorHAnsi" w:cstheme="minorBidi"/>
          <w:sz w:val="20"/>
          <w:szCs w:val="22"/>
          <w:lang w:eastAsia="en-US"/>
        </w:rPr>
        <w:t>– стоимость строительства на единицу строительного объема в ценах 1969г. (базисный стоимостной показатель). Определяется по сборникам УПВС с учетом коэффициентов, учитывающих отклонение функциональных параметров оцениваемого здания от параметров здания, по которому был разработан  сборник УПВС.</w:t>
      </w:r>
    </w:p>
    <w:p w:rsidR="0061127A" w:rsidRPr="0061127A" w:rsidRDefault="0061127A" w:rsidP="007C17E4">
      <w:pPr>
        <w:spacing w:before="120" w:after="120" w:line="160" w:lineRule="atLeast"/>
        <w:ind w:firstLine="708"/>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b/>
          <w:sz w:val="20"/>
          <w:szCs w:val="22"/>
          <w:lang w:eastAsia="en-US"/>
        </w:rPr>
        <w:t>К</w:t>
      </w:r>
      <w:r w:rsidRPr="0061127A">
        <w:rPr>
          <w:rFonts w:asciiTheme="majorHAnsi" w:eastAsiaTheme="minorHAnsi" w:hAnsiTheme="majorHAnsi" w:cstheme="minorBidi"/>
          <w:b/>
          <w:sz w:val="20"/>
          <w:szCs w:val="22"/>
          <w:vertAlign w:val="subscript"/>
          <w:lang w:eastAsia="en-US"/>
        </w:rPr>
        <w:t>ед.изм.</w:t>
      </w:r>
      <w:r w:rsidRPr="0061127A">
        <w:rPr>
          <w:rFonts w:asciiTheme="majorHAnsi" w:eastAsiaTheme="minorHAnsi" w:hAnsiTheme="majorHAnsi" w:cstheme="minorBidi"/>
          <w:b/>
          <w:sz w:val="20"/>
          <w:szCs w:val="22"/>
          <w:lang w:eastAsia="en-US"/>
        </w:rPr>
        <w:t xml:space="preserve"> </w:t>
      </w:r>
      <w:r w:rsidRPr="0061127A">
        <w:rPr>
          <w:rFonts w:asciiTheme="majorHAnsi" w:eastAsiaTheme="minorHAnsi" w:hAnsiTheme="majorHAnsi" w:cstheme="minorBidi"/>
          <w:sz w:val="20"/>
          <w:szCs w:val="22"/>
          <w:lang w:eastAsia="en-US"/>
        </w:rPr>
        <w:t>–  количество единиц измерения для объекта (объем, площадь, протяженность и т.д.).</w:t>
      </w:r>
    </w:p>
    <w:p w:rsidR="0061127A" w:rsidRPr="0061127A" w:rsidRDefault="0061127A" w:rsidP="007C17E4">
      <w:pPr>
        <w:spacing w:before="120" w:after="120" w:line="160" w:lineRule="atLeast"/>
        <w:ind w:firstLine="708"/>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b/>
          <w:sz w:val="20"/>
          <w:szCs w:val="22"/>
          <w:lang w:eastAsia="en-US"/>
        </w:rPr>
        <w:t>И</w:t>
      </w:r>
      <w:r w:rsidRPr="0061127A">
        <w:rPr>
          <w:rFonts w:asciiTheme="majorHAnsi" w:eastAsiaTheme="minorHAnsi" w:hAnsiTheme="majorHAnsi" w:cstheme="minorBidi"/>
          <w:b/>
          <w:sz w:val="20"/>
          <w:szCs w:val="22"/>
          <w:vertAlign w:val="subscript"/>
          <w:lang w:eastAsia="en-US"/>
        </w:rPr>
        <w:t>69-84</w:t>
      </w:r>
      <w:r w:rsidRPr="0061127A">
        <w:rPr>
          <w:rFonts w:asciiTheme="majorHAnsi" w:eastAsiaTheme="minorHAnsi" w:hAnsiTheme="majorHAnsi" w:cstheme="minorBidi"/>
          <w:sz w:val="20"/>
          <w:szCs w:val="22"/>
          <w:lang w:eastAsia="en-US"/>
        </w:rPr>
        <w:t xml:space="preserve"> = 1, 18 * 1,02  – индекс пересчета восстановительной стоимости из уровня цен 1969 г. в уровень цен 1984 г.</w:t>
      </w:r>
    </w:p>
    <w:p w:rsidR="0061127A" w:rsidRPr="0061127A" w:rsidRDefault="0061127A" w:rsidP="007C17E4">
      <w:pPr>
        <w:spacing w:before="120" w:after="120" w:line="160" w:lineRule="atLeast"/>
        <w:ind w:firstLine="708"/>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t>где: 1, 18 – инд</w:t>
      </w:r>
      <w:r w:rsidR="00B0276F">
        <w:rPr>
          <w:rFonts w:asciiTheme="majorHAnsi" w:eastAsiaTheme="minorHAnsi" w:hAnsiTheme="majorHAnsi" w:cstheme="minorBidi"/>
          <w:sz w:val="20"/>
          <w:szCs w:val="22"/>
          <w:lang w:eastAsia="en-US"/>
        </w:rPr>
        <w:t>екс перевода цен на строительство</w:t>
      </w:r>
      <w:r w:rsidR="00B0276F" w:rsidRPr="00B0276F">
        <w:t xml:space="preserve"> </w:t>
      </w:r>
      <w:r w:rsidR="00B0276F" w:rsidRPr="00B0276F">
        <w:rPr>
          <w:rFonts w:asciiTheme="majorHAnsi" w:eastAsiaTheme="minorHAnsi" w:hAnsiTheme="majorHAnsi" w:cstheme="minorBidi"/>
          <w:sz w:val="20"/>
          <w:szCs w:val="22"/>
          <w:lang w:eastAsia="en-US"/>
        </w:rPr>
        <w:t>предприяти</w:t>
      </w:r>
      <w:r w:rsidR="00B0276F">
        <w:rPr>
          <w:rFonts w:asciiTheme="majorHAnsi" w:eastAsiaTheme="minorHAnsi" w:hAnsiTheme="majorHAnsi" w:cstheme="minorBidi"/>
          <w:sz w:val="20"/>
          <w:szCs w:val="22"/>
          <w:lang w:eastAsia="en-US"/>
        </w:rPr>
        <w:t>й</w:t>
      </w:r>
      <w:r w:rsidR="00B0276F" w:rsidRPr="00B0276F">
        <w:rPr>
          <w:rFonts w:asciiTheme="majorHAnsi" w:eastAsiaTheme="minorHAnsi" w:hAnsiTheme="majorHAnsi" w:cstheme="minorBidi"/>
          <w:sz w:val="20"/>
          <w:szCs w:val="22"/>
          <w:lang w:eastAsia="en-US"/>
        </w:rPr>
        <w:t xml:space="preserve"> по производству строительных металлоконструкций</w:t>
      </w:r>
      <w:r w:rsidRPr="0061127A">
        <w:rPr>
          <w:rFonts w:asciiTheme="majorHAnsi" w:eastAsiaTheme="minorHAnsi" w:hAnsiTheme="majorHAnsi" w:cstheme="minorBidi"/>
          <w:sz w:val="20"/>
          <w:szCs w:val="22"/>
          <w:lang w:eastAsia="en-US"/>
        </w:rPr>
        <w:t xml:space="preserve"> из уровня цен 1969 г. в уровень цен 1984 г.;  1,02 – территориальный коэффициент, учитывающий изменения сметной стоимости СМР для условий </w:t>
      </w:r>
      <w:r w:rsidR="007C17E4">
        <w:rPr>
          <w:rFonts w:asciiTheme="majorHAnsi" w:eastAsiaTheme="minorHAnsi" w:hAnsiTheme="majorHAnsi" w:cstheme="minorBidi"/>
          <w:sz w:val="20"/>
          <w:szCs w:val="22"/>
          <w:lang w:eastAsia="en-US"/>
        </w:rPr>
        <w:t>Белгородской</w:t>
      </w:r>
      <w:r w:rsidRPr="0061127A">
        <w:rPr>
          <w:rFonts w:asciiTheme="majorHAnsi" w:eastAsiaTheme="minorHAnsi" w:hAnsiTheme="majorHAnsi" w:cstheme="minorBidi"/>
          <w:sz w:val="20"/>
          <w:szCs w:val="22"/>
          <w:lang w:eastAsia="en-US"/>
        </w:rPr>
        <w:t xml:space="preserve"> области. </w:t>
      </w:r>
    </w:p>
    <w:p w:rsidR="0061127A" w:rsidRDefault="0061127A" w:rsidP="007C17E4">
      <w:pPr>
        <w:spacing w:before="120" w:after="120" w:line="160" w:lineRule="atLeast"/>
        <w:ind w:firstLine="708"/>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lastRenderedPageBreak/>
        <w:t>Для пересчета использованы индексы изменения сметной стоимости СМР по отраслям народного хозяйства, отраслям промышленности и направлениям в составе отраслей, а также территориальные коэффициенты к индексам по отраслям народного хозяйства, отраслям промышленности и направлениям в составе отраслей, учитывающие особенности изменения сметной стоимости СМР по отраслям, краям, автономным республикам, союзным республикам, не имеющим областного деления (Приложение № 1, Приложение № 2 к постановлению Госстроя  от 11 мая 1983 г. № 94).</w:t>
      </w:r>
    </w:p>
    <w:p w:rsidR="00B0276F" w:rsidRPr="0061127A" w:rsidRDefault="00B0276F" w:rsidP="00901346">
      <w:pPr>
        <w:spacing w:before="120" w:after="120" w:line="160" w:lineRule="atLeast"/>
        <w:jc w:val="center"/>
        <w:rPr>
          <w:rFonts w:asciiTheme="majorHAnsi" w:eastAsiaTheme="minorHAnsi" w:hAnsiTheme="majorHAnsi" w:cstheme="minorBidi"/>
          <w:sz w:val="20"/>
          <w:szCs w:val="22"/>
          <w:lang w:eastAsia="en-US"/>
        </w:rPr>
      </w:pPr>
      <w:r>
        <w:rPr>
          <w:noProof/>
        </w:rPr>
        <w:drawing>
          <wp:inline distT="0" distB="0" distL="0" distR="0" wp14:anchorId="4F3A34C5" wp14:editId="07074AD4">
            <wp:extent cx="5543839" cy="206115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50515" t="46654" r="4943" b="23891"/>
                    <a:stretch/>
                  </pic:blipFill>
                  <pic:spPr bwMode="auto">
                    <a:xfrm>
                      <a:off x="0" y="0"/>
                      <a:ext cx="5604416" cy="2083672"/>
                    </a:xfrm>
                    <a:prstGeom prst="rect">
                      <a:avLst/>
                    </a:prstGeom>
                    <a:ln>
                      <a:noFill/>
                    </a:ln>
                    <a:extLst>
                      <a:ext uri="{53640926-AAD7-44D8-BBD7-CCE9431645EC}">
                        <a14:shadowObscured xmlns:a14="http://schemas.microsoft.com/office/drawing/2010/main"/>
                      </a:ext>
                    </a:extLst>
                  </pic:spPr>
                </pic:pic>
              </a:graphicData>
            </a:graphic>
          </wp:inline>
        </w:drawing>
      </w:r>
    </w:p>
    <w:p w:rsidR="0061127A" w:rsidRDefault="0061127A" w:rsidP="007C17E4">
      <w:pPr>
        <w:spacing w:after="200" w:line="160" w:lineRule="atLeast"/>
        <w:ind w:firstLine="708"/>
        <w:jc w:val="both"/>
        <w:rPr>
          <w:rFonts w:asciiTheme="majorHAnsi" w:eastAsiaTheme="minorHAnsi" w:hAnsiTheme="majorHAnsi" w:cstheme="minorBidi"/>
          <w:sz w:val="20"/>
          <w:szCs w:val="22"/>
          <w:lang w:eastAsia="en-US"/>
        </w:rPr>
      </w:pPr>
      <w:r w:rsidRPr="0061127A">
        <w:rPr>
          <w:rFonts w:eastAsiaTheme="minorHAnsi" w:cstheme="minorBidi"/>
          <w:b/>
          <w:sz w:val="22"/>
          <w:lang w:eastAsia="en-US"/>
        </w:rPr>
        <w:t>И</w:t>
      </w:r>
      <w:r w:rsidRPr="0061127A">
        <w:rPr>
          <w:rFonts w:eastAsiaTheme="minorHAnsi" w:cstheme="minorBidi"/>
          <w:b/>
          <w:sz w:val="22"/>
          <w:vertAlign w:val="subscript"/>
          <w:lang w:eastAsia="en-US"/>
        </w:rPr>
        <w:t>84-91</w:t>
      </w:r>
      <w:r w:rsidRPr="0061127A">
        <w:rPr>
          <w:rFonts w:eastAsiaTheme="minorHAnsi" w:cstheme="minorBidi"/>
          <w:sz w:val="22"/>
          <w:vertAlign w:val="subscript"/>
          <w:lang w:eastAsia="en-US"/>
        </w:rPr>
        <w:t xml:space="preserve"> </w:t>
      </w:r>
      <w:r w:rsidRPr="0061127A">
        <w:rPr>
          <w:rFonts w:eastAsiaTheme="minorHAnsi" w:cstheme="minorBidi"/>
          <w:sz w:val="22"/>
          <w:lang w:eastAsia="en-US"/>
        </w:rPr>
        <w:t xml:space="preserve">– </w:t>
      </w:r>
      <w:r w:rsidRPr="0061127A">
        <w:rPr>
          <w:rFonts w:asciiTheme="majorHAnsi" w:eastAsiaTheme="minorHAnsi" w:hAnsiTheme="majorHAnsi" w:cstheme="minorBidi"/>
          <w:sz w:val="20"/>
          <w:szCs w:val="22"/>
          <w:lang w:eastAsia="en-US"/>
        </w:rPr>
        <w:t xml:space="preserve">индекс пересчета стоимости строительства из цен 1984 г. в цены 1991 г. </w:t>
      </w:r>
    </w:p>
    <w:p w:rsidR="00901346" w:rsidRDefault="00901346" w:rsidP="00901346">
      <w:pPr>
        <w:spacing w:before="120" w:after="120" w:line="160" w:lineRule="atLeast"/>
        <w:ind w:firstLine="708"/>
        <w:jc w:val="both"/>
        <w:rPr>
          <w:rFonts w:asciiTheme="majorHAnsi" w:eastAsiaTheme="minorHAnsi" w:hAnsiTheme="majorHAnsi" w:cstheme="minorBidi"/>
          <w:sz w:val="20"/>
          <w:szCs w:val="22"/>
          <w:lang w:eastAsia="en-US"/>
        </w:rPr>
      </w:pPr>
      <w:r w:rsidRPr="004A18A0">
        <w:rPr>
          <w:rFonts w:asciiTheme="majorHAnsi" w:eastAsiaTheme="minorHAnsi" w:hAnsiTheme="majorHAnsi" w:cstheme="minorBidi"/>
          <w:b/>
          <w:sz w:val="20"/>
          <w:szCs w:val="22"/>
          <w:lang w:eastAsia="en-US"/>
        </w:rPr>
        <w:t>И</w:t>
      </w:r>
      <w:r>
        <w:rPr>
          <w:rFonts w:asciiTheme="majorHAnsi" w:eastAsiaTheme="minorHAnsi" w:hAnsiTheme="majorHAnsi" w:cstheme="minorBidi"/>
          <w:b/>
          <w:sz w:val="20"/>
          <w:szCs w:val="22"/>
          <w:vertAlign w:val="subscript"/>
          <w:lang w:eastAsia="en-US"/>
        </w:rPr>
        <w:t>84</w:t>
      </w:r>
      <w:r w:rsidRPr="004A18A0">
        <w:rPr>
          <w:rFonts w:asciiTheme="majorHAnsi" w:eastAsiaTheme="minorHAnsi" w:hAnsiTheme="majorHAnsi" w:cstheme="minorBidi"/>
          <w:b/>
          <w:sz w:val="20"/>
          <w:szCs w:val="22"/>
          <w:vertAlign w:val="subscript"/>
          <w:lang w:eastAsia="en-US"/>
        </w:rPr>
        <w:t>-</w:t>
      </w:r>
      <w:r>
        <w:rPr>
          <w:rFonts w:asciiTheme="majorHAnsi" w:eastAsiaTheme="minorHAnsi" w:hAnsiTheme="majorHAnsi" w:cstheme="minorBidi"/>
          <w:b/>
          <w:sz w:val="20"/>
          <w:szCs w:val="22"/>
          <w:vertAlign w:val="subscript"/>
          <w:lang w:eastAsia="en-US"/>
        </w:rPr>
        <w:t>91</w:t>
      </w:r>
      <w:r w:rsidRPr="004A18A0">
        <w:rPr>
          <w:rFonts w:asciiTheme="majorHAnsi" w:eastAsiaTheme="minorHAnsi" w:hAnsiTheme="majorHAnsi" w:cstheme="minorBidi"/>
          <w:sz w:val="20"/>
          <w:szCs w:val="22"/>
          <w:lang w:eastAsia="en-US"/>
        </w:rPr>
        <w:t xml:space="preserve"> = 1, </w:t>
      </w:r>
      <w:r>
        <w:rPr>
          <w:rFonts w:asciiTheme="majorHAnsi" w:eastAsiaTheme="minorHAnsi" w:hAnsiTheme="majorHAnsi" w:cstheme="minorBidi"/>
          <w:sz w:val="20"/>
          <w:szCs w:val="22"/>
          <w:lang w:eastAsia="en-US"/>
        </w:rPr>
        <w:t>53</w:t>
      </w:r>
      <w:r w:rsidRPr="004A18A0">
        <w:rPr>
          <w:rFonts w:asciiTheme="majorHAnsi" w:eastAsiaTheme="minorHAnsi" w:hAnsiTheme="majorHAnsi" w:cstheme="minorBidi"/>
          <w:sz w:val="20"/>
          <w:szCs w:val="22"/>
          <w:lang w:eastAsia="en-US"/>
        </w:rPr>
        <w:t xml:space="preserve"> * </w:t>
      </w:r>
      <w:r>
        <w:rPr>
          <w:rFonts w:asciiTheme="majorHAnsi" w:eastAsiaTheme="minorHAnsi" w:hAnsiTheme="majorHAnsi" w:cstheme="minorBidi"/>
          <w:sz w:val="20"/>
          <w:szCs w:val="22"/>
          <w:lang w:eastAsia="en-US"/>
        </w:rPr>
        <w:t>0,99</w:t>
      </w:r>
      <w:r w:rsidRPr="004A18A0">
        <w:rPr>
          <w:rFonts w:asciiTheme="majorHAnsi" w:eastAsiaTheme="minorHAnsi" w:hAnsiTheme="majorHAnsi" w:cstheme="minorBidi"/>
          <w:sz w:val="20"/>
          <w:szCs w:val="22"/>
          <w:lang w:eastAsia="en-US"/>
        </w:rPr>
        <w:t xml:space="preserve">  – индекс пересчета восстановительной стоимости из уровня це</w:t>
      </w:r>
      <w:r>
        <w:rPr>
          <w:rFonts w:asciiTheme="majorHAnsi" w:eastAsiaTheme="minorHAnsi" w:hAnsiTheme="majorHAnsi" w:cstheme="minorBidi"/>
          <w:sz w:val="20"/>
          <w:szCs w:val="22"/>
          <w:lang w:eastAsia="en-US"/>
        </w:rPr>
        <w:t>н 1984 г. в уровень цен 1991 г.</w:t>
      </w:r>
    </w:p>
    <w:p w:rsidR="00901346" w:rsidRPr="004A18A0" w:rsidRDefault="00901346" w:rsidP="00901346">
      <w:pPr>
        <w:spacing w:before="120" w:after="120" w:line="160" w:lineRule="atLeast"/>
        <w:ind w:firstLine="708"/>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t xml:space="preserve">где: 1, </w:t>
      </w:r>
      <w:r>
        <w:rPr>
          <w:rFonts w:asciiTheme="majorHAnsi" w:eastAsiaTheme="minorHAnsi" w:hAnsiTheme="majorHAnsi" w:cstheme="minorBidi"/>
          <w:sz w:val="20"/>
          <w:szCs w:val="22"/>
          <w:lang w:eastAsia="en-US"/>
        </w:rPr>
        <w:t>53</w:t>
      </w:r>
      <w:r w:rsidRPr="0061127A">
        <w:rPr>
          <w:rFonts w:asciiTheme="majorHAnsi" w:eastAsiaTheme="minorHAnsi" w:hAnsiTheme="majorHAnsi" w:cstheme="minorBidi"/>
          <w:sz w:val="20"/>
          <w:szCs w:val="22"/>
          <w:lang w:eastAsia="en-US"/>
        </w:rPr>
        <w:t xml:space="preserve"> – индекс перевода цен на строительные работы</w:t>
      </w:r>
      <w:r>
        <w:rPr>
          <w:rFonts w:asciiTheme="majorHAnsi" w:eastAsiaTheme="minorHAnsi" w:hAnsiTheme="majorHAnsi" w:cstheme="minorBidi"/>
          <w:sz w:val="20"/>
          <w:szCs w:val="22"/>
          <w:lang w:eastAsia="en-US"/>
        </w:rPr>
        <w:t xml:space="preserve"> (для</w:t>
      </w:r>
      <w:r w:rsidRPr="00901346">
        <w:rPr>
          <w:rFonts w:asciiTheme="majorHAnsi" w:eastAsiaTheme="minorHAnsi" w:hAnsiTheme="majorHAnsi" w:cstheme="minorBidi"/>
          <w:sz w:val="20"/>
          <w:szCs w:val="22"/>
          <w:lang w:eastAsia="en-US"/>
        </w:rPr>
        <w:t xml:space="preserve"> предприятий по производству металлоконструкций</w:t>
      </w:r>
      <w:r>
        <w:rPr>
          <w:rFonts w:asciiTheme="majorHAnsi" w:eastAsiaTheme="minorHAnsi" w:hAnsiTheme="majorHAnsi" w:cstheme="minorBidi"/>
          <w:sz w:val="20"/>
          <w:szCs w:val="22"/>
          <w:lang w:eastAsia="en-US"/>
        </w:rPr>
        <w:t>)</w:t>
      </w:r>
      <w:r w:rsidRPr="0061127A">
        <w:rPr>
          <w:rFonts w:asciiTheme="majorHAnsi" w:eastAsiaTheme="minorHAnsi" w:hAnsiTheme="majorHAnsi" w:cstheme="minorBidi"/>
          <w:sz w:val="20"/>
          <w:szCs w:val="22"/>
          <w:lang w:eastAsia="en-US"/>
        </w:rPr>
        <w:t xml:space="preserve"> из уровня цен 19</w:t>
      </w:r>
      <w:r>
        <w:rPr>
          <w:rFonts w:asciiTheme="majorHAnsi" w:eastAsiaTheme="minorHAnsi" w:hAnsiTheme="majorHAnsi" w:cstheme="minorBidi"/>
          <w:sz w:val="20"/>
          <w:szCs w:val="22"/>
          <w:lang w:eastAsia="en-US"/>
        </w:rPr>
        <w:t>84</w:t>
      </w:r>
      <w:r w:rsidRPr="0061127A">
        <w:rPr>
          <w:rFonts w:asciiTheme="majorHAnsi" w:eastAsiaTheme="minorHAnsi" w:hAnsiTheme="majorHAnsi" w:cstheme="minorBidi"/>
          <w:sz w:val="20"/>
          <w:szCs w:val="22"/>
          <w:lang w:eastAsia="en-US"/>
        </w:rPr>
        <w:t xml:space="preserve"> г. в уровень цен 19</w:t>
      </w:r>
      <w:r>
        <w:rPr>
          <w:rFonts w:asciiTheme="majorHAnsi" w:eastAsiaTheme="minorHAnsi" w:hAnsiTheme="majorHAnsi" w:cstheme="minorBidi"/>
          <w:sz w:val="20"/>
          <w:szCs w:val="22"/>
          <w:lang w:eastAsia="en-US"/>
        </w:rPr>
        <w:t>91</w:t>
      </w:r>
      <w:r w:rsidRPr="0061127A">
        <w:rPr>
          <w:rFonts w:asciiTheme="majorHAnsi" w:eastAsiaTheme="minorHAnsi" w:hAnsiTheme="majorHAnsi" w:cstheme="minorBidi"/>
          <w:sz w:val="20"/>
          <w:szCs w:val="22"/>
          <w:lang w:eastAsia="en-US"/>
        </w:rPr>
        <w:t xml:space="preserve"> г.;  </w:t>
      </w:r>
      <w:r>
        <w:rPr>
          <w:rFonts w:asciiTheme="majorHAnsi" w:eastAsiaTheme="minorHAnsi" w:hAnsiTheme="majorHAnsi" w:cstheme="minorBidi"/>
          <w:sz w:val="20"/>
          <w:szCs w:val="22"/>
          <w:lang w:eastAsia="en-US"/>
        </w:rPr>
        <w:t xml:space="preserve">0,99 </w:t>
      </w:r>
      <w:r w:rsidRPr="0061127A">
        <w:rPr>
          <w:rFonts w:asciiTheme="majorHAnsi" w:eastAsiaTheme="minorHAnsi" w:hAnsiTheme="majorHAnsi" w:cstheme="minorBidi"/>
          <w:sz w:val="20"/>
          <w:szCs w:val="22"/>
          <w:lang w:eastAsia="en-US"/>
        </w:rPr>
        <w:t xml:space="preserve">– территориальный коэффициент, учитывающий изменения сметной стоимости СМР для условий </w:t>
      </w:r>
      <w:r>
        <w:rPr>
          <w:rFonts w:asciiTheme="majorHAnsi" w:eastAsia="Calibri" w:hAnsiTheme="majorHAnsi"/>
          <w:sz w:val="20"/>
          <w:szCs w:val="20"/>
        </w:rPr>
        <w:t>Белгородской</w:t>
      </w:r>
      <w:r w:rsidRPr="0061127A">
        <w:rPr>
          <w:rFonts w:asciiTheme="majorHAnsi" w:eastAsiaTheme="minorHAnsi" w:hAnsiTheme="majorHAnsi" w:cstheme="minorBidi"/>
          <w:sz w:val="20"/>
          <w:szCs w:val="22"/>
          <w:lang w:eastAsia="en-US"/>
        </w:rPr>
        <w:t xml:space="preserve"> области. </w:t>
      </w:r>
    </w:p>
    <w:p w:rsidR="00901346" w:rsidRPr="0061127A" w:rsidRDefault="00901346" w:rsidP="00901346">
      <w:pPr>
        <w:spacing w:after="200" w:line="160" w:lineRule="atLeast"/>
        <w:ind w:firstLine="708"/>
        <w:jc w:val="both"/>
        <w:rPr>
          <w:rFonts w:asciiTheme="majorHAnsi" w:eastAsiaTheme="minorHAnsi" w:hAnsiTheme="majorHAnsi" w:cstheme="minorBidi"/>
          <w:sz w:val="20"/>
          <w:szCs w:val="22"/>
          <w:lang w:eastAsia="en-US"/>
        </w:rPr>
      </w:pPr>
      <w:r w:rsidRPr="0061127A">
        <w:rPr>
          <w:rFonts w:asciiTheme="majorHAnsi" w:eastAsiaTheme="minorHAnsi" w:hAnsiTheme="majorHAnsi" w:cstheme="minorBidi"/>
          <w:sz w:val="20"/>
          <w:szCs w:val="22"/>
          <w:lang w:eastAsia="en-US"/>
        </w:rPr>
        <w:t>Для пересчета использованы индексы изменения сметной стоимости СМР по отраслям народного хозяйства, отраслям промышленности и направлениям в составе отраслей, а также территориальные коэффициенты к индексам по отраслям народного хозяйства, отраслям промышленности и направлениям в составе отраслей, учитывающие особенности изменения сметной стоимости СМР по отраслям, краям, автономным республикам, союзным республикам, не имеющим областного деления (Письмо Госстроя СССР от 06.09.1990 г. № 14–Д).</w:t>
      </w:r>
    </w:p>
    <w:p w:rsidR="00B0276F" w:rsidRPr="0061127A" w:rsidRDefault="00901346" w:rsidP="00901346">
      <w:pPr>
        <w:spacing w:after="200" w:line="160" w:lineRule="atLeast"/>
        <w:jc w:val="center"/>
        <w:rPr>
          <w:rFonts w:asciiTheme="majorHAnsi" w:eastAsiaTheme="minorHAnsi" w:hAnsiTheme="majorHAnsi" w:cstheme="minorBidi"/>
          <w:sz w:val="20"/>
          <w:szCs w:val="22"/>
          <w:lang w:eastAsia="en-US"/>
        </w:rPr>
      </w:pPr>
      <w:r>
        <w:rPr>
          <w:noProof/>
        </w:rPr>
        <w:drawing>
          <wp:inline distT="0" distB="0" distL="0" distR="0" wp14:anchorId="3DCE51A6" wp14:editId="2F1F34B5">
            <wp:extent cx="4570730" cy="2398143"/>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50254" t="55528" r="13450" b="10611"/>
                    <a:stretch/>
                  </pic:blipFill>
                  <pic:spPr bwMode="auto">
                    <a:xfrm>
                      <a:off x="0" y="0"/>
                      <a:ext cx="4630710" cy="2429613"/>
                    </a:xfrm>
                    <a:prstGeom prst="rect">
                      <a:avLst/>
                    </a:prstGeom>
                    <a:ln>
                      <a:noFill/>
                    </a:ln>
                    <a:extLst>
                      <a:ext uri="{53640926-AAD7-44D8-BBD7-CCE9431645EC}">
                        <a14:shadowObscured xmlns:a14="http://schemas.microsoft.com/office/drawing/2010/main"/>
                      </a:ext>
                    </a:extLst>
                  </pic:spPr>
                </pic:pic>
              </a:graphicData>
            </a:graphic>
          </wp:inline>
        </w:drawing>
      </w:r>
    </w:p>
    <w:p w:rsidR="002303F5" w:rsidRDefault="0061127A" w:rsidP="00E917FE">
      <w:pPr>
        <w:spacing w:after="200" w:line="160" w:lineRule="atLeast"/>
        <w:ind w:firstLine="851"/>
        <w:jc w:val="both"/>
        <w:rPr>
          <w:rFonts w:asciiTheme="majorHAnsi" w:eastAsiaTheme="minorHAnsi" w:hAnsiTheme="majorHAnsi" w:cstheme="minorBidi"/>
          <w:b/>
          <w:i/>
          <w:sz w:val="20"/>
          <w:szCs w:val="22"/>
          <w:lang w:eastAsia="en-US"/>
        </w:rPr>
      </w:pPr>
      <w:r w:rsidRPr="00E917FE">
        <w:rPr>
          <w:rFonts w:eastAsiaTheme="minorHAnsi" w:cstheme="minorBidi"/>
          <w:b/>
          <w:sz w:val="22"/>
          <w:lang w:eastAsia="en-US"/>
        </w:rPr>
        <w:t>И</w:t>
      </w:r>
      <w:r w:rsidRPr="00E917FE">
        <w:rPr>
          <w:rFonts w:eastAsiaTheme="minorHAnsi" w:cstheme="minorBidi"/>
          <w:b/>
          <w:sz w:val="22"/>
          <w:vertAlign w:val="subscript"/>
          <w:lang w:eastAsia="en-US"/>
        </w:rPr>
        <w:t>91-1</w:t>
      </w:r>
      <w:bookmarkStart w:id="77" w:name="%D0%B8%D0%BD%D0%B4%D0%B5%D0%BA%D1%81_%D0"/>
      <w:bookmarkEnd w:id="77"/>
      <w:r w:rsidR="00902AB0" w:rsidRPr="00E917FE">
        <w:rPr>
          <w:rFonts w:eastAsiaTheme="minorHAnsi" w:cstheme="minorBidi"/>
          <w:b/>
          <w:sz w:val="22"/>
          <w:vertAlign w:val="subscript"/>
          <w:lang w:eastAsia="en-US"/>
        </w:rPr>
        <w:t>6</w:t>
      </w:r>
      <w:r w:rsidRPr="00E917FE">
        <w:rPr>
          <w:rFonts w:eastAsiaTheme="minorHAnsi" w:cstheme="minorBidi"/>
          <w:b/>
          <w:sz w:val="22"/>
          <w:vertAlign w:val="subscript"/>
          <w:lang w:eastAsia="en-US"/>
        </w:rPr>
        <w:t xml:space="preserve"> </w:t>
      </w:r>
      <w:r w:rsidRPr="00E917FE">
        <w:rPr>
          <w:rFonts w:asciiTheme="majorHAnsi" w:eastAsiaTheme="minorHAnsi" w:hAnsiTheme="majorHAnsi" w:cstheme="minorBidi"/>
          <w:sz w:val="20"/>
          <w:szCs w:val="22"/>
          <w:lang w:eastAsia="en-US"/>
        </w:rPr>
        <w:t xml:space="preserve">= </w:t>
      </w:r>
      <w:r w:rsidR="002303F5" w:rsidRPr="0010274C">
        <w:rPr>
          <w:rFonts w:asciiTheme="majorHAnsi" w:eastAsiaTheme="minorHAnsi" w:hAnsiTheme="majorHAnsi" w:cstheme="minorBidi"/>
          <w:b/>
          <w:sz w:val="20"/>
          <w:szCs w:val="22"/>
          <w:lang w:eastAsia="en-US"/>
        </w:rPr>
        <w:t>9</w:t>
      </w:r>
      <w:r w:rsidR="00901346">
        <w:rPr>
          <w:rFonts w:asciiTheme="majorHAnsi" w:eastAsiaTheme="minorHAnsi" w:hAnsiTheme="majorHAnsi" w:cstheme="minorBidi"/>
          <w:b/>
          <w:sz w:val="20"/>
          <w:szCs w:val="22"/>
          <w:lang w:eastAsia="en-US"/>
        </w:rPr>
        <w:t>8</w:t>
      </w:r>
      <w:r w:rsidR="002303F5" w:rsidRPr="0010274C">
        <w:rPr>
          <w:rFonts w:asciiTheme="majorHAnsi" w:eastAsiaTheme="minorHAnsi" w:hAnsiTheme="majorHAnsi" w:cstheme="minorBidi"/>
          <w:b/>
          <w:sz w:val="20"/>
          <w:szCs w:val="22"/>
          <w:lang w:eastAsia="en-US"/>
        </w:rPr>
        <w:t>,</w:t>
      </w:r>
      <w:r w:rsidR="00901346">
        <w:rPr>
          <w:rFonts w:asciiTheme="majorHAnsi" w:eastAsiaTheme="minorHAnsi" w:hAnsiTheme="majorHAnsi" w:cstheme="minorBidi"/>
          <w:b/>
          <w:sz w:val="20"/>
          <w:szCs w:val="22"/>
          <w:lang w:eastAsia="en-US"/>
        </w:rPr>
        <w:t>88</w:t>
      </w:r>
      <w:r w:rsidRPr="00E917FE">
        <w:rPr>
          <w:rFonts w:asciiTheme="majorHAnsi" w:eastAsiaTheme="minorHAnsi" w:hAnsiTheme="majorHAnsi" w:cstheme="minorBidi"/>
          <w:sz w:val="20"/>
          <w:szCs w:val="22"/>
          <w:lang w:eastAsia="en-US"/>
        </w:rPr>
        <w:t>– индекс пересчета стоимости строительства от цен 1991 года к ценам на дат</w:t>
      </w:r>
      <w:r w:rsidR="009D75BF" w:rsidRPr="00E917FE">
        <w:rPr>
          <w:rFonts w:asciiTheme="majorHAnsi" w:eastAsiaTheme="minorHAnsi" w:hAnsiTheme="majorHAnsi" w:cstheme="minorBidi"/>
          <w:sz w:val="20"/>
          <w:szCs w:val="22"/>
          <w:lang w:eastAsia="en-US"/>
        </w:rPr>
        <w:t>у оценки по ежемесячным данным об индексах цен в строительстве</w:t>
      </w:r>
      <w:r w:rsidR="00E917FE">
        <w:rPr>
          <w:rFonts w:asciiTheme="majorHAnsi" w:eastAsiaTheme="minorHAnsi" w:hAnsiTheme="majorHAnsi" w:cstheme="minorBidi"/>
          <w:sz w:val="20"/>
          <w:szCs w:val="22"/>
          <w:lang w:eastAsia="en-US"/>
        </w:rPr>
        <w:t xml:space="preserve">, полученный в результате  расчета: </w:t>
      </w:r>
      <w:r w:rsidR="00E917FE" w:rsidRPr="00E917FE">
        <w:rPr>
          <w:rFonts w:asciiTheme="majorHAnsi" w:eastAsiaTheme="minorHAnsi" w:hAnsiTheme="majorHAnsi" w:cstheme="minorBidi"/>
          <w:b/>
          <w:i/>
          <w:sz w:val="20"/>
          <w:szCs w:val="22"/>
          <w:lang w:eastAsia="en-US"/>
        </w:rPr>
        <w:t>И</w:t>
      </w:r>
      <w:r w:rsidR="00E917FE" w:rsidRPr="00E917FE">
        <w:rPr>
          <w:rFonts w:asciiTheme="majorHAnsi" w:eastAsiaTheme="minorHAnsi" w:hAnsiTheme="majorHAnsi" w:cstheme="minorBidi"/>
          <w:b/>
          <w:i/>
          <w:sz w:val="20"/>
          <w:szCs w:val="22"/>
          <w:vertAlign w:val="subscript"/>
          <w:lang w:eastAsia="en-US"/>
        </w:rPr>
        <w:t>91-1</w:t>
      </w:r>
      <w:r w:rsidR="00901346">
        <w:rPr>
          <w:rFonts w:asciiTheme="majorHAnsi" w:eastAsiaTheme="minorHAnsi" w:hAnsiTheme="majorHAnsi" w:cstheme="minorBidi"/>
          <w:b/>
          <w:i/>
          <w:sz w:val="20"/>
          <w:szCs w:val="22"/>
          <w:vertAlign w:val="subscript"/>
          <w:lang w:eastAsia="en-US"/>
        </w:rPr>
        <w:t xml:space="preserve"> 6 </w:t>
      </w:r>
      <w:r w:rsidR="00E917FE" w:rsidRPr="00E917FE">
        <w:rPr>
          <w:rFonts w:asciiTheme="majorHAnsi" w:eastAsiaTheme="minorHAnsi" w:hAnsiTheme="majorHAnsi" w:cstheme="minorBidi"/>
          <w:b/>
          <w:i/>
          <w:sz w:val="20"/>
          <w:szCs w:val="22"/>
          <w:lang w:eastAsia="en-US"/>
        </w:rPr>
        <w:t xml:space="preserve">= </w:t>
      </w:r>
      <w:r w:rsidR="009D75BF" w:rsidRPr="00E917FE">
        <w:rPr>
          <w:rFonts w:asciiTheme="majorHAnsi" w:eastAsiaTheme="minorHAnsi" w:hAnsiTheme="majorHAnsi" w:cstheme="minorBidi"/>
          <w:b/>
          <w:i/>
          <w:sz w:val="20"/>
          <w:szCs w:val="22"/>
          <w:lang w:eastAsia="en-US"/>
        </w:rPr>
        <w:t xml:space="preserve"> </w:t>
      </w:r>
      <w:r w:rsidR="002303F5" w:rsidRPr="002303F5">
        <w:rPr>
          <w:rFonts w:asciiTheme="majorHAnsi" w:eastAsiaTheme="minorHAnsi" w:hAnsiTheme="majorHAnsi" w:cstheme="minorBidi"/>
          <w:b/>
          <w:i/>
          <w:sz w:val="20"/>
          <w:szCs w:val="22"/>
          <w:lang w:eastAsia="en-US"/>
        </w:rPr>
        <w:t xml:space="preserve">июнь </w:t>
      </w:r>
      <w:r w:rsidR="002303F5">
        <w:rPr>
          <w:rFonts w:asciiTheme="majorHAnsi" w:eastAsiaTheme="minorHAnsi" w:hAnsiTheme="majorHAnsi" w:cstheme="minorBidi"/>
          <w:b/>
          <w:i/>
          <w:sz w:val="20"/>
          <w:szCs w:val="22"/>
          <w:lang w:eastAsia="en-US"/>
        </w:rPr>
        <w:t>2016 г</w:t>
      </w:r>
      <w:r w:rsidR="002303F5" w:rsidRPr="002303F5">
        <w:rPr>
          <w:rFonts w:asciiTheme="majorHAnsi" w:eastAsiaTheme="minorHAnsi" w:hAnsiTheme="majorHAnsi" w:cstheme="minorBidi"/>
          <w:b/>
          <w:i/>
          <w:sz w:val="20"/>
          <w:szCs w:val="22"/>
          <w:lang w:eastAsia="en-US"/>
        </w:rPr>
        <w:t xml:space="preserve">/январь </w:t>
      </w:r>
      <w:r w:rsidR="002303F5">
        <w:rPr>
          <w:rFonts w:asciiTheme="majorHAnsi" w:eastAsiaTheme="minorHAnsi" w:hAnsiTheme="majorHAnsi" w:cstheme="minorBidi"/>
          <w:b/>
          <w:i/>
          <w:sz w:val="20"/>
          <w:szCs w:val="22"/>
          <w:lang w:eastAsia="en-US"/>
        </w:rPr>
        <w:t>19</w:t>
      </w:r>
      <w:r w:rsidR="002303F5" w:rsidRPr="002303F5">
        <w:rPr>
          <w:rFonts w:asciiTheme="majorHAnsi" w:eastAsiaTheme="minorHAnsi" w:hAnsiTheme="majorHAnsi" w:cstheme="minorBidi"/>
          <w:b/>
          <w:i/>
          <w:sz w:val="20"/>
          <w:szCs w:val="22"/>
          <w:lang w:eastAsia="en-US"/>
        </w:rPr>
        <w:t>91 г</w:t>
      </w:r>
      <w:r w:rsidR="002303F5">
        <w:rPr>
          <w:rFonts w:asciiTheme="majorHAnsi" w:eastAsiaTheme="minorHAnsi" w:hAnsiTheme="majorHAnsi" w:cstheme="minorBidi"/>
          <w:b/>
          <w:i/>
          <w:sz w:val="20"/>
          <w:szCs w:val="22"/>
          <w:lang w:eastAsia="en-US"/>
        </w:rPr>
        <w:t xml:space="preserve"> =</w:t>
      </w:r>
      <w:r w:rsidR="002303F5" w:rsidRPr="002303F5">
        <w:rPr>
          <w:rFonts w:asciiTheme="majorHAnsi" w:eastAsiaTheme="minorHAnsi" w:hAnsiTheme="majorHAnsi" w:cstheme="minorBidi"/>
          <w:b/>
          <w:i/>
          <w:sz w:val="20"/>
          <w:szCs w:val="22"/>
          <w:lang w:eastAsia="en-US"/>
        </w:rPr>
        <w:t xml:space="preserve"> 9,691</w:t>
      </w:r>
      <w:r w:rsidR="002303F5">
        <w:rPr>
          <w:rFonts w:asciiTheme="majorHAnsi" w:eastAsiaTheme="minorHAnsi" w:hAnsiTheme="majorHAnsi" w:cstheme="minorBidi"/>
          <w:b/>
          <w:i/>
          <w:sz w:val="20"/>
          <w:szCs w:val="22"/>
          <w:lang w:eastAsia="en-US"/>
        </w:rPr>
        <w:t>/</w:t>
      </w:r>
      <w:r w:rsidR="002303F5" w:rsidRPr="002303F5">
        <w:rPr>
          <w:rFonts w:asciiTheme="majorHAnsi" w:eastAsiaTheme="minorHAnsi" w:hAnsiTheme="majorHAnsi" w:cstheme="minorBidi"/>
          <w:b/>
          <w:i/>
          <w:sz w:val="20"/>
          <w:szCs w:val="22"/>
          <w:lang w:eastAsia="en-US"/>
        </w:rPr>
        <w:t>0,10889</w:t>
      </w:r>
      <w:r w:rsidR="002303F5">
        <w:rPr>
          <w:rFonts w:asciiTheme="majorHAnsi" w:eastAsiaTheme="minorHAnsi" w:hAnsiTheme="majorHAnsi" w:cstheme="minorBidi"/>
          <w:b/>
          <w:i/>
          <w:sz w:val="20"/>
          <w:szCs w:val="22"/>
          <w:lang w:eastAsia="en-US"/>
        </w:rPr>
        <w:t xml:space="preserve"> </w:t>
      </w:r>
      <w:r w:rsidR="002303F5" w:rsidRPr="002303F5">
        <w:rPr>
          <w:rFonts w:asciiTheme="majorHAnsi" w:eastAsiaTheme="minorHAnsi" w:hAnsiTheme="majorHAnsi" w:cstheme="minorBidi"/>
          <w:b/>
          <w:i/>
          <w:sz w:val="20"/>
          <w:szCs w:val="22"/>
          <w:lang w:eastAsia="en-US"/>
        </w:rPr>
        <w:t>=</w:t>
      </w:r>
      <w:r w:rsidR="002303F5">
        <w:rPr>
          <w:rFonts w:asciiTheme="majorHAnsi" w:eastAsiaTheme="minorHAnsi" w:hAnsiTheme="majorHAnsi" w:cstheme="minorBidi"/>
          <w:b/>
          <w:i/>
          <w:sz w:val="20"/>
          <w:szCs w:val="22"/>
          <w:lang w:eastAsia="en-US"/>
        </w:rPr>
        <w:t xml:space="preserve"> </w:t>
      </w:r>
      <w:r w:rsidR="002303F5" w:rsidRPr="002303F5">
        <w:rPr>
          <w:rFonts w:asciiTheme="majorHAnsi" w:eastAsiaTheme="minorHAnsi" w:hAnsiTheme="majorHAnsi" w:cstheme="minorBidi"/>
          <w:b/>
          <w:i/>
          <w:sz w:val="20"/>
          <w:szCs w:val="22"/>
          <w:lang w:eastAsia="en-US"/>
        </w:rPr>
        <w:t xml:space="preserve">88,9981 на июнь 2016 г. </w:t>
      </w:r>
    </w:p>
    <w:p w:rsidR="00901346" w:rsidRDefault="002303F5" w:rsidP="00901346">
      <w:pPr>
        <w:spacing w:after="200" w:line="160" w:lineRule="atLeast"/>
        <w:ind w:firstLine="851"/>
        <w:jc w:val="both"/>
        <w:rPr>
          <w:rFonts w:asciiTheme="majorHAnsi" w:eastAsiaTheme="minorHAnsi" w:hAnsiTheme="majorHAnsi" w:cstheme="minorBidi"/>
          <w:sz w:val="20"/>
          <w:szCs w:val="22"/>
          <w:lang w:eastAsia="en-US"/>
        </w:rPr>
      </w:pPr>
      <w:r>
        <w:rPr>
          <w:rFonts w:asciiTheme="majorHAnsi" w:eastAsiaTheme="minorHAnsi" w:hAnsiTheme="majorHAnsi" w:cstheme="minorBidi"/>
          <w:b/>
          <w:i/>
          <w:sz w:val="20"/>
          <w:szCs w:val="22"/>
          <w:lang w:eastAsia="en-US"/>
        </w:rPr>
        <w:t xml:space="preserve">По экстраполяции </w:t>
      </w:r>
      <w:r w:rsidRPr="002303F5">
        <w:rPr>
          <w:rFonts w:asciiTheme="majorHAnsi" w:eastAsiaTheme="minorHAnsi" w:hAnsiTheme="majorHAnsi" w:cstheme="minorBidi"/>
          <w:b/>
          <w:i/>
          <w:sz w:val="20"/>
          <w:szCs w:val="22"/>
          <w:lang w:eastAsia="en-US"/>
        </w:rPr>
        <w:t xml:space="preserve">переводим </w:t>
      </w:r>
      <w:r>
        <w:rPr>
          <w:rFonts w:asciiTheme="majorHAnsi" w:eastAsiaTheme="minorHAnsi" w:hAnsiTheme="majorHAnsi" w:cstheme="minorBidi"/>
          <w:b/>
          <w:i/>
          <w:sz w:val="20"/>
          <w:szCs w:val="22"/>
          <w:lang w:eastAsia="en-US"/>
        </w:rPr>
        <w:t xml:space="preserve">в уровень цен </w:t>
      </w:r>
      <w:r w:rsidR="00901346">
        <w:rPr>
          <w:rFonts w:asciiTheme="majorHAnsi" w:eastAsiaTheme="minorHAnsi" w:hAnsiTheme="majorHAnsi" w:cstheme="minorBidi"/>
          <w:b/>
          <w:i/>
          <w:sz w:val="20"/>
          <w:szCs w:val="22"/>
          <w:lang w:eastAsia="en-US"/>
        </w:rPr>
        <w:t>июня</w:t>
      </w:r>
      <w:r w:rsidRPr="002303F5">
        <w:rPr>
          <w:rFonts w:asciiTheme="majorHAnsi" w:eastAsiaTheme="minorHAnsi" w:hAnsiTheme="majorHAnsi" w:cstheme="minorBidi"/>
          <w:b/>
          <w:i/>
          <w:sz w:val="20"/>
          <w:szCs w:val="22"/>
          <w:lang w:eastAsia="en-US"/>
        </w:rPr>
        <w:t xml:space="preserve"> </w:t>
      </w:r>
      <w:r>
        <w:rPr>
          <w:rFonts w:asciiTheme="majorHAnsi" w:eastAsiaTheme="minorHAnsi" w:hAnsiTheme="majorHAnsi" w:cstheme="minorBidi"/>
          <w:b/>
          <w:i/>
          <w:sz w:val="20"/>
          <w:szCs w:val="22"/>
          <w:lang w:eastAsia="en-US"/>
        </w:rPr>
        <w:t>20</w:t>
      </w:r>
      <w:r w:rsidRPr="002303F5">
        <w:rPr>
          <w:rFonts w:asciiTheme="majorHAnsi" w:eastAsiaTheme="minorHAnsi" w:hAnsiTheme="majorHAnsi" w:cstheme="minorBidi"/>
          <w:b/>
          <w:i/>
          <w:sz w:val="20"/>
          <w:szCs w:val="22"/>
          <w:lang w:eastAsia="en-US"/>
        </w:rPr>
        <w:t>1</w:t>
      </w:r>
      <w:r w:rsidR="00901346">
        <w:rPr>
          <w:rFonts w:asciiTheme="majorHAnsi" w:eastAsiaTheme="minorHAnsi" w:hAnsiTheme="majorHAnsi" w:cstheme="minorBidi"/>
          <w:b/>
          <w:i/>
          <w:sz w:val="20"/>
          <w:szCs w:val="22"/>
          <w:lang w:eastAsia="en-US"/>
        </w:rPr>
        <w:t>7</w:t>
      </w:r>
      <w:r w:rsidRPr="002303F5">
        <w:rPr>
          <w:rFonts w:asciiTheme="majorHAnsi" w:eastAsiaTheme="minorHAnsi" w:hAnsiTheme="majorHAnsi" w:cstheme="minorBidi"/>
          <w:b/>
          <w:i/>
          <w:sz w:val="20"/>
          <w:szCs w:val="22"/>
          <w:lang w:eastAsia="en-US"/>
        </w:rPr>
        <w:t xml:space="preserve"> г. = </w:t>
      </w:r>
      <w:r w:rsidR="00901346">
        <w:rPr>
          <w:rFonts w:asciiTheme="majorHAnsi" w:eastAsiaTheme="minorHAnsi" w:hAnsiTheme="majorHAnsi" w:cstheme="minorBidi"/>
          <w:b/>
          <w:i/>
          <w:sz w:val="20"/>
          <w:szCs w:val="22"/>
          <w:lang w:eastAsia="en-US"/>
        </w:rPr>
        <w:t>июнь 2017</w:t>
      </w:r>
      <w:r w:rsidRPr="002303F5">
        <w:rPr>
          <w:rFonts w:asciiTheme="majorHAnsi" w:eastAsiaTheme="minorHAnsi" w:hAnsiTheme="majorHAnsi" w:cstheme="minorBidi"/>
          <w:b/>
          <w:i/>
          <w:sz w:val="20"/>
          <w:szCs w:val="22"/>
          <w:lang w:eastAsia="en-US"/>
        </w:rPr>
        <w:t xml:space="preserve">/июнь </w:t>
      </w:r>
      <w:r w:rsidR="0010274C">
        <w:rPr>
          <w:rFonts w:asciiTheme="majorHAnsi" w:eastAsiaTheme="minorHAnsi" w:hAnsiTheme="majorHAnsi" w:cstheme="minorBidi"/>
          <w:b/>
          <w:i/>
          <w:sz w:val="20"/>
          <w:szCs w:val="22"/>
          <w:lang w:eastAsia="en-US"/>
        </w:rPr>
        <w:t>20</w:t>
      </w:r>
      <w:r w:rsidRPr="002303F5">
        <w:rPr>
          <w:rFonts w:asciiTheme="majorHAnsi" w:eastAsiaTheme="minorHAnsi" w:hAnsiTheme="majorHAnsi" w:cstheme="minorBidi"/>
          <w:b/>
          <w:i/>
          <w:sz w:val="20"/>
          <w:szCs w:val="22"/>
          <w:lang w:eastAsia="en-US"/>
        </w:rPr>
        <w:t>16</w:t>
      </w:r>
      <w:r w:rsidR="0010274C">
        <w:rPr>
          <w:rFonts w:asciiTheme="majorHAnsi" w:eastAsiaTheme="minorHAnsi" w:hAnsiTheme="majorHAnsi" w:cstheme="minorBidi"/>
          <w:b/>
          <w:i/>
          <w:sz w:val="20"/>
          <w:szCs w:val="22"/>
          <w:lang w:eastAsia="en-US"/>
        </w:rPr>
        <w:t xml:space="preserve"> </w:t>
      </w:r>
      <w:r w:rsidRPr="002303F5">
        <w:rPr>
          <w:rFonts w:asciiTheme="majorHAnsi" w:eastAsiaTheme="minorHAnsi" w:hAnsiTheme="majorHAnsi" w:cstheme="minorBidi"/>
          <w:b/>
          <w:i/>
          <w:sz w:val="20"/>
          <w:szCs w:val="22"/>
          <w:lang w:eastAsia="en-US"/>
        </w:rPr>
        <w:t xml:space="preserve">= </w:t>
      </w:r>
      <w:r w:rsidR="00901346">
        <w:rPr>
          <w:rFonts w:asciiTheme="majorHAnsi" w:eastAsiaTheme="minorHAnsi" w:hAnsiTheme="majorHAnsi" w:cstheme="minorBidi"/>
          <w:b/>
          <w:i/>
          <w:sz w:val="20"/>
          <w:szCs w:val="22"/>
          <w:lang w:eastAsia="en-US"/>
        </w:rPr>
        <w:t>119,178/107,243=1,111. потом 1,111*88,9981 = 98,88</w:t>
      </w:r>
      <w:r w:rsidR="00901346">
        <w:rPr>
          <w:rFonts w:asciiTheme="majorHAnsi" w:eastAsiaTheme="minorHAnsi" w:hAnsiTheme="majorHAnsi" w:cstheme="minorBidi"/>
          <w:sz w:val="20"/>
          <w:szCs w:val="22"/>
          <w:lang w:eastAsia="en-US"/>
        </w:rPr>
        <w:t xml:space="preserve"> </w:t>
      </w:r>
    </w:p>
    <w:p w:rsidR="0010274C" w:rsidRDefault="0010274C" w:rsidP="00E917FE">
      <w:pPr>
        <w:spacing w:after="200" w:line="160" w:lineRule="atLeast"/>
        <w:ind w:firstLine="851"/>
        <w:jc w:val="both"/>
        <w:rPr>
          <w:rFonts w:asciiTheme="majorHAnsi" w:eastAsiaTheme="minorHAnsi" w:hAnsiTheme="majorHAnsi" w:cstheme="minorBidi"/>
          <w:sz w:val="20"/>
          <w:szCs w:val="22"/>
          <w:lang w:eastAsia="en-US"/>
        </w:rPr>
      </w:pPr>
    </w:p>
    <w:p w:rsidR="0010274C" w:rsidRDefault="0010274C" w:rsidP="00E917FE">
      <w:pPr>
        <w:spacing w:after="200" w:line="160" w:lineRule="atLeast"/>
        <w:ind w:firstLine="851"/>
        <w:jc w:val="both"/>
        <w:rPr>
          <w:rFonts w:asciiTheme="majorHAnsi" w:eastAsiaTheme="minorHAnsi" w:hAnsiTheme="majorHAnsi" w:cstheme="minorBidi"/>
          <w:sz w:val="20"/>
          <w:szCs w:val="22"/>
          <w:lang w:eastAsia="en-US"/>
        </w:rPr>
      </w:pPr>
      <w:r w:rsidRPr="00E917FE">
        <w:rPr>
          <w:rFonts w:asciiTheme="majorHAnsi" w:eastAsiaTheme="minorHAnsi" w:hAnsiTheme="majorHAnsi" w:cstheme="minorBidi"/>
          <w:sz w:val="20"/>
          <w:szCs w:val="22"/>
          <w:lang w:eastAsia="en-US"/>
        </w:rPr>
        <w:t>ИСТОЧНИК</w:t>
      </w:r>
      <w:r w:rsidR="0061127A" w:rsidRPr="00E917FE">
        <w:rPr>
          <w:rFonts w:asciiTheme="majorHAnsi" w:eastAsiaTheme="minorHAnsi" w:hAnsiTheme="majorHAnsi" w:cstheme="minorBidi"/>
          <w:sz w:val="20"/>
          <w:szCs w:val="22"/>
          <w:lang w:eastAsia="en-US"/>
        </w:rPr>
        <w:t>: информационно-аналитический журнал “</w:t>
      </w:r>
      <w:r w:rsidR="00E917FE" w:rsidRPr="00E917FE">
        <w:rPr>
          <w:rFonts w:asciiTheme="majorHAnsi" w:eastAsiaTheme="minorHAnsi" w:hAnsiTheme="majorHAnsi" w:cstheme="minorBidi"/>
          <w:sz w:val="20"/>
          <w:szCs w:val="22"/>
          <w:lang w:eastAsia="en-US"/>
        </w:rPr>
        <w:t>КО-ИНВЕСТ</w:t>
      </w:r>
      <w:r w:rsidR="0061127A" w:rsidRPr="00E917FE">
        <w:rPr>
          <w:rFonts w:asciiTheme="majorHAnsi" w:eastAsiaTheme="minorHAnsi" w:hAnsiTheme="majorHAnsi" w:cstheme="minorBidi"/>
          <w:sz w:val="20"/>
          <w:szCs w:val="22"/>
          <w:lang w:eastAsia="en-US"/>
        </w:rPr>
        <w:t>” 2016 г.)</w:t>
      </w:r>
    </w:p>
    <w:p w:rsidR="0010274C" w:rsidRDefault="0010274C" w:rsidP="00E7534F">
      <w:pPr>
        <w:spacing w:after="200" w:line="160" w:lineRule="atLeast"/>
        <w:ind w:firstLine="851"/>
        <w:jc w:val="center"/>
        <w:rPr>
          <w:rFonts w:asciiTheme="majorHAnsi" w:eastAsiaTheme="minorHAnsi" w:hAnsiTheme="majorHAnsi" w:cstheme="minorBidi"/>
          <w:sz w:val="20"/>
          <w:szCs w:val="22"/>
          <w:lang w:eastAsia="en-US"/>
        </w:rPr>
      </w:pPr>
      <w:r w:rsidRPr="0010274C">
        <w:rPr>
          <w:rFonts w:asciiTheme="majorHAnsi" w:eastAsiaTheme="minorHAnsi" w:hAnsiTheme="majorHAnsi" w:cstheme="minorBidi"/>
          <w:noProof/>
          <w:sz w:val="20"/>
          <w:szCs w:val="22"/>
        </w:rPr>
        <w:lastRenderedPageBreak/>
        <w:drawing>
          <wp:inline distT="0" distB="0" distL="0" distR="0" wp14:anchorId="5B35D0B4" wp14:editId="3A947823">
            <wp:extent cx="5708562" cy="4805916"/>
            <wp:effectExtent l="0" t="0" r="0" b="0"/>
            <wp:docPr id="24" name="Рисунок 24" descr="C:\Users\User\Desktop\aEChWWPBy5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aEChWWPBy5w.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8911" t="3315" r="2961" b="42333"/>
                    <a:stretch/>
                  </pic:blipFill>
                  <pic:spPr bwMode="auto">
                    <a:xfrm>
                      <a:off x="0" y="0"/>
                      <a:ext cx="5715141" cy="4811455"/>
                    </a:xfrm>
                    <a:prstGeom prst="rect">
                      <a:avLst/>
                    </a:prstGeom>
                    <a:noFill/>
                    <a:ln>
                      <a:noFill/>
                    </a:ln>
                    <a:extLst>
                      <a:ext uri="{53640926-AAD7-44D8-BBD7-CCE9431645EC}">
                        <a14:shadowObscured xmlns:a14="http://schemas.microsoft.com/office/drawing/2010/main"/>
                      </a:ext>
                    </a:extLst>
                  </pic:spPr>
                </pic:pic>
              </a:graphicData>
            </a:graphic>
          </wp:inline>
        </w:drawing>
      </w:r>
    </w:p>
    <w:p w:rsidR="0061127A" w:rsidRPr="0061127A" w:rsidRDefault="00E917FE" w:rsidP="00E7534F">
      <w:pPr>
        <w:spacing w:after="200" w:line="160" w:lineRule="atLeast"/>
        <w:ind w:firstLine="851"/>
        <w:jc w:val="center"/>
        <w:rPr>
          <w:rFonts w:asciiTheme="majorHAnsi" w:eastAsiaTheme="minorHAnsi" w:hAnsiTheme="majorHAnsi" w:cstheme="minorBidi"/>
          <w:sz w:val="20"/>
          <w:szCs w:val="22"/>
          <w:lang w:eastAsia="en-US"/>
        </w:rPr>
      </w:pPr>
      <w:r>
        <w:rPr>
          <w:rFonts w:asciiTheme="majorHAnsi" w:eastAsiaTheme="minorHAnsi" w:hAnsiTheme="majorHAnsi" w:cstheme="minorBidi"/>
          <w:sz w:val="20"/>
          <w:szCs w:val="22"/>
          <w:lang w:eastAsia="en-US"/>
        </w:rPr>
        <w:br/>
      </w:r>
      <w:r w:rsidRPr="00E917FE">
        <w:rPr>
          <w:rFonts w:asciiTheme="majorHAnsi" w:eastAsiaTheme="minorHAnsi" w:hAnsiTheme="majorHAnsi" w:cstheme="minorBidi"/>
          <w:noProof/>
          <w:sz w:val="20"/>
          <w:szCs w:val="22"/>
        </w:rPr>
        <w:drawing>
          <wp:inline distT="0" distB="0" distL="0" distR="0" wp14:anchorId="6CD19C05" wp14:editId="405B6CB2">
            <wp:extent cx="6347637" cy="4178595"/>
            <wp:effectExtent l="0" t="0" r="0" b="0"/>
            <wp:docPr id="17" name="Рисунок 17" descr="C:\Users\User\Desktop\UnJ83kLrQ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Desktop\UnJ83kLrQRM.jpg"/>
                    <pic:cNvPicPr>
                      <a:picLocks noChangeAspect="1" noChangeArrowheads="1"/>
                    </pic:cNvPicPr>
                  </pic:nvPicPr>
                  <pic:blipFill rotWithShape="1">
                    <a:blip r:embed="rId90">
                      <a:extLst>
                        <a:ext uri="{28A0092B-C50C-407E-A947-70E740481C1C}">
                          <a14:useLocalDpi xmlns:a14="http://schemas.microsoft.com/office/drawing/2010/main" val="0"/>
                        </a:ext>
                      </a:extLst>
                    </a:blip>
                    <a:srcRect t="51788" r="6711" b="5977"/>
                    <a:stretch/>
                  </pic:blipFill>
                  <pic:spPr bwMode="auto">
                    <a:xfrm>
                      <a:off x="0" y="0"/>
                      <a:ext cx="6347637" cy="4178595"/>
                    </a:xfrm>
                    <a:prstGeom prst="rect">
                      <a:avLst/>
                    </a:prstGeom>
                    <a:noFill/>
                    <a:ln>
                      <a:noFill/>
                    </a:ln>
                    <a:extLst>
                      <a:ext uri="{53640926-AAD7-44D8-BBD7-CCE9431645EC}">
                        <a14:shadowObscured xmlns:a14="http://schemas.microsoft.com/office/drawing/2010/main"/>
                      </a:ext>
                    </a:extLst>
                  </pic:spPr>
                </pic:pic>
              </a:graphicData>
            </a:graphic>
          </wp:inline>
        </w:drawing>
      </w:r>
    </w:p>
    <w:p w:rsidR="0061127A" w:rsidRPr="009C77CD" w:rsidRDefault="0061127A" w:rsidP="009C77CD">
      <w:pPr>
        <w:spacing w:line="160" w:lineRule="atLeast"/>
        <w:ind w:firstLine="851"/>
        <w:jc w:val="both"/>
        <w:rPr>
          <w:rFonts w:asciiTheme="majorHAnsi" w:eastAsiaTheme="minorHAnsi" w:hAnsiTheme="majorHAnsi" w:cstheme="minorBidi"/>
          <w:sz w:val="20"/>
          <w:szCs w:val="20"/>
          <w:lang w:eastAsia="en-US"/>
        </w:rPr>
      </w:pPr>
      <w:r w:rsidRPr="0061127A">
        <w:rPr>
          <w:rFonts w:asciiTheme="majorHAnsi" w:eastAsiaTheme="minorHAnsi" w:hAnsiTheme="majorHAnsi" w:cstheme="minorBidi"/>
          <w:sz w:val="20"/>
          <w:szCs w:val="22"/>
          <w:lang w:eastAsia="en-US"/>
        </w:rPr>
        <w:lastRenderedPageBreak/>
        <w:t xml:space="preserve">При этом полная восстановительная стоимость корректируется на фактическое конструктивное решение </w:t>
      </w:r>
      <w:r w:rsidRPr="009C77CD">
        <w:rPr>
          <w:rFonts w:asciiTheme="majorHAnsi" w:eastAsiaTheme="minorHAnsi" w:hAnsiTheme="majorHAnsi" w:cstheme="minorBidi"/>
          <w:sz w:val="20"/>
          <w:szCs w:val="20"/>
          <w:lang w:eastAsia="en-US"/>
        </w:rPr>
        <w:t xml:space="preserve">объекта оценки в сравнении с аналогом сборника укрупненных показателей восстановительной стоимости (УПВС) применяемым Оценщиком с учетом группы капитальности, состава конструктивных элементов объекта оценки и материалов их изготовления.  </w:t>
      </w:r>
    </w:p>
    <w:p w:rsidR="0010274C" w:rsidRPr="0010274C" w:rsidRDefault="0010274C" w:rsidP="009C77CD">
      <w:pPr>
        <w:autoSpaceDE w:val="0"/>
        <w:autoSpaceDN w:val="0"/>
        <w:adjustRightInd w:val="0"/>
        <w:ind w:firstLine="708"/>
        <w:rPr>
          <w:rFonts w:asciiTheme="majorHAnsi" w:eastAsiaTheme="minorHAnsi" w:hAnsiTheme="majorHAnsi" w:cs="Cambria"/>
          <w:color w:val="000000"/>
          <w:sz w:val="20"/>
          <w:szCs w:val="20"/>
          <w:lang w:eastAsia="en-US"/>
        </w:rPr>
      </w:pPr>
      <w:r w:rsidRPr="0010274C">
        <w:rPr>
          <w:rFonts w:asciiTheme="majorHAnsi" w:eastAsiaTheme="minorHAnsi" w:hAnsiTheme="majorHAnsi" w:cs="Cambria"/>
          <w:color w:val="000000"/>
          <w:sz w:val="20"/>
          <w:szCs w:val="20"/>
          <w:lang w:eastAsia="en-US"/>
        </w:rPr>
        <w:t xml:space="preserve">При расчете предпринимательского дохода, в целях настоящего Отчета, по мнению Оценщика, следует учитывать схему по варианту и с учетом, того что инвестор может брать на себя функции заказчика и наоборот, реализуемый объект был построен (мог быть построен) ранее, будет востребован (может быть востребован) на рынке через 3-5 лет, предлагается (может быть предложен) для реализации на открытом рынке и условный девелопер несет риск в соответствии с состоянием рынка недвижимости сложившейся на дату оценки (а не на дату фактического строительства). </w:t>
      </w:r>
    </w:p>
    <w:p w:rsidR="009C77CD" w:rsidRDefault="0010274C" w:rsidP="009C77CD">
      <w:pPr>
        <w:ind w:firstLine="708"/>
        <w:jc w:val="both"/>
        <w:rPr>
          <w:rFonts w:asciiTheme="majorHAnsi" w:eastAsiaTheme="minorHAnsi" w:hAnsiTheme="majorHAnsi" w:cs="Cambria"/>
          <w:color w:val="000000"/>
          <w:sz w:val="20"/>
          <w:szCs w:val="20"/>
          <w:lang w:eastAsia="en-US"/>
        </w:rPr>
      </w:pPr>
      <w:r w:rsidRPr="009C77CD">
        <w:rPr>
          <w:rFonts w:asciiTheme="majorHAnsi" w:eastAsiaTheme="minorHAnsi" w:hAnsiTheme="majorHAnsi" w:cs="Cambria"/>
          <w:color w:val="000000"/>
          <w:sz w:val="20"/>
          <w:szCs w:val="20"/>
          <w:lang w:eastAsia="en-US"/>
        </w:rPr>
        <w:t xml:space="preserve">В настоящем отчете применена прибыль предпринимателя согласно методике Лейфера Л.А., научного руководителя ЗАО "Приволжский Центр финансового консалтинга и оценки" , кандидата технических наук, Член-корреспондент Российской Академии Проблем Качества, Вице-президента РОО, руководитель Комитета по информационно-аналитическому обеспечению, Член Президиума Экспертного Совета РОО, Председателя Правления Нижегородского областного отделения Общероссийской общественной организации "Российское общество оценщиков", научного консультанта по программе профессиональной подготовки по оценочной деятельности при Нижегородском Государственном Университете им. Лобачевского Н.И. и составляет для производственно-складских объектов </w:t>
      </w:r>
      <w:r w:rsidR="008D4D24">
        <w:rPr>
          <w:rFonts w:asciiTheme="majorHAnsi" w:eastAsiaTheme="minorHAnsi" w:hAnsiTheme="majorHAnsi" w:cs="Cambria"/>
          <w:color w:val="000000"/>
          <w:sz w:val="20"/>
          <w:szCs w:val="20"/>
          <w:lang w:eastAsia="en-US"/>
        </w:rPr>
        <w:t>12</w:t>
      </w:r>
      <w:r w:rsidRPr="009C77CD">
        <w:rPr>
          <w:rFonts w:asciiTheme="majorHAnsi" w:eastAsiaTheme="minorHAnsi" w:hAnsiTheme="majorHAnsi" w:cs="Cambria"/>
          <w:color w:val="000000"/>
          <w:sz w:val="20"/>
          <w:szCs w:val="20"/>
          <w:lang w:eastAsia="en-US"/>
        </w:rPr>
        <w:t xml:space="preserve"> %. </w:t>
      </w:r>
    </w:p>
    <w:p w:rsidR="008D4D24" w:rsidRDefault="008D4D24" w:rsidP="009C77CD">
      <w:pPr>
        <w:ind w:firstLine="708"/>
        <w:jc w:val="both"/>
        <w:rPr>
          <w:rFonts w:asciiTheme="majorHAnsi" w:eastAsiaTheme="minorHAnsi" w:hAnsiTheme="majorHAnsi" w:cs="Cambria"/>
          <w:color w:val="000000"/>
          <w:sz w:val="20"/>
          <w:szCs w:val="20"/>
          <w:lang w:eastAsia="en-US"/>
        </w:rPr>
      </w:pPr>
    </w:p>
    <w:p w:rsidR="008D4D24" w:rsidRPr="009C77CD" w:rsidRDefault="008D4D24" w:rsidP="008D4D24">
      <w:pPr>
        <w:jc w:val="center"/>
        <w:rPr>
          <w:rFonts w:asciiTheme="majorHAnsi" w:eastAsiaTheme="minorHAnsi" w:hAnsiTheme="majorHAnsi" w:cs="Cambria"/>
          <w:color w:val="000000"/>
          <w:sz w:val="20"/>
          <w:szCs w:val="20"/>
          <w:lang w:eastAsia="en-US"/>
        </w:rPr>
      </w:pPr>
      <w:r>
        <w:rPr>
          <w:noProof/>
        </w:rPr>
        <w:drawing>
          <wp:inline distT="0" distB="0" distL="0" distR="0" wp14:anchorId="0E65AC54" wp14:editId="6D90C6D0">
            <wp:extent cx="4558606" cy="260517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3141" t="13395" r="40161" b="35461"/>
                    <a:stretch/>
                  </pic:blipFill>
                  <pic:spPr bwMode="auto">
                    <a:xfrm>
                      <a:off x="0" y="0"/>
                      <a:ext cx="4620843" cy="2640745"/>
                    </a:xfrm>
                    <a:prstGeom prst="rect">
                      <a:avLst/>
                    </a:prstGeom>
                    <a:ln>
                      <a:noFill/>
                    </a:ln>
                    <a:extLst>
                      <a:ext uri="{53640926-AAD7-44D8-BBD7-CCE9431645EC}">
                        <a14:shadowObscured xmlns:a14="http://schemas.microsoft.com/office/drawing/2010/main"/>
                      </a:ext>
                    </a:extLst>
                  </pic:spPr>
                </pic:pic>
              </a:graphicData>
            </a:graphic>
          </wp:inline>
        </w:drawing>
      </w:r>
    </w:p>
    <w:p w:rsidR="00F47774" w:rsidRPr="00F47774" w:rsidRDefault="0061127A" w:rsidP="0010274C">
      <w:pPr>
        <w:spacing w:before="100" w:beforeAutospacing="1" w:after="100" w:afterAutospacing="1"/>
        <w:jc w:val="center"/>
        <w:rPr>
          <w:rFonts w:ascii="Cambria" w:hAnsi="Cambria"/>
          <w:b/>
          <w:color w:val="000000"/>
          <w:sz w:val="20"/>
          <w:szCs w:val="20"/>
        </w:rPr>
      </w:pPr>
      <w:r w:rsidRPr="00F47774">
        <w:rPr>
          <w:rFonts w:ascii="Cambria" w:hAnsi="Cambria"/>
          <w:b/>
          <w:color w:val="000000"/>
          <w:sz w:val="20"/>
          <w:szCs w:val="20"/>
        </w:rPr>
        <w:t>Расчет полной восстановительной стоимости объекта оценки</w:t>
      </w:r>
    </w:p>
    <w:tbl>
      <w:tblPr>
        <w:tblW w:w="9483"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5214"/>
        <w:gridCol w:w="2693"/>
        <w:gridCol w:w="1589"/>
      </w:tblGrid>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Наименование  объекта оценки</w:t>
            </w:r>
          </w:p>
        </w:tc>
        <w:tc>
          <w:tcPr>
            <w:tcW w:w="2693" w:type="dxa"/>
            <w:shd w:val="clear" w:color="auto" w:fill="auto"/>
            <w:noWrap/>
            <w:tcMar>
              <w:top w:w="15" w:type="dxa"/>
              <w:left w:w="15" w:type="dxa"/>
              <w:bottom w:w="0" w:type="dxa"/>
              <w:right w:w="15" w:type="dxa"/>
            </w:tcMar>
            <w:vAlign w:val="center"/>
            <w:hideMark/>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Нежилое строение (Производственный корпус)</w:t>
            </w:r>
          </w:p>
        </w:tc>
        <w:tc>
          <w:tcPr>
            <w:tcW w:w="1576" w:type="dxa"/>
            <w:shd w:val="clear" w:color="auto" w:fill="auto"/>
            <w:vAlign w:val="center"/>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Административно-бытовой корпус</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Функциональное назначение</w:t>
            </w:r>
          </w:p>
        </w:tc>
        <w:tc>
          <w:tcPr>
            <w:tcW w:w="2693" w:type="dxa"/>
            <w:shd w:val="clear" w:color="auto" w:fill="auto"/>
            <w:tcMar>
              <w:top w:w="15" w:type="dxa"/>
              <w:left w:w="15" w:type="dxa"/>
              <w:bottom w:w="0" w:type="dxa"/>
              <w:right w:w="15" w:type="dxa"/>
            </w:tcMar>
            <w:vAlign w:val="center"/>
            <w:hideMark/>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Нежилое</w:t>
            </w:r>
          </w:p>
        </w:tc>
        <w:tc>
          <w:tcPr>
            <w:tcW w:w="1576" w:type="dxa"/>
            <w:shd w:val="clear" w:color="auto" w:fill="auto"/>
            <w:vAlign w:val="center"/>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Нежилое</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Литер</w:t>
            </w:r>
          </w:p>
        </w:tc>
        <w:tc>
          <w:tcPr>
            <w:tcW w:w="2693" w:type="dxa"/>
            <w:shd w:val="clear" w:color="auto" w:fill="auto"/>
            <w:noWrap/>
            <w:tcMar>
              <w:top w:w="15" w:type="dxa"/>
              <w:left w:w="15" w:type="dxa"/>
              <w:bottom w:w="0" w:type="dxa"/>
              <w:right w:w="15" w:type="dxa"/>
            </w:tcMar>
            <w:vAlign w:val="center"/>
            <w:hideMark/>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Б,б</w:t>
            </w:r>
          </w:p>
        </w:tc>
        <w:tc>
          <w:tcPr>
            <w:tcW w:w="1576" w:type="dxa"/>
            <w:shd w:val="clear" w:color="auto" w:fill="auto"/>
            <w:vAlign w:val="center"/>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А</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Адрес</w:t>
            </w:r>
          </w:p>
        </w:tc>
        <w:tc>
          <w:tcPr>
            <w:tcW w:w="2693" w:type="dxa"/>
            <w:shd w:val="clear" w:color="auto" w:fill="auto"/>
            <w:tcMar>
              <w:top w:w="15" w:type="dxa"/>
              <w:left w:w="15" w:type="dxa"/>
              <w:bottom w:w="0" w:type="dxa"/>
              <w:right w:w="15" w:type="dxa"/>
            </w:tcMar>
            <w:vAlign w:val="center"/>
            <w:hideMark/>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Белгородская обл. г. Белгород, ул</w:t>
            </w:r>
            <w:r>
              <w:rPr>
                <w:rFonts w:ascii="Cambria" w:hAnsi="Cambria"/>
                <w:color w:val="000000"/>
                <w:sz w:val="18"/>
                <w:szCs w:val="18"/>
              </w:rPr>
              <w:t>.</w:t>
            </w:r>
            <w:r w:rsidRPr="00770A9D">
              <w:rPr>
                <w:rFonts w:ascii="Cambria" w:hAnsi="Cambria"/>
                <w:color w:val="000000"/>
                <w:sz w:val="18"/>
                <w:szCs w:val="18"/>
              </w:rPr>
              <w:t xml:space="preserve"> Мирная, 21</w:t>
            </w:r>
          </w:p>
        </w:tc>
        <w:tc>
          <w:tcPr>
            <w:tcW w:w="1576" w:type="dxa"/>
            <w:shd w:val="clear" w:color="auto" w:fill="auto"/>
            <w:vAlign w:val="center"/>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Белгородская обл. г. Белгород, ул</w:t>
            </w:r>
            <w:r>
              <w:rPr>
                <w:rFonts w:ascii="Cambria" w:hAnsi="Cambria"/>
                <w:color w:val="000000"/>
                <w:sz w:val="18"/>
                <w:szCs w:val="18"/>
              </w:rPr>
              <w:t>.</w:t>
            </w:r>
            <w:r w:rsidRPr="00770A9D">
              <w:rPr>
                <w:rFonts w:ascii="Cambria" w:hAnsi="Cambria"/>
                <w:color w:val="000000"/>
                <w:sz w:val="18"/>
                <w:szCs w:val="18"/>
              </w:rPr>
              <w:t xml:space="preserve"> Сумская, 168</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Источник (сборник УПВС / отдел / таблица)</w:t>
            </w:r>
          </w:p>
        </w:tc>
        <w:tc>
          <w:tcPr>
            <w:tcW w:w="2693" w:type="dxa"/>
            <w:shd w:val="clear" w:color="000000" w:fill="FFFFFF"/>
            <w:tcMar>
              <w:top w:w="15" w:type="dxa"/>
              <w:left w:w="15" w:type="dxa"/>
              <w:bottom w:w="0" w:type="dxa"/>
              <w:right w:w="15" w:type="dxa"/>
            </w:tcMar>
            <w:vAlign w:val="center"/>
            <w:hideMark/>
          </w:tcPr>
          <w:p w:rsidR="00770A9D" w:rsidRPr="00770A9D" w:rsidRDefault="00770A9D" w:rsidP="00770A9D">
            <w:pPr>
              <w:jc w:val="center"/>
              <w:rPr>
                <w:rFonts w:ascii="Cambria" w:hAnsi="Cambria"/>
                <w:sz w:val="18"/>
                <w:szCs w:val="18"/>
              </w:rPr>
            </w:pPr>
            <w:r w:rsidRPr="00770A9D">
              <w:rPr>
                <w:rFonts w:ascii="Cambria" w:hAnsi="Cambria"/>
                <w:sz w:val="18"/>
                <w:szCs w:val="18"/>
              </w:rPr>
              <w:t>Сб. 28, табл. 2 (д)</w:t>
            </w:r>
          </w:p>
        </w:tc>
        <w:tc>
          <w:tcPr>
            <w:tcW w:w="1576" w:type="dxa"/>
            <w:shd w:val="clear" w:color="000000" w:fill="FFFFFF"/>
            <w:vAlign w:val="center"/>
          </w:tcPr>
          <w:p w:rsidR="00770A9D" w:rsidRPr="00770A9D" w:rsidRDefault="00770A9D" w:rsidP="00770A9D">
            <w:pPr>
              <w:jc w:val="center"/>
              <w:rPr>
                <w:rFonts w:ascii="Cambria" w:hAnsi="Cambria"/>
                <w:sz w:val="18"/>
                <w:szCs w:val="18"/>
              </w:rPr>
            </w:pPr>
            <w:r w:rsidRPr="00770A9D">
              <w:rPr>
                <w:rFonts w:ascii="Cambria" w:hAnsi="Cambria"/>
                <w:sz w:val="18"/>
                <w:szCs w:val="18"/>
              </w:rPr>
              <w:t>Сб. 28, табл. 94</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Стоимость 1 м3 в ценах 1969г., руб.</w:t>
            </w:r>
          </w:p>
        </w:tc>
        <w:tc>
          <w:tcPr>
            <w:tcW w:w="2693" w:type="dxa"/>
            <w:shd w:val="clear" w:color="000000" w:fill="FFFFFF"/>
            <w:tcMar>
              <w:top w:w="15" w:type="dxa"/>
              <w:left w:w="15" w:type="dxa"/>
              <w:bottom w:w="0" w:type="dxa"/>
              <w:right w:w="15" w:type="dxa"/>
            </w:tcMar>
            <w:vAlign w:val="center"/>
            <w:hideMark/>
          </w:tcPr>
          <w:p w:rsidR="00770A9D" w:rsidRPr="00770A9D" w:rsidRDefault="00770A9D" w:rsidP="00770A9D">
            <w:pPr>
              <w:jc w:val="center"/>
              <w:rPr>
                <w:rFonts w:ascii="Cambria" w:hAnsi="Cambria"/>
                <w:sz w:val="18"/>
                <w:szCs w:val="18"/>
              </w:rPr>
            </w:pPr>
            <w:r w:rsidRPr="00770A9D">
              <w:rPr>
                <w:rFonts w:ascii="Cambria" w:hAnsi="Cambria"/>
                <w:sz w:val="18"/>
                <w:szCs w:val="18"/>
              </w:rPr>
              <w:t>9,7</w:t>
            </w:r>
          </w:p>
        </w:tc>
        <w:tc>
          <w:tcPr>
            <w:tcW w:w="1576" w:type="dxa"/>
            <w:shd w:val="clear" w:color="000000" w:fill="FFFFFF"/>
            <w:vAlign w:val="center"/>
          </w:tcPr>
          <w:p w:rsidR="00770A9D" w:rsidRPr="00770A9D" w:rsidRDefault="00770A9D" w:rsidP="00770A9D">
            <w:pPr>
              <w:jc w:val="center"/>
              <w:rPr>
                <w:rFonts w:ascii="Cambria" w:hAnsi="Cambria"/>
                <w:sz w:val="18"/>
                <w:szCs w:val="18"/>
              </w:rPr>
            </w:pPr>
            <w:r w:rsidRPr="00770A9D">
              <w:rPr>
                <w:rFonts w:ascii="Cambria" w:hAnsi="Cambria"/>
                <w:sz w:val="18"/>
                <w:szCs w:val="18"/>
              </w:rPr>
              <w:t>30</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Группа капитальности объекта</w:t>
            </w:r>
          </w:p>
        </w:tc>
        <w:tc>
          <w:tcPr>
            <w:tcW w:w="2693" w:type="dxa"/>
            <w:shd w:val="clear" w:color="000000" w:fill="FFFFFF"/>
            <w:tcMar>
              <w:top w:w="15" w:type="dxa"/>
              <w:left w:w="15" w:type="dxa"/>
              <w:bottom w:w="0" w:type="dxa"/>
              <w:right w:w="15" w:type="dxa"/>
            </w:tcMar>
            <w:vAlign w:val="center"/>
            <w:hideMark/>
          </w:tcPr>
          <w:p w:rsidR="00770A9D" w:rsidRPr="00770A9D" w:rsidRDefault="00770A9D" w:rsidP="00770A9D">
            <w:pPr>
              <w:jc w:val="center"/>
              <w:rPr>
                <w:rFonts w:ascii="Cambria" w:hAnsi="Cambria"/>
                <w:sz w:val="18"/>
                <w:szCs w:val="18"/>
              </w:rPr>
            </w:pPr>
            <w:r w:rsidRPr="00770A9D">
              <w:rPr>
                <w:rFonts w:ascii="Cambria" w:hAnsi="Cambria"/>
                <w:sz w:val="18"/>
                <w:szCs w:val="18"/>
              </w:rPr>
              <w:t>II</w:t>
            </w:r>
          </w:p>
        </w:tc>
        <w:tc>
          <w:tcPr>
            <w:tcW w:w="1576" w:type="dxa"/>
            <w:shd w:val="clear" w:color="000000" w:fill="FFFFFF"/>
            <w:vAlign w:val="center"/>
          </w:tcPr>
          <w:p w:rsidR="00770A9D" w:rsidRPr="00770A9D" w:rsidRDefault="00770A9D" w:rsidP="00770A9D">
            <w:pPr>
              <w:jc w:val="center"/>
              <w:rPr>
                <w:rFonts w:ascii="Cambria" w:hAnsi="Cambria"/>
                <w:sz w:val="18"/>
                <w:szCs w:val="18"/>
              </w:rPr>
            </w:pPr>
            <w:r w:rsidRPr="00770A9D">
              <w:rPr>
                <w:rFonts w:ascii="Cambria" w:hAnsi="Cambria"/>
                <w:sz w:val="18"/>
                <w:szCs w:val="18"/>
              </w:rPr>
              <w:t>I</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Группа капитальности аналога</w:t>
            </w:r>
          </w:p>
        </w:tc>
        <w:tc>
          <w:tcPr>
            <w:tcW w:w="2693" w:type="dxa"/>
            <w:shd w:val="clear" w:color="000000" w:fill="FFFFFF"/>
            <w:tcMar>
              <w:top w:w="15" w:type="dxa"/>
              <w:left w:w="15" w:type="dxa"/>
              <w:bottom w:w="0" w:type="dxa"/>
              <w:right w:w="15" w:type="dxa"/>
            </w:tcMar>
            <w:vAlign w:val="center"/>
            <w:hideMark/>
          </w:tcPr>
          <w:p w:rsidR="00770A9D" w:rsidRPr="00770A9D" w:rsidRDefault="00770A9D" w:rsidP="00770A9D">
            <w:pPr>
              <w:jc w:val="center"/>
              <w:rPr>
                <w:rFonts w:ascii="Cambria" w:hAnsi="Cambria"/>
                <w:sz w:val="18"/>
                <w:szCs w:val="18"/>
              </w:rPr>
            </w:pPr>
            <w:r w:rsidRPr="00770A9D">
              <w:rPr>
                <w:rFonts w:ascii="Cambria" w:hAnsi="Cambria"/>
                <w:sz w:val="18"/>
                <w:szCs w:val="18"/>
              </w:rPr>
              <w:t>II</w:t>
            </w:r>
          </w:p>
        </w:tc>
        <w:tc>
          <w:tcPr>
            <w:tcW w:w="1576" w:type="dxa"/>
            <w:shd w:val="clear" w:color="000000" w:fill="FFFFFF"/>
            <w:vAlign w:val="center"/>
          </w:tcPr>
          <w:p w:rsidR="00770A9D" w:rsidRPr="00770A9D" w:rsidRDefault="00770A9D" w:rsidP="00770A9D">
            <w:pPr>
              <w:jc w:val="center"/>
              <w:rPr>
                <w:rFonts w:ascii="Cambria" w:hAnsi="Cambria"/>
                <w:sz w:val="18"/>
                <w:szCs w:val="18"/>
              </w:rPr>
            </w:pPr>
            <w:r w:rsidRPr="00770A9D">
              <w:rPr>
                <w:rFonts w:ascii="Cambria" w:hAnsi="Cambria"/>
                <w:sz w:val="18"/>
                <w:szCs w:val="18"/>
              </w:rPr>
              <w:t>I</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Коф. Капитальности</w:t>
            </w:r>
          </w:p>
        </w:tc>
        <w:tc>
          <w:tcPr>
            <w:tcW w:w="2693" w:type="dxa"/>
            <w:shd w:val="clear" w:color="000000" w:fill="FFFFFF"/>
            <w:tcMar>
              <w:top w:w="15" w:type="dxa"/>
              <w:left w:w="15" w:type="dxa"/>
              <w:bottom w:w="0" w:type="dxa"/>
              <w:right w:w="15" w:type="dxa"/>
            </w:tcMar>
            <w:vAlign w:val="center"/>
            <w:hideMark/>
          </w:tcPr>
          <w:p w:rsidR="00770A9D" w:rsidRPr="00770A9D" w:rsidRDefault="00770A9D" w:rsidP="00770A9D">
            <w:pPr>
              <w:jc w:val="center"/>
              <w:rPr>
                <w:rFonts w:ascii="Cambria" w:hAnsi="Cambria"/>
                <w:sz w:val="18"/>
                <w:szCs w:val="18"/>
              </w:rPr>
            </w:pPr>
            <w:r w:rsidRPr="00770A9D">
              <w:rPr>
                <w:rFonts w:ascii="Cambria" w:hAnsi="Cambria"/>
                <w:sz w:val="18"/>
                <w:szCs w:val="18"/>
              </w:rPr>
              <w:t>1</w:t>
            </w:r>
          </w:p>
        </w:tc>
        <w:tc>
          <w:tcPr>
            <w:tcW w:w="1576" w:type="dxa"/>
            <w:shd w:val="clear" w:color="000000" w:fill="FFFFFF"/>
            <w:vAlign w:val="center"/>
          </w:tcPr>
          <w:p w:rsidR="00770A9D" w:rsidRPr="00770A9D" w:rsidRDefault="00770A9D" w:rsidP="00770A9D">
            <w:pPr>
              <w:jc w:val="center"/>
              <w:rPr>
                <w:rFonts w:ascii="Cambria" w:hAnsi="Cambria"/>
                <w:sz w:val="18"/>
                <w:szCs w:val="18"/>
              </w:rPr>
            </w:pPr>
            <w:r w:rsidRPr="00770A9D">
              <w:rPr>
                <w:rFonts w:ascii="Cambria" w:hAnsi="Cambria"/>
                <w:sz w:val="18"/>
                <w:szCs w:val="18"/>
              </w:rPr>
              <w:t>1</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Кол-во ед. изм., м3</w:t>
            </w:r>
          </w:p>
        </w:tc>
        <w:tc>
          <w:tcPr>
            <w:tcW w:w="2693" w:type="dxa"/>
            <w:shd w:val="clear" w:color="000000" w:fill="FFFFFF"/>
            <w:tcMar>
              <w:top w:w="15" w:type="dxa"/>
              <w:left w:w="15" w:type="dxa"/>
              <w:bottom w:w="0" w:type="dxa"/>
              <w:right w:w="15" w:type="dxa"/>
            </w:tcMar>
            <w:vAlign w:val="center"/>
            <w:hideMark/>
          </w:tcPr>
          <w:p w:rsidR="00770A9D" w:rsidRPr="00770A9D" w:rsidRDefault="00770A9D" w:rsidP="00770A9D">
            <w:pPr>
              <w:jc w:val="center"/>
              <w:rPr>
                <w:rFonts w:ascii="Cambria" w:hAnsi="Cambria"/>
                <w:sz w:val="18"/>
                <w:szCs w:val="18"/>
              </w:rPr>
            </w:pPr>
            <w:r w:rsidRPr="00770A9D">
              <w:rPr>
                <w:rFonts w:ascii="Cambria" w:hAnsi="Cambria"/>
                <w:sz w:val="18"/>
                <w:szCs w:val="18"/>
              </w:rPr>
              <w:t>71535</w:t>
            </w:r>
          </w:p>
        </w:tc>
        <w:tc>
          <w:tcPr>
            <w:tcW w:w="1576" w:type="dxa"/>
            <w:shd w:val="clear" w:color="000000" w:fill="FFFFFF"/>
            <w:vAlign w:val="center"/>
          </w:tcPr>
          <w:p w:rsidR="00770A9D" w:rsidRPr="00770A9D" w:rsidRDefault="00770A9D" w:rsidP="00770A9D">
            <w:pPr>
              <w:jc w:val="center"/>
              <w:rPr>
                <w:rFonts w:ascii="Cambria" w:hAnsi="Cambria"/>
                <w:sz w:val="18"/>
                <w:szCs w:val="18"/>
              </w:rPr>
            </w:pPr>
            <w:r w:rsidRPr="00770A9D">
              <w:rPr>
                <w:rFonts w:ascii="Cambria" w:hAnsi="Cambria"/>
                <w:sz w:val="18"/>
                <w:szCs w:val="18"/>
              </w:rPr>
              <w:t>12131</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Индекс 1984 года</w:t>
            </w:r>
          </w:p>
        </w:tc>
        <w:tc>
          <w:tcPr>
            <w:tcW w:w="2693" w:type="dxa"/>
            <w:shd w:val="clear" w:color="auto" w:fill="auto"/>
            <w:tcMar>
              <w:top w:w="15" w:type="dxa"/>
              <w:left w:w="15" w:type="dxa"/>
              <w:bottom w:w="0" w:type="dxa"/>
              <w:right w:w="15" w:type="dxa"/>
            </w:tcMar>
            <w:vAlign w:val="center"/>
            <w:hideMark/>
          </w:tcPr>
          <w:p w:rsidR="00770A9D" w:rsidRPr="00770A9D" w:rsidRDefault="00770A9D" w:rsidP="00770A9D">
            <w:pPr>
              <w:jc w:val="center"/>
              <w:rPr>
                <w:rFonts w:ascii="Cambria" w:hAnsi="Cambria"/>
                <w:bCs/>
                <w:sz w:val="18"/>
                <w:szCs w:val="18"/>
              </w:rPr>
            </w:pPr>
            <w:r w:rsidRPr="00770A9D">
              <w:rPr>
                <w:rFonts w:ascii="Cambria" w:hAnsi="Cambria"/>
                <w:bCs/>
                <w:sz w:val="18"/>
                <w:szCs w:val="18"/>
              </w:rPr>
              <w:t>1,18</w:t>
            </w:r>
          </w:p>
        </w:tc>
        <w:tc>
          <w:tcPr>
            <w:tcW w:w="1576" w:type="dxa"/>
            <w:shd w:val="clear" w:color="auto" w:fill="auto"/>
            <w:vAlign w:val="center"/>
          </w:tcPr>
          <w:p w:rsidR="00770A9D" w:rsidRPr="00770A9D" w:rsidRDefault="00770A9D" w:rsidP="00770A9D">
            <w:pPr>
              <w:jc w:val="center"/>
              <w:rPr>
                <w:rFonts w:ascii="Cambria" w:hAnsi="Cambria"/>
                <w:bCs/>
                <w:sz w:val="18"/>
                <w:szCs w:val="18"/>
              </w:rPr>
            </w:pPr>
            <w:r w:rsidRPr="00770A9D">
              <w:rPr>
                <w:rFonts w:ascii="Cambria" w:hAnsi="Cambria"/>
                <w:bCs/>
                <w:sz w:val="18"/>
                <w:szCs w:val="18"/>
              </w:rPr>
              <w:t>1,18</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color w:val="000000"/>
                <w:sz w:val="18"/>
                <w:szCs w:val="18"/>
              </w:rPr>
            </w:pPr>
            <w:r w:rsidRPr="00F47774">
              <w:rPr>
                <w:rFonts w:asciiTheme="majorHAnsi" w:hAnsiTheme="majorHAnsi"/>
                <w:color w:val="000000"/>
                <w:sz w:val="18"/>
                <w:szCs w:val="18"/>
              </w:rPr>
              <w:t xml:space="preserve">в т. ч. Коэф. </w:t>
            </w:r>
            <w:r>
              <w:rPr>
                <w:rFonts w:asciiTheme="majorHAnsi" w:hAnsiTheme="majorHAnsi"/>
                <w:color w:val="000000"/>
                <w:sz w:val="18"/>
                <w:szCs w:val="18"/>
              </w:rPr>
              <w:t>Белгородской</w:t>
            </w:r>
            <w:r w:rsidRPr="00F47774">
              <w:rPr>
                <w:rFonts w:asciiTheme="majorHAnsi" w:hAnsiTheme="majorHAnsi"/>
                <w:color w:val="000000"/>
                <w:sz w:val="18"/>
                <w:szCs w:val="18"/>
              </w:rPr>
              <w:t xml:space="preserve"> обл.</w:t>
            </w:r>
          </w:p>
        </w:tc>
        <w:tc>
          <w:tcPr>
            <w:tcW w:w="2693" w:type="dxa"/>
            <w:shd w:val="clear" w:color="auto" w:fill="auto"/>
            <w:noWrap/>
            <w:tcMar>
              <w:top w:w="15" w:type="dxa"/>
              <w:left w:w="15" w:type="dxa"/>
              <w:bottom w:w="0" w:type="dxa"/>
              <w:right w:w="15" w:type="dxa"/>
            </w:tcMar>
            <w:vAlign w:val="center"/>
            <w:hideMark/>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1,02</w:t>
            </w:r>
          </w:p>
        </w:tc>
        <w:tc>
          <w:tcPr>
            <w:tcW w:w="1576" w:type="dxa"/>
            <w:shd w:val="clear" w:color="auto" w:fill="auto"/>
            <w:vAlign w:val="center"/>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1,02</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Индекс        1991 года</w:t>
            </w:r>
          </w:p>
        </w:tc>
        <w:tc>
          <w:tcPr>
            <w:tcW w:w="2693" w:type="dxa"/>
            <w:shd w:val="clear" w:color="auto" w:fill="auto"/>
            <w:tcMar>
              <w:top w:w="15" w:type="dxa"/>
              <w:left w:w="15" w:type="dxa"/>
              <w:bottom w:w="0" w:type="dxa"/>
              <w:right w:w="15" w:type="dxa"/>
            </w:tcMar>
            <w:vAlign w:val="center"/>
            <w:hideMark/>
          </w:tcPr>
          <w:p w:rsidR="00770A9D" w:rsidRPr="00770A9D" w:rsidRDefault="00770A9D" w:rsidP="00770A9D">
            <w:pPr>
              <w:jc w:val="center"/>
              <w:rPr>
                <w:rFonts w:ascii="Cambria" w:hAnsi="Cambria"/>
                <w:bCs/>
                <w:sz w:val="18"/>
                <w:szCs w:val="18"/>
              </w:rPr>
            </w:pPr>
            <w:r w:rsidRPr="00770A9D">
              <w:rPr>
                <w:rFonts w:ascii="Cambria" w:hAnsi="Cambria"/>
                <w:bCs/>
                <w:sz w:val="18"/>
                <w:szCs w:val="18"/>
              </w:rPr>
              <w:t>1,53</w:t>
            </w:r>
          </w:p>
        </w:tc>
        <w:tc>
          <w:tcPr>
            <w:tcW w:w="1576" w:type="dxa"/>
            <w:shd w:val="clear" w:color="auto" w:fill="auto"/>
            <w:vAlign w:val="center"/>
          </w:tcPr>
          <w:p w:rsidR="00770A9D" w:rsidRPr="00770A9D" w:rsidRDefault="00770A9D" w:rsidP="00770A9D">
            <w:pPr>
              <w:jc w:val="center"/>
              <w:rPr>
                <w:rFonts w:ascii="Cambria" w:hAnsi="Cambria"/>
                <w:bCs/>
                <w:sz w:val="18"/>
                <w:szCs w:val="18"/>
              </w:rPr>
            </w:pPr>
            <w:r w:rsidRPr="00770A9D">
              <w:rPr>
                <w:rFonts w:ascii="Cambria" w:hAnsi="Cambria"/>
                <w:bCs/>
                <w:sz w:val="18"/>
                <w:szCs w:val="18"/>
              </w:rPr>
              <w:t>1,53</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color w:val="000000"/>
                <w:sz w:val="18"/>
                <w:szCs w:val="18"/>
              </w:rPr>
            </w:pPr>
            <w:r w:rsidRPr="00F47774">
              <w:rPr>
                <w:rFonts w:asciiTheme="majorHAnsi" w:hAnsiTheme="majorHAnsi"/>
                <w:color w:val="000000"/>
                <w:sz w:val="18"/>
                <w:szCs w:val="18"/>
              </w:rPr>
              <w:t>в т. ч. Коэф. Белгородско</w:t>
            </w:r>
            <w:r>
              <w:rPr>
                <w:rFonts w:asciiTheme="majorHAnsi" w:hAnsiTheme="majorHAnsi"/>
                <w:color w:val="000000"/>
                <w:sz w:val="18"/>
                <w:szCs w:val="18"/>
              </w:rPr>
              <w:t xml:space="preserve">й </w:t>
            </w:r>
            <w:r w:rsidRPr="00F47774">
              <w:rPr>
                <w:rFonts w:asciiTheme="majorHAnsi" w:hAnsiTheme="majorHAnsi"/>
                <w:color w:val="000000"/>
                <w:sz w:val="18"/>
                <w:szCs w:val="18"/>
              </w:rPr>
              <w:t>обл.</w:t>
            </w:r>
          </w:p>
        </w:tc>
        <w:tc>
          <w:tcPr>
            <w:tcW w:w="2693" w:type="dxa"/>
            <w:shd w:val="clear" w:color="auto" w:fill="auto"/>
            <w:noWrap/>
            <w:tcMar>
              <w:top w:w="15" w:type="dxa"/>
              <w:left w:w="15" w:type="dxa"/>
              <w:bottom w:w="0" w:type="dxa"/>
              <w:right w:w="15" w:type="dxa"/>
            </w:tcMar>
            <w:vAlign w:val="center"/>
            <w:hideMark/>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0,99</w:t>
            </w:r>
          </w:p>
        </w:tc>
        <w:tc>
          <w:tcPr>
            <w:tcW w:w="1576" w:type="dxa"/>
            <w:shd w:val="clear" w:color="auto" w:fill="auto"/>
            <w:vAlign w:val="center"/>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0,99</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color w:val="000000"/>
                <w:sz w:val="18"/>
                <w:szCs w:val="18"/>
              </w:rPr>
            </w:pPr>
            <w:r w:rsidRPr="00F47774">
              <w:rPr>
                <w:rFonts w:asciiTheme="majorHAnsi" w:hAnsiTheme="majorHAnsi"/>
                <w:b/>
                <w:bCs/>
                <w:color w:val="000000"/>
                <w:sz w:val="18"/>
                <w:szCs w:val="18"/>
              </w:rPr>
              <w:t>Индекс перевода в текущие цены</w:t>
            </w:r>
          </w:p>
        </w:tc>
        <w:tc>
          <w:tcPr>
            <w:tcW w:w="2693" w:type="dxa"/>
            <w:shd w:val="clear" w:color="000000" w:fill="FFFFFF"/>
            <w:noWrap/>
            <w:tcMar>
              <w:top w:w="15" w:type="dxa"/>
              <w:left w:w="15" w:type="dxa"/>
              <w:bottom w:w="0" w:type="dxa"/>
              <w:right w:w="15" w:type="dxa"/>
            </w:tcMar>
            <w:vAlign w:val="center"/>
            <w:hideMark/>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98,88</w:t>
            </w:r>
          </w:p>
        </w:tc>
        <w:tc>
          <w:tcPr>
            <w:tcW w:w="1576" w:type="dxa"/>
            <w:shd w:val="clear" w:color="000000" w:fill="FFFFFF"/>
            <w:vAlign w:val="center"/>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98,88</w:t>
            </w:r>
          </w:p>
        </w:tc>
      </w:tr>
      <w:tr w:rsidR="00770A9D" w:rsidRPr="00F47774" w:rsidTr="00770A9D">
        <w:trPr>
          <w:trHeight w:val="15"/>
          <w:jc w:val="center"/>
        </w:trPr>
        <w:tc>
          <w:tcPr>
            <w:tcW w:w="5214" w:type="dxa"/>
            <w:shd w:val="clear" w:color="000000" w:fill="F2F2F2"/>
            <w:noWrap/>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color w:val="000000"/>
                <w:sz w:val="18"/>
                <w:szCs w:val="18"/>
              </w:rPr>
            </w:pPr>
            <w:r w:rsidRPr="00F47774">
              <w:rPr>
                <w:rFonts w:asciiTheme="majorHAnsi" w:hAnsiTheme="majorHAnsi"/>
                <w:b/>
                <w:bCs/>
                <w:color w:val="000000"/>
                <w:sz w:val="18"/>
                <w:szCs w:val="18"/>
              </w:rPr>
              <w:t>Прибыль предпринимателя</w:t>
            </w:r>
          </w:p>
        </w:tc>
        <w:tc>
          <w:tcPr>
            <w:tcW w:w="2693" w:type="dxa"/>
            <w:shd w:val="clear" w:color="000000" w:fill="FFFFFF"/>
            <w:noWrap/>
            <w:tcMar>
              <w:top w:w="15" w:type="dxa"/>
              <w:left w:w="15" w:type="dxa"/>
              <w:bottom w:w="0" w:type="dxa"/>
              <w:right w:w="15" w:type="dxa"/>
            </w:tcMar>
            <w:vAlign w:val="center"/>
            <w:hideMark/>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1,1200</w:t>
            </w:r>
          </w:p>
        </w:tc>
        <w:tc>
          <w:tcPr>
            <w:tcW w:w="1576" w:type="dxa"/>
            <w:shd w:val="clear" w:color="000000" w:fill="FFFFFF"/>
            <w:vAlign w:val="center"/>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1,1200</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 xml:space="preserve">Полная восстановительная стоимость, руб. (без НДС) </w:t>
            </w:r>
          </w:p>
        </w:tc>
        <w:tc>
          <w:tcPr>
            <w:tcW w:w="2693" w:type="dxa"/>
            <w:shd w:val="clear" w:color="000000" w:fill="FFFFFF"/>
            <w:noWrap/>
            <w:tcMar>
              <w:top w:w="15" w:type="dxa"/>
              <w:left w:w="15" w:type="dxa"/>
              <w:bottom w:w="0" w:type="dxa"/>
              <w:right w:w="15" w:type="dxa"/>
            </w:tcMar>
            <w:vAlign w:val="center"/>
            <w:hideMark/>
          </w:tcPr>
          <w:p w:rsidR="00770A9D" w:rsidRPr="00770A9D" w:rsidRDefault="00770A9D" w:rsidP="00770A9D">
            <w:pPr>
              <w:jc w:val="center"/>
              <w:rPr>
                <w:rFonts w:ascii="Cambria" w:hAnsi="Cambria"/>
                <w:b/>
                <w:sz w:val="18"/>
                <w:szCs w:val="18"/>
              </w:rPr>
            </w:pPr>
            <w:r w:rsidRPr="00770A9D">
              <w:rPr>
                <w:rFonts w:ascii="Cambria" w:hAnsi="Cambria"/>
                <w:b/>
                <w:sz w:val="18"/>
                <w:szCs w:val="18"/>
              </w:rPr>
              <w:t>140 095 956</w:t>
            </w:r>
          </w:p>
        </w:tc>
        <w:tc>
          <w:tcPr>
            <w:tcW w:w="1576" w:type="dxa"/>
            <w:shd w:val="clear" w:color="000000" w:fill="FFFFFF"/>
            <w:vAlign w:val="center"/>
          </w:tcPr>
          <w:p w:rsidR="00770A9D" w:rsidRPr="00770A9D" w:rsidRDefault="00770A9D" w:rsidP="00770A9D">
            <w:pPr>
              <w:jc w:val="center"/>
              <w:rPr>
                <w:rFonts w:ascii="Cambria" w:hAnsi="Cambria"/>
                <w:b/>
                <w:sz w:val="18"/>
                <w:szCs w:val="18"/>
              </w:rPr>
            </w:pPr>
            <w:r w:rsidRPr="00770A9D">
              <w:rPr>
                <w:rFonts w:ascii="Cambria" w:hAnsi="Cambria"/>
                <w:b/>
                <w:sz w:val="18"/>
                <w:szCs w:val="18"/>
              </w:rPr>
              <w:t>73 477 292</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color w:val="000000"/>
                <w:sz w:val="18"/>
                <w:szCs w:val="18"/>
              </w:rPr>
            </w:pPr>
            <w:r w:rsidRPr="00F47774">
              <w:rPr>
                <w:rFonts w:asciiTheme="majorHAnsi" w:hAnsiTheme="majorHAnsi"/>
                <w:b/>
                <w:bCs/>
                <w:color w:val="000000"/>
                <w:sz w:val="18"/>
                <w:szCs w:val="18"/>
              </w:rPr>
              <w:t>НДС (руб.)</w:t>
            </w:r>
          </w:p>
        </w:tc>
        <w:tc>
          <w:tcPr>
            <w:tcW w:w="2693" w:type="dxa"/>
            <w:shd w:val="clear" w:color="000000" w:fill="FFFFFF"/>
            <w:noWrap/>
            <w:tcMar>
              <w:top w:w="15" w:type="dxa"/>
              <w:left w:w="15" w:type="dxa"/>
              <w:bottom w:w="0" w:type="dxa"/>
              <w:right w:w="15" w:type="dxa"/>
            </w:tcMar>
            <w:vAlign w:val="center"/>
            <w:hideMark/>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25 217 272</w:t>
            </w:r>
          </w:p>
        </w:tc>
        <w:tc>
          <w:tcPr>
            <w:tcW w:w="1576" w:type="dxa"/>
            <w:shd w:val="clear" w:color="000000" w:fill="FFFFFF"/>
            <w:vAlign w:val="center"/>
          </w:tcPr>
          <w:p w:rsidR="00770A9D" w:rsidRPr="00770A9D" w:rsidRDefault="00770A9D" w:rsidP="00770A9D">
            <w:pPr>
              <w:jc w:val="center"/>
              <w:rPr>
                <w:rFonts w:ascii="Cambria" w:hAnsi="Cambria"/>
                <w:color w:val="000000"/>
                <w:sz w:val="18"/>
                <w:szCs w:val="18"/>
              </w:rPr>
            </w:pPr>
            <w:r w:rsidRPr="00770A9D">
              <w:rPr>
                <w:rFonts w:ascii="Cambria" w:hAnsi="Cambria"/>
                <w:color w:val="000000"/>
                <w:sz w:val="18"/>
                <w:szCs w:val="18"/>
              </w:rPr>
              <w:t>13 225 913</w:t>
            </w:r>
          </w:p>
        </w:tc>
      </w:tr>
      <w:tr w:rsidR="00770A9D" w:rsidRPr="00F47774" w:rsidTr="00770A9D">
        <w:trPr>
          <w:trHeight w:val="15"/>
          <w:jc w:val="center"/>
        </w:trPr>
        <w:tc>
          <w:tcPr>
            <w:tcW w:w="5214" w:type="dxa"/>
            <w:shd w:val="clear" w:color="000000" w:fill="F2F2F2"/>
            <w:tcMar>
              <w:top w:w="15" w:type="dxa"/>
              <w:left w:w="15" w:type="dxa"/>
              <w:bottom w:w="0" w:type="dxa"/>
              <w:right w:w="15" w:type="dxa"/>
            </w:tcMar>
            <w:vAlign w:val="center"/>
            <w:hideMark/>
          </w:tcPr>
          <w:p w:rsidR="00770A9D" w:rsidRPr="00F47774" w:rsidRDefault="00770A9D" w:rsidP="00770A9D">
            <w:pPr>
              <w:jc w:val="center"/>
              <w:rPr>
                <w:rFonts w:asciiTheme="majorHAnsi" w:hAnsiTheme="majorHAnsi"/>
                <w:b/>
                <w:bCs/>
                <w:color w:val="000000"/>
                <w:sz w:val="18"/>
                <w:szCs w:val="18"/>
              </w:rPr>
            </w:pPr>
            <w:r w:rsidRPr="00F47774">
              <w:rPr>
                <w:rFonts w:asciiTheme="majorHAnsi" w:hAnsiTheme="majorHAnsi"/>
                <w:b/>
                <w:bCs/>
                <w:color w:val="000000"/>
                <w:sz w:val="18"/>
                <w:szCs w:val="18"/>
              </w:rPr>
              <w:t>Полная восстановительная стоимость, руб. (с учетом  НДС)</w:t>
            </w:r>
          </w:p>
        </w:tc>
        <w:tc>
          <w:tcPr>
            <w:tcW w:w="2693" w:type="dxa"/>
            <w:shd w:val="clear" w:color="000000" w:fill="FFFFFF"/>
            <w:noWrap/>
            <w:tcMar>
              <w:top w:w="15" w:type="dxa"/>
              <w:left w:w="15" w:type="dxa"/>
              <w:bottom w:w="0" w:type="dxa"/>
              <w:right w:w="15" w:type="dxa"/>
            </w:tcMar>
            <w:vAlign w:val="center"/>
            <w:hideMark/>
          </w:tcPr>
          <w:p w:rsidR="00770A9D" w:rsidRPr="00770A9D" w:rsidRDefault="00770A9D" w:rsidP="00770A9D">
            <w:pPr>
              <w:jc w:val="center"/>
              <w:rPr>
                <w:rFonts w:ascii="Cambria" w:hAnsi="Cambria"/>
                <w:b/>
                <w:sz w:val="18"/>
                <w:szCs w:val="18"/>
              </w:rPr>
            </w:pPr>
            <w:r w:rsidRPr="00770A9D">
              <w:rPr>
                <w:rFonts w:ascii="Cambria" w:hAnsi="Cambria"/>
                <w:b/>
                <w:sz w:val="18"/>
                <w:szCs w:val="18"/>
              </w:rPr>
              <w:t>165 313 228</w:t>
            </w:r>
          </w:p>
        </w:tc>
        <w:tc>
          <w:tcPr>
            <w:tcW w:w="1576" w:type="dxa"/>
            <w:shd w:val="clear" w:color="000000" w:fill="FFFFFF"/>
            <w:vAlign w:val="center"/>
          </w:tcPr>
          <w:p w:rsidR="00770A9D" w:rsidRPr="00770A9D" w:rsidRDefault="00770A9D" w:rsidP="00770A9D">
            <w:pPr>
              <w:jc w:val="center"/>
              <w:rPr>
                <w:rFonts w:ascii="Cambria" w:hAnsi="Cambria"/>
                <w:b/>
                <w:sz w:val="18"/>
                <w:szCs w:val="18"/>
              </w:rPr>
            </w:pPr>
            <w:r w:rsidRPr="00770A9D">
              <w:rPr>
                <w:rFonts w:ascii="Cambria" w:hAnsi="Cambria"/>
                <w:b/>
                <w:sz w:val="18"/>
                <w:szCs w:val="18"/>
              </w:rPr>
              <w:t>86 703 205</w:t>
            </w:r>
          </w:p>
        </w:tc>
      </w:tr>
    </w:tbl>
    <w:p w:rsidR="00F47774" w:rsidRPr="0061127A" w:rsidRDefault="0061127A" w:rsidP="00F47774">
      <w:pPr>
        <w:spacing w:before="100" w:beforeAutospacing="1" w:after="100" w:afterAutospacing="1"/>
        <w:jc w:val="center"/>
        <w:rPr>
          <w:rFonts w:ascii="Cambria" w:eastAsiaTheme="minorHAnsi" w:hAnsi="Cambria" w:cstheme="minorBidi"/>
          <w:b/>
          <w:bCs/>
          <w:i/>
          <w:iCs/>
          <w:sz w:val="20"/>
          <w:szCs w:val="22"/>
          <w:lang w:eastAsia="en-US"/>
        </w:rPr>
      </w:pPr>
      <w:r w:rsidRPr="00F47774">
        <w:rPr>
          <w:rFonts w:ascii="Cambria" w:hAnsi="Cambria"/>
          <w:b/>
          <w:color w:val="000000"/>
          <w:sz w:val="20"/>
          <w:szCs w:val="20"/>
        </w:rPr>
        <w:lastRenderedPageBreak/>
        <w:t>Расчет затрат на полное замещение объекта оценки (с учетом всех видов износа)</w:t>
      </w:r>
    </w:p>
    <w:tbl>
      <w:tblPr>
        <w:tblW w:w="9286"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464"/>
        <w:gridCol w:w="2411"/>
        <w:gridCol w:w="2411"/>
      </w:tblGrid>
      <w:tr w:rsidR="00770A9D" w:rsidRPr="00F47774" w:rsidTr="00770A9D">
        <w:trPr>
          <w:trHeight w:val="29"/>
          <w:jc w:val="center"/>
        </w:trPr>
        <w:tc>
          <w:tcPr>
            <w:tcW w:w="4464" w:type="dxa"/>
            <w:shd w:val="clear" w:color="000000" w:fill="F2F2F2" w:themeFill="background1" w:themeFillShade="F2"/>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Наименование  объекта оценки</w:t>
            </w:r>
          </w:p>
        </w:tc>
        <w:tc>
          <w:tcPr>
            <w:tcW w:w="2411" w:type="dxa"/>
            <w:shd w:val="clear" w:color="000000" w:fill="FFFFFF"/>
            <w:vAlign w:val="center"/>
            <w:hideMark/>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Нежилое строение (Производственный корпус)</w:t>
            </w:r>
          </w:p>
        </w:tc>
        <w:tc>
          <w:tcPr>
            <w:tcW w:w="2411" w:type="dxa"/>
            <w:shd w:val="clear" w:color="000000" w:fill="FFFFFF"/>
            <w:vAlign w:val="center"/>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Административно-бытовой корпус</w:t>
            </w:r>
          </w:p>
        </w:tc>
      </w:tr>
      <w:tr w:rsidR="00770A9D" w:rsidRPr="00F47774" w:rsidTr="00770A9D">
        <w:trPr>
          <w:trHeight w:val="29"/>
          <w:jc w:val="center"/>
        </w:trPr>
        <w:tc>
          <w:tcPr>
            <w:tcW w:w="4464" w:type="dxa"/>
            <w:shd w:val="clear" w:color="000000" w:fill="F2F2F2" w:themeFill="background1" w:themeFillShade="F2"/>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Функциональное назначение</w:t>
            </w:r>
          </w:p>
        </w:tc>
        <w:tc>
          <w:tcPr>
            <w:tcW w:w="2411" w:type="dxa"/>
            <w:shd w:val="clear" w:color="000000" w:fill="FFFFFF"/>
            <w:vAlign w:val="center"/>
            <w:hideMark/>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Нежилое</w:t>
            </w:r>
          </w:p>
        </w:tc>
        <w:tc>
          <w:tcPr>
            <w:tcW w:w="2411" w:type="dxa"/>
            <w:shd w:val="clear" w:color="000000" w:fill="FFFFFF"/>
            <w:vAlign w:val="center"/>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Нежилое</w:t>
            </w:r>
          </w:p>
        </w:tc>
      </w:tr>
      <w:tr w:rsidR="00770A9D" w:rsidRPr="00F47774" w:rsidTr="00770A9D">
        <w:trPr>
          <w:trHeight w:val="29"/>
          <w:jc w:val="center"/>
        </w:trPr>
        <w:tc>
          <w:tcPr>
            <w:tcW w:w="4464" w:type="dxa"/>
            <w:shd w:val="clear" w:color="000000" w:fill="F2F2F2" w:themeFill="background1" w:themeFillShade="F2"/>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Литер</w:t>
            </w:r>
          </w:p>
        </w:tc>
        <w:tc>
          <w:tcPr>
            <w:tcW w:w="2411" w:type="dxa"/>
            <w:shd w:val="clear" w:color="000000" w:fill="FFFFFF"/>
            <w:vAlign w:val="center"/>
            <w:hideMark/>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Б,б</w:t>
            </w:r>
          </w:p>
        </w:tc>
        <w:tc>
          <w:tcPr>
            <w:tcW w:w="2411" w:type="dxa"/>
            <w:shd w:val="clear" w:color="000000" w:fill="FFFFFF"/>
            <w:vAlign w:val="center"/>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А</w:t>
            </w:r>
          </w:p>
        </w:tc>
      </w:tr>
      <w:tr w:rsidR="00770A9D" w:rsidRPr="00F47774" w:rsidTr="00770A9D">
        <w:trPr>
          <w:trHeight w:val="29"/>
          <w:jc w:val="center"/>
        </w:trPr>
        <w:tc>
          <w:tcPr>
            <w:tcW w:w="4464" w:type="dxa"/>
            <w:shd w:val="clear" w:color="000000" w:fill="F2F2F2" w:themeFill="background1" w:themeFillShade="F2"/>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Адрес</w:t>
            </w:r>
          </w:p>
        </w:tc>
        <w:tc>
          <w:tcPr>
            <w:tcW w:w="2411" w:type="dxa"/>
            <w:shd w:val="clear" w:color="000000" w:fill="FFFFFF"/>
            <w:vAlign w:val="center"/>
            <w:hideMark/>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Белгородская обл. г. Белгород, ул</w:t>
            </w:r>
            <w:r>
              <w:rPr>
                <w:rFonts w:asciiTheme="majorHAnsi" w:hAnsiTheme="majorHAnsi"/>
                <w:color w:val="000000"/>
                <w:sz w:val="18"/>
                <w:szCs w:val="18"/>
              </w:rPr>
              <w:t>.</w:t>
            </w:r>
            <w:r w:rsidRPr="00770A9D">
              <w:rPr>
                <w:rFonts w:asciiTheme="majorHAnsi" w:hAnsiTheme="majorHAnsi"/>
                <w:color w:val="000000"/>
                <w:sz w:val="18"/>
                <w:szCs w:val="18"/>
              </w:rPr>
              <w:t xml:space="preserve"> Мирная, 21</w:t>
            </w:r>
          </w:p>
        </w:tc>
        <w:tc>
          <w:tcPr>
            <w:tcW w:w="2411" w:type="dxa"/>
            <w:shd w:val="clear" w:color="000000" w:fill="FFFFFF"/>
            <w:vAlign w:val="center"/>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Белгородская обл. г. Белгород, ул</w:t>
            </w:r>
            <w:r>
              <w:rPr>
                <w:rFonts w:asciiTheme="majorHAnsi" w:hAnsiTheme="majorHAnsi"/>
                <w:color w:val="000000"/>
                <w:sz w:val="18"/>
                <w:szCs w:val="18"/>
              </w:rPr>
              <w:t>.</w:t>
            </w:r>
            <w:r w:rsidRPr="00770A9D">
              <w:rPr>
                <w:rFonts w:asciiTheme="majorHAnsi" w:hAnsiTheme="majorHAnsi"/>
                <w:color w:val="000000"/>
                <w:sz w:val="18"/>
                <w:szCs w:val="18"/>
              </w:rPr>
              <w:t xml:space="preserve"> Сумская, 168</w:t>
            </w:r>
          </w:p>
        </w:tc>
      </w:tr>
      <w:tr w:rsidR="00770A9D" w:rsidRPr="00F47774" w:rsidTr="00770A9D">
        <w:trPr>
          <w:trHeight w:val="29"/>
          <w:jc w:val="center"/>
        </w:trPr>
        <w:tc>
          <w:tcPr>
            <w:tcW w:w="4464" w:type="dxa"/>
            <w:shd w:val="clear" w:color="000000" w:fill="F2F2F2" w:themeFill="background1" w:themeFillShade="F2"/>
            <w:vAlign w:val="center"/>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 xml:space="preserve">Полная восстановительная стоимость, руб.(без. НДС) </w:t>
            </w:r>
          </w:p>
        </w:tc>
        <w:tc>
          <w:tcPr>
            <w:tcW w:w="2411" w:type="dxa"/>
            <w:shd w:val="clear" w:color="000000" w:fill="FFFFFF"/>
            <w:noWrap/>
            <w:vAlign w:val="center"/>
            <w:hideMark/>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140 095 956</w:t>
            </w:r>
          </w:p>
        </w:tc>
        <w:tc>
          <w:tcPr>
            <w:tcW w:w="2411" w:type="dxa"/>
            <w:shd w:val="clear" w:color="000000" w:fill="FFFFFF"/>
            <w:vAlign w:val="center"/>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73 477 292</w:t>
            </w:r>
          </w:p>
        </w:tc>
      </w:tr>
      <w:tr w:rsidR="00770A9D" w:rsidRPr="00F47774" w:rsidTr="00770A9D">
        <w:trPr>
          <w:trHeight w:val="29"/>
          <w:jc w:val="center"/>
        </w:trPr>
        <w:tc>
          <w:tcPr>
            <w:tcW w:w="4464" w:type="dxa"/>
            <w:shd w:val="clear" w:color="000000" w:fill="F2F2F2" w:themeFill="background1" w:themeFillShade="F2"/>
            <w:vAlign w:val="bottom"/>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Физический износ, %</w:t>
            </w:r>
          </w:p>
        </w:tc>
        <w:tc>
          <w:tcPr>
            <w:tcW w:w="2411" w:type="dxa"/>
            <w:shd w:val="clear" w:color="000000" w:fill="FFFFFF"/>
            <w:noWrap/>
            <w:vAlign w:val="center"/>
            <w:hideMark/>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50,00%</w:t>
            </w:r>
          </w:p>
        </w:tc>
        <w:tc>
          <w:tcPr>
            <w:tcW w:w="2411" w:type="dxa"/>
            <w:shd w:val="clear" w:color="000000" w:fill="FFFFFF"/>
            <w:vAlign w:val="center"/>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45,00%</w:t>
            </w:r>
          </w:p>
        </w:tc>
      </w:tr>
      <w:tr w:rsidR="00770A9D" w:rsidRPr="00F47774" w:rsidTr="00770A9D">
        <w:trPr>
          <w:trHeight w:val="29"/>
          <w:jc w:val="center"/>
        </w:trPr>
        <w:tc>
          <w:tcPr>
            <w:tcW w:w="4464" w:type="dxa"/>
            <w:shd w:val="clear" w:color="000000" w:fill="F2F2F2" w:themeFill="background1" w:themeFillShade="F2"/>
            <w:vAlign w:val="bottom"/>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Функциональный износ, %</w:t>
            </w:r>
          </w:p>
        </w:tc>
        <w:tc>
          <w:tcPr>
            <w:tcW w:w="2411" w:type="dxa"/>
            <w:shd w:val="clear" w:color="000000" w:fill="FFFFFF"/>
            <w:noWrap/>
            <w:vAlign w:val="center"/>
            <w:hideMark/>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0%</w:t>
            </w:r>
          </w:p>
        </w:tc>
        <w:tc>
          <w:tcPr>
            <w:tcW w:w="2411" w:type="dxa"/>
            <w:shd w:val="clear" w:color="000000" w:fill="FFFFFF"/>
            <w:vAlign w:val="center"/>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0%</w:t>
            </w:r>
          </w:p>
        </w:tc>
      </w:tr>
      <w:tr w:rsidR="00770A9D" w:rsidRPr="00F47774" w:rsidTr="00770A9D">
        <w:trPr>
          <w:trHeight w:val="29"/>
          <w:jc w:val="center"/>
        </w:trPr>
        <w:tc>
          <w:tcPr>
            <w:tcW w:w="4464" w:type="dxa"/>
            <w:shd w:val="clear" w:color="000000" w:fill="F2F2F2" w:themeFill="background1" w:themeFillShade="F2"/>
            <w:vAlign w:val="bottom"/>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Экономический износ, %</w:t>
            </w:r>
          </w:p>
        </w:tc>
        <w:tc>
          <w:tcPr>
            <w:tcW w:w="2411" w:type="dxa"/>
            <w:shd w:val="clear" w:color="000000" w:fill="FFFFFF"/>
            <w:noWrap/>
            <w:vAlign w:val="center"/>
            <w:hideMark/>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0%</w:t>
            </w:r>
          </w:p>
        </w:tc>
        <w:tc>
          <w:tcPr>
            <w:tcW w:w="2411" w:type="dxa"/>
            <w:shd w:val="clear" w:color="000000" w:fill="FFFFFF"/>
            <w:vAlign w:val="center"/>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0%</w:t>
            </w:r>
          </w:p>
        </w:tc>
      </w:tr>
      <w:tr w:rsidR="00770A9D" w:rsidRPr="00F47774" w:rsidTr="00770A9D">
        <w:trPr>
          <w:trHeight w:val="29"/>
          <w:jc w:val="center"/>
        </w:trPr>
        <w:tc>
          <w:tcPr>
            <w:tcW w:w="4464" w:type="dxa"/>
            <w:shd w:val="clear" w:color="000000" w:fill="F2F2F2" w:themeFill="background1" w:themeFillShade="F2"/>
            <w:vAlign w:val="bottom"/>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Общий накопленный износ, %</w:t>
            </w:r>
          </w:p>
        </w:tc>
        <w:tc>
          <w:tcPr>
            <w:tcW w:w="2411" w:type="dxa"/>
            <w:shd w:val="clear" w:color="000000" w:fill="FFFFFF"/>
            <w:noWrap/>
            <w:vAlign w:val="center"/>
            <w:hideMark/>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50,00%</w:t>
            </w:r>
          </w:p>
        </w:tc>
        <w:tc>
          <w:tcPr>
            <w:tcW w:w="2411" w:type="dxa"/>
            <w:shd w:val="clear" w:color="000000" w:fill="FFFFFF"/>
            <w:vAlign w:val="center"/>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45,00%</w:t>
            </w:r>
          </w:p>
        </w:tc>
      </w:tr>
      <w:tr w:rsidR="00770A9D" w:rsidRPr="00F47774" w:rsidTr="00770A9D">
        <w:trPr>
          <w:trHeight w:val="29"/>
          <w:jc w:val="center"/>
        </w:trPr>
        <w:tc>
          <w:tcPr>
            <w:tcW w:w="4464" w:type="dxa"/>
            <w:shd w:val="clear" w:color="000000" w:fill="F2F2F2" w:themeFill="background1" w:themeFillShade="F2"/>
            <w:vAlign w:val="bottom"/>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 xml:space="preserve">Восстановительная  стоимость с учетом накопленного износа, руб., без НДС </w:t>
            </w:r>
          </w:p>
        </w:tc>
        <w:tc>
          <w:tcPr>
            <w:tcW w:w="2411" w:type="dxa"/>
            <w:shd w:val="clear" w:color="000000" w:fill="FFFFFF"/>
            <w:noWrap/>
            <w:vAlign w:val="center"/>
            <w:hideMark/>
          </w:tcPr>
          <w:p w:rsidR="00770A9D" w:rsidRPr="00770A9D" w:rsidRDefault="00770A9D" w:rsidP="00770A9D">
            <w:pPr>
              <w:jc w:val="center"/>
              <w:rPr>
                <w:rFonts w:asciiTheme="majorHAnsi" w:hAnsiTheme="majorHAnsi"/>
                <w:b/>
                <w:color w:val="000000"/>
                <w:sz w:val="18"/>
                <w:szCs w:val="18"/>
              </w:rPr>
            </w:pPr>
            <w:r w:rsidRPr="00770A9D">
              <w:rPr>
                <w:rFonts w:asciiTheme="majorHAnsi" w:hAnsiTheme="majorHAnsi"/>
                <w:b/>
                <w:color w:val="000000"/>
                <w:sz w:val="18"/>
                <w:szCs w:val="18"/>
              </w:rPr>
              <w:t>70 047 978</w:t>
            </w:r>
          </w:p>
        </w:tc>
        <w:tc>
          <w:tcPr>
            <w:tcW w:w="2411" w:type="dxa"/>
            <w:shd w:val="clear" w:color="000000" w:fill="FFFFFF"/>
            <w:vAlign w:val="center"/>
          </w:tcPr>
          <w:p w:rsidR="00770A9D" w:rsidRPr="00770A9D" w:rsidRDefault="00770A9D" w:rsidP="00770A9D">
            <w:pPr>
              <w:jc w:val="center"/>
              <w:rPr>
                <w:rFonts w:asciiTheme="majorHAnsi" w:hAnsiTheme="majorHAnsi"/>
                <w:b/>
                <w:color w:val="000000"/>
                <w:sz w:val="18"/>
                <w:szCs w:val="18"/>
              </w:rPr>
            </w:pPr>
            <w:r w:rsidRPr="00770A9D">
              <w:rPr>
                <w:rFonts w:asciiTheme="majorHAnsi" w:hAnsiTheme="majorHAnsi"/>
                <w:b/>
                <w:color w:val="000000"/>
                <w:sz w:val="18"/>
                <w:szCs w:val="18"/>
              </w:rPr>
              <w:t>40 412 511</w:t>
            </w:r>
          </w:p>
        </w:tc>
      </w:tr>
      <w:tr w:rsidR="00770A9D" w:rsidRPr="00F47774" w:rsidTr="00770A9D">
        <w:trPr>
          <w:trHeight w:val="29"/>
          <w:jc w:val="center"/>
        </w:trPr>
        <w:tc>
          <w:tcPr>
            <w:tcW w:w="4464" w:type="dxa"/>
            <w:shd w:val="clear" w:color="000000" w:fill="F2F2F2" w:themeFill="background1" w:themeFillShade="F2"/>
            <w:vAlign w:val="bottom"/>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НДС</w:t>
            </w:r>
          </w:p>
        </w:tc>
        <w:tc>
          <w:tcPr>
            <w:tcW w:w="2411" w:type="dxa"/>
            <w:shd w:val="clear" w:color="000000" w:fill="FFFFFF"/>
            <w:noWrap/>
            <w:vAlign w:val="center"/>
            <w:hideMark/>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12 608 636</w:t>
            </w:r>
          </w:p>
        </w:tc>
        <w:tc>
          <w:tcPr>
            <w:tcW w:w="2411" w:type="dxa"/>
            <w:shd w:val="clear" w:color="000000" w:fill="FFFFFF"/>
            <w:vAlign w:val="center"/>
          </w:tcPr>
          <w:p w:rsidR="00770A9D" w:rsidRPr="00770A9D" w:rsidRDefault="00770A9D" w:rsidP="00770A9D">
            <w:pPr>
              <w:jc w:val="center"/>
              <w:rPr>
                <w:rFonts w:asciiTheme="majorHAnsi" w:hAnsiTheme="majorHAnsi"/>
                <w:color w:val="000000"/>
                <w:sz w:val="18"/>
                <w:szCs w:val="18"/>
              </w:rPr>
            </w:pPr>
            <w:r w:rsidRPr="00770A9D">
              <w:rPr>
                <w:rFonts w:asciiTheme="majorHAnsi" w:hAnsiTheme="majorHAnsi"/>
                <w:color w:val="000000"/>
                <w:sz w:val="18"/>
                <w:szCs w:val="18"/>
              </w:rPr>
              <w:t>7 274 252</w:t>
            </w:r>
          </w:p>
        </w:tc>
      </w:tr>
      <w:tr w:rsidR="00770A9D" w:rsidRPr="00F47774" w:rsidTr="00770A9D">
        <w:trPr>
          <w:trHeight w:val="29"/>
          <w:jc w:val="center"/>
        </w:trPr>
        <w:tc>
          <w:tcPr>
            <w:tcW w:w="4464" w:type="dxa"/>
            <w:shd w:val="clear" w:color="000000" w:fill="F2F2F2" w:themeFill="background1" w:themeFillShade="F2"/>
            <w:vAlign w:val="bottom"/>
            <w:hideMark/>
          </w:tcPr>
          <w:p w:rsidR="00770A9D" w:rsidRPr="00F47774" w:rsidRDefault="00770A9D" w:rsidP="00770A9D">
            <w:pPr>
              <w:jc w:val="center"/>
              <w:rPr>
                <w:rFonts w:asciiTheme="majorHAnsi" w:hAnsiTheme="majorHAnsi"/>
                <w:b/>
                <w:bCs/>
                <w:sz w:val="18"/>
                <w:szCs w:val="18"/>
              </w:rPr>
            </w:pPr>
            <w:r w:rsidRPr="00F47774">
              <w:rPr>
                <w:rFonts w:asciiTheme="majorHAnsi" w:hAnsiTheme="majorHAnsi"/>
                <w:b/>
                <w:bCs/>
                <w:sz w:val="18"/>
                <w:szCs w:val="18"/>
              </w:rPr>
              <w:t>Восстановительная стоимость</w:t>
            </w:r>
            <w:r>
              <w:rPr>
                <w:rFonts w:asciiTheme="majorHAnsi" w:hAnsiTheme="majorHAnsi"/>
                <w:b/>
                <w:bCs/>
                <w:sz w:val="18"/>
                <w:szCs w:val="18"/>
              </w:rPr>
              <w:t xml:space="preserve"> ОКС</w:t>
            </w:r>
            <w:r w:rsidRPr="00F47774">
              <w:rPr>
                <w:rFonts w:asciiTheme="majorHAnsi" w:hAnsiTheme="majorHAnsi"/>
                <w:b/>
                <w:bCs/>
                <w:sz w:val="18"/>
                <w:szCs w:val="18"/>
              </w:rPr>
              <w:t xml:space="preserve"> с учетом НДС, руб.</w:t>
            </w:r>
          </w:p>
        </w:tc>
        <w:tc>
          <w:tcPr>
            <w:tcW w:w="2411" w:type="dxa"/>
            <w:shd w:val="clear" w:color="000000" w:fill="FFFFFF"/>
            <w:noWrap/>
            <w:vAlign w:val="center"/>
            <w:hideMark/>
          </w:tcPr>
          <w:p w:rsidR="00770A9D" w:rsidRPr="00770A9D" w:rsidRDefault="00770A9D" w:rsidP="00770A9D">
            <w:pPr>
              <w:jc w:val="center"/>
              <w:rPr>
                <w:rFonts w:asciiTheme="majorHAnsi" w:hAnsiTheme="majorHAnsi"/>
                <w:b/>
                <w:bCs/>
                <w:color w:val="000000"/>
                <w:sz w:val="18"/>
                <w:szCs w:val="18"/>
              </w:rPr>
            </w:pPr>
            <w:r w:rsidRPr="00770A9D">
              <w:rPr>
                <w:rFonts w:asciiTheme="majorHAnsi" w:hAnsiTheme="majorHAnsi"/>
                <w:b/>
                <w:bCs/>
                <w:color w:val="000000"/>
                <w:sz w:val="18"/>
                <w:szCs w:val="18"/>
              </w:rPr>
              <w:t>82 656 614</w:t>
            </w:r>
          </w:p>
        </w:tc>
        <w:tc>
          <w:tcPr>
            <w:tcW w:w="2411" w:type="dxa"/>
            <w:shd w:val="clear" w:color="000000" w:fill="FFFFFF"/>
            <w:vAlign w:val="center"/>
          </w:tcPr>
          <w:p w:rsidR="00770A9D" w:rsidRPr="00770A9D" w:rsidRDefault="00770A9D" w:rsidP="00770A9D">
            <w:pPr>
              <w:jc w:val="center"/>
              <w:rPr>
                <w:rFonts w:asciiTheme="majorHAnsi" w:hAnsiTheme="majorHAnsi"/>
                <w:b/>
                <w:bCs/>
                <w:color w:val="000000"/>
                <w:sz w:val="18"/>
                <w:szCs w:val="18"/>
              </w:rPr>
            </w:pPr>
            <w:r w:rsidRPr="00770A9D">
              <w:rPr>
                <w:rFonts w:asciiTheme="majorHAnsi" w:hAnsiTheme="majorHAnsi"/>
                <w:b/>
                <w:bCs/>
                <w:color w:val="000000"/>
                <w:sz w:val="18"/>
                <w:szCs w:val="18"/>
              </w:rPr>
              <w:t>47 686 763</w:t>
            </w:r>
          </w:p>
        </w:tc>
      </w:tr>
      <w:tr w:rsidR="00770A9D" w:rsidRPr="00F47774" w:rsidTr="00770A9D">
        <w:trPr>
          <w:trHeight w:val="29"/>
          <w:jc w:val="center"/>
        </w:trPr>
        <w:tc>
          <w:tcPr>
            <w:tcW w:w="4464" w:type="dxa"/>
            <w:shd w:val="clear" w:color="000000" w:fill="F2F2F2" w:themeFill="background1" w:themeFillShade="F2"/>
            <w:vAlign w:val="bottom"/>
          </w:tcPr>
          <w:p w:rsidR="00770A9D" w:rsidRPr="00F47774" w:rsidRDefault="00770A9D" w:rsidP="00770A9D">
            <w:pPr>
              <w:jc w:val="center"/>
              <w:rPr>
                <w:rFonts w:asciiTheme="majorHAnsi" w:hAnsiTheme="majorHAnsi"/>
                <w:b/>
                <w:bCs/>
                <w:sz w:val="18"/>
                <w:szCs w:val="18"/>
              </w:rPr>
            </w:pPr>
            <w:r>
              <w:rPr>
                <w:rFonts w:asciiTheme="majorHAnsi" w:hAnsiTheme="majorHAnsi"/>
                <w:b/>
                <w:bCs/>
                <w:sz w:val="18"/>
                <w:szCs w:val="18"/>
              </w:rPr>
              <w:t>ИТОГО:</w:t>
            </w:r>
          </w:p>
        </w:tc>
        <w:tc>
          <w:tcPr>
            <w:tcW w:w="4822" w:type="dxa"/>
            <w:gridSpan w:val="2"/>
            <w:shd w:val="clear" w:color="000000" w:fill="FFFFFF"/>
            <w:noWrap/>
            <w:vAlign w:val="center"/>
          </w:tcPr>
          <w:p w:rsidR="00770A9D" w:rsidRPr="00770A9D" w:rsidRDefault="00770A9D" w:rsidP="00770A9D">
            <w:pPr>
              <w:jc w:val="center"/>
              <w:rPr>
                <w:rFonts w:asciiTheme="majorHAnsi" w:hAnsiTheme="majorHAnsi"/>
                <w:b/>
                <w:bCs/>
                <w:color w:val="000000"/>
                <w:sz w:val="18"/>
                <w:szCs w:val="18"/>
              </w:rPr>
            </w:pPr>
            <w:r w:rsidRPr="00770A9D">
              <w:rPr>
                <w:rFonts w:asciiTheme="majorHAnsi" w:hAnsiTheme="majorHAnsi"/>
                <w:b/>
                <w:color w:val="000000"/>
                <w:sz w:val="18"/>
                <w:szCs w:val="18"/>
              </w:rPr>
              <w:t>130 343 377</w:t>
            </w:r>
          </w:p>
        </w:tc>
      </w:tr>
    </w:tbl>
    <w:p w:rsidR="00B40242" w:rsidRDefault="00B40242" w:rsidP="0061127A">
      <w:pPr>
        <w:ind w:firstLine="709"/>
        <w:jc w:val="center"/>
        <w:rPr>
          <w:rFonts w:ascii="Cambria" w:eastAsiaTheme="minorHAnsi" w:hAnsi="Cambria" w:cstheme="minorBidi"/>
          <w:b/>
          <w:bCs/>
          <w:i/>
          <w:iCs/>
          <w:sz w:val="20"/>
          <w:szCs w:val="22"/>
          <w:lang w:eastAsia="en-US"/>
        </w:rPr>
      </w:pPr>
    </w:p>
    <w:p w:rsidR="0061127A" w:rsidRPr="0061127A" w:rsidRDefault="0061127A" w:rsidP="00B40242">
      <w:pPr>
        <w:ind w:firstLine="709"/>
        <w:jc w:val="both"/>
        <w:rPr>
          <w:rFonts w:ascii="Cambria" w:eastAsiaTheme="minorHAnsi" w:hAnsi="Cambria" w:cstheme="minorBidi"/>
          <w:b/>
          <w:bCs/>
          <w:i/>
          <w:iCs/>
          <w:sz w:val="20"/>
          <w:szCs w:val="22"/>
          <w:lang w:eastAsia="en-US"/>
        </w:rPr>
      </w:pPr>
      <w:r w:rsidRPr="0061127A">
        <w:rPr>
          <w:rFonts w:ascii="Cambria" w:eastAsiaTheme="minorHAnsi" w:hAnsi="Cambria" w:cstheme="minorBidi"/>
          <w:b/>
          <w:bCs/>
          <w:i/>
          <w:iCs/>
          <w:sz w:val="20"/>
          <w:szCs w:val="22"/>
          <w:lang w:eastAsia="en-US"/>
        </w:rPr>
        <w:t>В</w:t>
      </w:r>
      <w:r w:rsidR="00B40242">
        <w:rPr>
          <w:rFonts w:ascii="Cambria" w:eastAsiaTheme="minorHAnsi" w:hAnsi="Cambria" w:cstheme="minorBidi"/>
          <w:b/>
          <w:bCs/>
          <w:i/>
          <w:iCs/>
          <w:sz w:val="20"/>
          <w:szCs w:val="22"/>
          <w:lang w:eastAsia="en-US"/>
        </w:rPr>
        <w:t xml:space="preserve">ывод: </w:t>
      </w:r>
      <w:r w:rsidRPr="00B40242">
        <w:rPr>
          <w:rFonts w:ascii="Cambria" w:eastAsiaTheme="minorHAnsi" w:hAnsi="Cambria" w:cstheme="minorBidi"/>
          <w:bCs/>
          <w:iCs/>
          <w:sz w:val="20"/>
          <w:szCs w:val="22"/>
          <w:lang w:eastAsia="en-US"/>
        </w:rPr>
        <w:t>Затраты на замещение объект</w:t>
      </w:r>
      <w:r w:rsidR="00770A9D">
        <w:rPr>
          <w:rFonts w:ascii="Cambria" w:eastAsiaTheme="minorHAnsi" w:hAnsi="Cambria" w:cstheme="minorBidi"/>
          <w:bCs/>
          <w:iCs/>
          <w:sz w:val="20"/>
          <w:szCs w:val="22"/>
          <w:lang w:eastAsia="en-US"/>
        </w:rPr>
        <w:t>ов</w:t>
      </w:r>
      <w:r w:rsidRPr="00B40242">
        <w:rPr>
          <w:rFonts w:ascii="Cambria" w:eastAsiaTheme="minorHAnsi" w:hAnsi="Cambria" w:cstheme="minorBidi"/>
          <w:bCs/>
          <w:iCs/>
          <w:sz w:val="20"/>
          <w:szCs w:val="22"/>
          <w:lang w:eastAsia="en-US"/>
        </w:rPr>
        <w:t xml:space="preserve"> капитального строительства с учетом всех видов износа и устаревани</w:t>
      </w:r>
      <w:r w:rsidR="00B40242">
        <w:rPr>
          <w:rFonts w:ascii="Cambria" w:eastAsiaTheme="minorHAnsi" w:hAnsi="Cambria" w:cstheme="minorBidi"/>
          <w:bCs/>
          <w:iCs/>
          <w:sz w:val="20"/>
          <w:szCs w:val="22"/>
          <w:lang w:eastAsia="en-US"/>
        </w:rPr>
        <w:t>й</w:t>
      </w:r>
      <w:r w:rsidRPr="00B40242">
        <w:rPr>
          <w:rFonts w:ascii="Cambria" w:eastAsiaTheme="minorHAnsi" w:hAnsi="Cambria" w:cstheme="minorBidi"/>
          <w:bCs/>
          <w:iCs/>
          <w:sz w:val="20"/>
          <w:szCs w:val="22"/>
          <w:lang w:eastAsia="en-US"/>
        </w:rPr>
        <w:t xml:space="preserve"> по состоянию на дату оценки</w:t>
      </w:r>
      <w:r w:rsidR="007C0A4B">
        <w:rPr>
          <w:rFonts w:ascii="Cambria" w:eastAsiaTheme="minorHAnsi" w:hAnsi="Cambria" w:cstheme="minorBidi"/>
          <w:bCs/>
          <w:iCs/>
          <w:sz w:val="20"/>
          <w:szCs w:val="22"/>
          <w:lang w:eastAsia="en-US"/>
        </w:rPr>
        <w:t>,</w:t>
      </w:r>
      <w:r w:rsidRPr="00B40242">
        <w:rPr>
          <w:rFonts w:ascii="Cambria" w:eastAsiaTheme="minorHAnsi" w:hAnsi="Cambria" w:cstheme="minorBidi"/>
          <w:bCs/>
          <w:iCs/>
          <w:sz w:val="20"/>
          <w:szCs w:val="22"/>
          <w:lang w:eastAsia="en-US"/>
        </w:rPr>
        <w:t xml:space="preserve"> </w:t>
      </w:r>
      <w:r w:rsidR="00B40242">
        <w:rPr>
          <w:rFonts w:ascii="Cambria" w:eastAsiaTheme="minorHAnsi" w:hAnsi="Cambria" w:cstheme="minorBidi"/>
          <w:bCs/>
          <w:iCs/>
          <w:sz w:val="20"/>
          <w:szCs w:val="22"/>
          <w:lang w:eastAsia="en-US"/>
        </w:rPr>
        <w:t xml:space="preserve">с </w:t>
      </w:r>
      <w:r w:rsidRPr="00B40242">
        <w:rPr>
          <w:rFonts w:ascii="Cambria" w:eastAsiaTheme="minorHAnsi" w:hAnsi="Cambria" w:cstheme="minorBidi"/>
          <w:bCs/>
          <w:iCs/>
          <w:sz w:val="20"/>
          <w:szCs w:val="22"/>
          <w:lang w:eastAsia="en-US"/>
        </w:rPr>
        <w:t xml:space="preserve"> учет</w:t>
      </w:r>
      <w:r w:rsidR="00B40242">
        <w:rPr>
          <w:rFonts w:ascii="Cambria" w:eastAsiaTheme="minorHAnsi" w:hAnsi="Cambria" w:cstheme="minorBidi"/>
          <w:bCs/>
          <w:iCs/>
          <w:sz w:val="20"/>
          <w:szCs w:val="22"/>
          <w:lang w:eastAsia="en-US"/>
        </w:rPr>
        <w:t xml:space="preserve">ом </w:t>
      </w:r>
      <w:r w:rsidRPr="00B40242">
        <w:rPr>
          <w:rFonts w:ascii="Cambria" w:eastAsiaTheme="minorHAnsi" w:hAnsi="Cambria" w:cstheme="minorBidi"/>
          <w:bCs/>
          <w:iCs/>
          <w:sz w:val="20"/>
          <w:szCs w:val="22"/>
          <w:lang w:eastAsia="en-US"/>
        </w:rPr>
        <w:t xml:space="preserve"> НДС составляют:</w:t>
      </w:r>
    </w:p>
    <w:p w:rsidR="0061127A" w:rsidRPr="0061127A" w:rsidRDefault="0061127A" w:rsidP="0061127A">
      <w:pPr>
        <w:ind w:firstLine="709"/>
        <w:jc w:val="center"/>
        <w:rPr>
          <w:rFonts w:ascii="Cambria" w:eastAsiaTheme="minorHAnsi" w:hAnsi="Cambria" w:cstheme="minorBidi"/>
          <w:b/>
          <w:bCs/>
          <w:i/>
          <w:iCs/>
          <w:sz w:val="20"/>
          <w:szCs w:val="22"/>
          <w:lang w:eastAsia="en-US"/>
        </w:rPr>
      </w:pPr>
    </w:p>
    <w:p w:rsidR="00770A9D" w:rsidRDefault="00770A9D" w:rsidP="0061127A">
      <w:pPr>
        <w:ind w:firstLine="709"/>
        <w:jc w:val="center"/>
        <w:rPr>
          <w:rFonts w:asciiTheme="majorHAnsi" w:eastAsiaTheme="minorHAnsi" w:hAnsiTheme="majorHAnsi" w:cstheme="minorBidi"/>
          <w:b/>
          <w:sz w:val="20"/>
          <w:szCs w:val="22"/>
          <w:lang w:eastAsia="en-US"/>
        </w:rPr>
      </w:pPr>
      <w:r>
        <w:rPr>
          <w:rFonts w:asciiTheme="majorHAnsi" w:eastAsiaTheme="minorHAnsi" w:hAnsiTheme="majorHAnsi" w:cstheme="minorBidi"/>
          <w:b/>
          <w:bCs/>
          <w:sz w:val="20"/>
          <w:szCs w:val="22"/>
          <w:lang w:eastAsia="en-US"/>
        </w:rPr>
        <w:t>1</w:t>
      </w:r>
      <w:r w:rsidR="008D4D24" w:rsidRPr="008D4D24">
        <w:rPr>
          <w:rFonts w:asciiTheme="majorHAnsi" w:eastAsiaTheme="minorHAnsi" w:hAnsiTheme="majorHAnsi" w:cstheme="minorBidi"/>
          <w:b/>
          <w:bCs/>
          <w:sz w:val="20"/>
          <w:szCs w:val="22"/>
          <w:lang w:eastAsia="en-US"/>
        </w:rPr>
        <w:t>3</w:t>
      </w:r>
      <w:r>
        <w:rPr>
          <w:rFonts w:asciiTheme="majorHAnsi" w:eastAsiaTheme="minorHAnsi" w:hAnsiTheme="majorHAnsi" w:cstheme="minorBidi"/>
          <w:b/>
          <w:bCs/>
          <w:sz w:val="20"/>
          <w:szCs w:val="22"/>
          <w:lang w:eastAsia="en-US"/>
        </w:rPr>
        <w:t>0 343 377</w:t>
      </w:r>
      <w:r w:rsidR="008D4D24">
        <w:rPr>
          <w:rFonts w:asciiTheme="majorHAnsi" w:eastAsiaTheme="minorHAnsi" w:hAnsiTheme="majorHAnsi" w:cstheme="minorBidi"/>
          <w:b/>
          <w:bCs/>
          <w:sz w:val="20"/>
          <w:szCs w:val="22"/>
          <w:lang w:eastAsia="en-US"/>
        </w:rPr>
        <w:t xml:space="preserve"> </w:t>
      </w:r>
      <w:r w:rsidR="0061127A" w:rsidRPr="0061127A">
        <w:rPr>
          <w:rFonts w:asciiTheme="majorHAnsi" w:eastAsiaTheme="minorHAnsi" w:hAnsiTheme="majorHAnsi" w:cstheme="minorBidi"/>
          <w:b/>
          <w:sz w:val="20"/>
          <w:szCs w:val="22"/>
          <w:lang w:eastAsia="en-US"/>
        </w:rPr>
        <w:t xml:space="preserve">руб. </w:t>
      </w:r>
    </w:p>
    <w:p w:rsidR="0061127A" w:rsidRDefault="0061127A" w:rsidP="0061127A">
      <w:pPr>
        <w:ind w:firstLine="709"/>
        <w:jc w:val="center"/>
        <w:rPr>
          <w:rFonts w:asciiTheme="majorHAnsi" w:eastAsiaTheme="minorHAnsi" w:hAnsiTheme="majorHAnsi" w:cstheme="minorBidi"/>
          <w:b/>
          <w:sz w:val="20"/>
          <w:szCs w:val="22"/>
          <w:lang w:eastAsia="en-US"/>
        </w:rPr>
      </w:pPr>
      <w:r w:rsidRPr="0061127A">
        <w:rPr>
          <w:rFonts w:asciiTheme="majorHAnsi" w:eastAsiaTheme="minorHAnsi" w:hAnsiTheme="majorHAnsi" w:cstheme="minorBidi"/>
          <w:b/>
          <w:sz w:val="20"/>
          <w:szCs w:val="22"/>
          <w:lang w:eastAsia="en-US"/>
        </w:rPr>
        <w:t>(</w:t>
      </w:r>
      <w:r w:rsidR="00770A9D">
        <w:rPr>
          <w:rFonts w:asciiTheme="majorHAnsi" w:eastAsiaTheme="minorHAnsi" w:hAnsiTheme="majorHAnsi" w:cstheme="minorBidi"/>
          <w:b/>
          <w:sz w:val="20"/>
          <w:szCs w:val="22"/>
          <w:lang w:eastAsia="en-US"/>
        </w:rPr>
        <w:t>Сто тридцать</w:t>
      </w:r>
      <w:r w:rsidRPr="0061127A">
        <w:rPr>
          <w:rFonts w:asciiTheme="majorHAnsi" w:eastAsiaTheme="minorHAnsi" w:hAnsiTheme="majorHAnsi" w:cstheme="minorBidi"/>
          <w:b/>
          <w:sz w:val="20"/>
          <w:szCs w:val="22"/>
          <w:lang w:eastAsia="en-US"/>
        </w:rPr>
        <w:t xml:space="preserve"> миллион</w:t>
      </w:r>
      <w:r w:rsidR="00770A9D">
        <w:rPr>
          <w:rFonts w:asciiTheme="majorHAnsi" w:eastAsiaTheme="minorHAnsi" w:hAnsiTheme="majorHAnsi" w:cstheme="minorBidi"/>
          <w:b/>
          <w:sz w:val="20"/>
          <w:szCs w:val="22"/>
          <w:lang w:eastAsia="en-US"/>
        </w:rPr>
        <w:t>ов</w:t>
      </w:r>
      <w:r w:rsidRPr="0061127A">
        <w:rPr>
          <w:rFonts w:asciiTheme="majorHAnsi" w:eastAsiaTheme="minorHAnsi" w:hAnsiTheme="majorHAnsi" w:cstheme="minorBidi"/>
          <w:b/>
          <w:sz w:val="20"/>
          <w:szCs w:val="22"/>
          <w:lang w:eastAsia="en-US"/>
        </w:rPr>
        <w:t xml:space="preserve"> </w:t>
      </w:r>
      <w:r w:rsidR="00770A9D">
        <w:rPr>
          <w:rFonts w:asciiTheme="majorHAnsi" w:eastAsiaTheme="minorHAnsi" w:hAnsiTheme="majorHAnsi" w:cstheme="minorBidi"/>
          <w:b/>
          <w:sz w:val="20"/>
          <w:szCs w:val="22"/>
          <w:lang w:eastAsia="en-US"/>
        </w:rPr>
        <w:t>триста сорок три</w:t>
      </w:r>
      <w:r w:rsidRPr="0061127A">
        <w:rPr>
          <w:rFonts w:asciiTheme="majorHAnsi" w:eastAsiaTheme="minorHAnsi" w:hAnsiTheme="majorHAnsi" w:cstheme="minorBidi"/>
          <w:b/>
          <w:sz w:val="20"/>
          <w:szCs w:val="22"/>
          <w:lang w:eastAsia="en-US"/>
        </w:rPr>
        <w:t xml:space="preserve"> тысяч</w:t>
      </w:r>
      <w:r w:rsidR="00770A9D">
        <w:rPr>
          <w:rFonts w:asciiTheme="majorHAnsi" w:eastAsiaTheme="minorHAnsi" w:hAnsiTheme="majorHAnsi" w:cstheme="minorBidi"/>
          <w:b/>
          <w:sz w:val="20"/>
          <w:szCs w:val="22"/>
          <w:lang w:eastAsia="en-US"/>
        </w:rPr>
        <w:t>и</w:t>
      </w:r>
      <w:r w:rsidRPr="0061127A">
        <w:rPr>
          <w:rFonts w:asciiTheme="majorHAnsi" w:eastAsiaTheme="minorHAnsi" w:hAnsiTheme="majorHAnsi" w:cstheme="minorBidi"/>
          <w:b/>
          <w:sz w:val="20"/>
          <w:szCs w:val="22"/>
          <w:lang w:eastAsia="en-US"/>
        </w:rPr>
        <w:t xml:space="preserve"> </w:t>
      </w:r>
      <w:r w:rsidR="008D4D24">
        <w:rPr>
          <w:rFonts w:asciiTheme="majorHAnsi" w:eastAsiaTheme="minorHAnsi" w:hAnsiTheme="majorHAnsi" w:cstheme="minorBidi"/>
          <w:b/>
          <w:sz w:val="20"/>
          <w:szCs w:val="22"/>
          <w:lang w:eastAsia="en-US"/>
        </w:rPr>
        <w:t>триста семьдесят семь</w:t>
      </w:r>
      <w:r w:rsidRPr="0061127A">
        <w:rPr>
          <w:rFonts w:asciiTheme="majorHAnsi" w:eastAsiaTheme="minorHAnsi" w:hAnsiTheme="majorHAnsi" w:cstheme="minorBidi"/>
          <w:b/>
          <w:sz w:val="20"/>
          <w:szCs w:val="22"/>
          <w:lang w:eastAsia="en-US"/>
        </w:rPr>
        <w:t xml:space="preserve"> рубл</w:t>
      </w:r>
      <w:r w:rsidR="008D4D24">
        <w:rPr>
          <w:rFonts w:asciiTheme="majorHAnsi" w:eastAsiaTheme="minorHAnsi" w:hAnsiTheme="majorHAnsi" w:cstheme="minorBidi"/>
          <w:b/>
          <w:sz w:val="20"/>
          <w:szCs w:val="22"/>
          <w:lang w:eastAsia="en-US"/>
        </w:rPr>
        <w:t>ей</w:t>
      </w:r>
      <w:r w:rsidRPr="0061127A">
        <w:rPr>
          <w:rFonts w:asciiTheme="majorHAnsi" w:eastAsiaTheme="minorHAnsi" w:hAnsiTheme="majorHAnsi" w:cstheme="minorBidi"/>
          <w:b/>
          <w:sz w:val="20"/>
          <w:szCs w:val="22"/>
          <w:lang w:eastAsia="en-US"/>
        </w:rPr>
        <w:t>)</w:t>
      </w:r>
    </w:p>
    <w:p w:rsidR="00C05317" w:rsidRPr="0061127A" w:rsidRDefault="00C05317" w:rsidP="0061127A">
      <w:pPr>
        <w:ind w:firstLine="709"/>
        <w:jc w:val="center"/>
        <w:rPr>
          <w:rFonts w:asciiTheme="majorHAnsi" w:eastAsiaTheme="minorHAnsi" w:hAnsiTheme="majorHAnsi" w:cstheme="minorBidi"/>
          <w:b/>
          <w:sz w:val="20"/>
          <w:szCs w:val="22"/>
          <w:lang w:eastAsia="en-US"/>
        </w:rPr>
      </w:pPr>
    </w:p>
    <w:p w:rsidR="00C05317" w:rsidRPr="00C05317" w:rsidRDefault="001148A3" w:rsidP="00C05317">
      <w:pPr>
        <w:keepNext/>
        <w:keepLines/>
        <w:numPr>
          <w:ilvl w:val="2"/>
          <w:numId w:val="24"/>
        </w:numPr>
        <w:spacing w:before="240" w:after="120"/>
        <w:jc w:val="both"/>
        <w:outlineLvl w:val="2"/>
        <w:rPr>
          <w:rFonts w:asciiTheme="majorHAnsi" w:eastAsiaTheme="majorEastAsia" w:hAnsiTheme="majorHAnsi" w:cstheme="majorBidi"/>
          <w:b/>
          <w:bCs/>
          <w:sz w:val="20"/>
          <w:szCs w:val="22"/>
          <w:lang w:eastAsia="en-US"/>
        </w:rPr>
      </w:pPr>
      <w:bookmarkStart w:id="78" w:name="_Toc491763308"/>
      <w:r>
        <w:rPr>
          <w:rFonts w:asciiTheme="majorHAnsi" w:eastAsiaTheme="majorEastAsia" w:hAnsiTheme="majorHAnsi" w:cstheme="majorBidi"/>
          <w:b/>
          <w:bCs/>
          <w:sz w:val="20"/>
          <w:szCs w:val="22"/>
          <w:lang w:eastAsia="en-US"/>
        </w:rPr>
        <w:t>Сравнительный</w:t>
      </w:r>
      <w:r w:rsidRPr="0061127A">
        <w:rPr>
          <w:rFonts w:asciiTheme="majorHAnsi" w:eastAsiaTheme="majorEastAsia" w:hAnsiTheme="majorHAnsi" w:cstheme="majorBidi"/>
          <w:b/>
          <w:bCs/>
          <w:sz w:val="20"/>
          <w:szCs w:val="22"/>
          <w:lang w:eastAsia="en-US"/>
        </w:rPr>
        <w:t xml:space="preserve"> подход</w:t>
      </w:r>
      <w:bookmarkEnd w:id="78"/>
      <w:r>
        <w:rPr>
          <w:rFonts w:asciiTheme="majorHAnsi" w:eastAsiaTheme="majorEastAsia" w:hAnsiTheme="majorHAnsi" w:cstheme="majorBidi"/>
          <w:b/>
          <w:bCs/>
          <w:sz w:val="20"/>
          <w:szCs w:val="22"/>
          <w:lang w:eastAsia="en-US"/>
        </w:rPr>
        <w:t xml:space="preserve"> </w:t>
      </w:r>
    </w:p>
    <w:p w:rsidR="0025196A" w:rsidRDefault="0025196A" w:rsidP="0025196A">
      <w:pPr>
        <w:pStyle w:val="Aacao1"/>
        <w:spacing w:before="0" w:after="0"/>
        <w:ind w:firstLine="709"/>
        <w:rPr>
          <w:rFonts w:asciiTheme="majorHAnsi" w:hAnsiTheme="majorHAnsi"/>
          <w:sz w:val="20"/>
          <w:szCs w:val="20"/>
        </w:rPr>
      </w:pPr>
    </w:p>
    <w:p w:rsidR="0025196A" w:rsidRPr="001E4B64" w:rsidRDefault="0025196A" w:rsidP="0025196A">
      <w:pPr>
        <w:pStyle w:val="Aacao1"/>
        <w:spacing w:before="0" w:after="0"/>
        <w:ind w:firstLine="709"/>
        <w:rPr>
          <w:rFonts w:asciiTheme="majorHAnsi" w:hAnsiTheme="majorHAnsi"/>
          <w:sz w:val="20"/>
          <w:szCs w:val="20"/>
        </w:rPr>
      </w:pPr>
      <w:r w:rsidRPr="001E4B64">
        <w:rPr>
          <w:rFonts w:asciiTheme="majorHAnsi" w:hAnsiTheme="majorHAnsi"/>
          <w:sz w:val="20"/>
          <w:szCs w:val="20"/>
        </w:rPr>
        <w:t xml:space="preserve">Методы сравнительного подхода базируются на трёх основных принципах оценки недвижимости: 1) спроса и предложения, 2) замещения и 3) вклада. На основе этих трех принципов оценки недвижимости в сравнительном подходе используется ряд количественных и качественных методов выделения элементов сравнения и измерения корректировок рыночных данных сопоставимых объектов для моделирования стоимости оцениваемого объекта. В том случае, если рассматриваемый сегмент рынка недвижимости соответствует условиям свободной конкуренции и не претерпел существенных изменений, аналогичный объект недвижимости будет продан приблизительно за ту же цену. Основополагающим принципом сравнительного подхода к оценке недвижимости  является принцип замещения, гласящий, что </w:t>
      </w:r>
      <w:r w:rsidRPr="001E4B64">
        <w:rPr>
          <w:rFonts w:asciiTheme="majorHAnsi" w:hAnsiTheme="majorHAnsi"/>
          <w:b/>
          <w:sz w:val="20"/>
          <w:szCs w:val="20"/>
        </w:rPr>
        <w:t xml:space="preserve">при наличии на рынке нескольких схожих объектов рациональный инвестор не заплатит больше той суммы, в которую обойдётся приобретение недвижимости аналогичной полезности. </w:t>
      </w:r>
      <w:r w:rsidRPr="001E4B64">
        <w:rPr>
          <w:rFonts w:asciiTheme="majorHAnsi" w:hAnsiTheme="majorHAnsi"/>
          <w:sz w:val="20"/>
          <w:szCs w:val="20"/>
        </w:rPr>
        <w:t xml:space="preserve">(Оценка недвижимости. М. «Финансы и статистика» 2002». Данный подход служит для оценки рыночной стоимости объекта, исходя из анализа о совершаемых на рынке сделках. При этом рассматриваются сопоставимые объекты собственности, которые были проданы или, по крайней мере, предложены на продажу. Поскольку объективно не существует двух абсолютно одинаковых объектов по всем рассматриваемым параметрам то возникает необходимость соответствующей корректировки цен продажи сравниваемых объектов недвижимости. Кроме того, информация о совершённых сделках с объектами недвижимости является, как правило, конфиденциальной, а, следовательно, имеющаяся в нашем распоряжении информация не может быть признана достаточно достоверной. Ввиду этих причин, оценщик считает, что есть достаточные основания в рамках рыночного подхода к оценке объекта недвижимости использовать данные по предлагаемым к продаже сравниваемым объектам недвижимости. </w:t>
      </w:r>
    </w:p>
    <w:p w:rsidR="0025196A" w:rsidRPr="001E4B64" w:rsidRDefault="0025196A" w:rsidP="0025196A">
      <w:pPr>
        <w:pStyle w:val="Aacao1"/>
        <w:spacing w:before="0" w:after="0"/>
        <w:ind w:firstLine="709"/>
        <w:rPr>
          <w:rFonts w:asciiTheme="majorHAnsi" w:hAnsiTheme="majorHAnsi"/>
          <w:sz w:val="20"/>
          <w:szCs w:val="20"/>
        </w:rPr>
      </w:pPr>
      <w:r w:rsidRPr="001E4B64">
        <w:rPr>
          <w:rFonts w:asciiTheme="majorHAnsi" w:hAnsiTheme="majorHAnsi"/>
          <w:sz w:val="20"/>
          <w:szCs w:val="20"/>
        </w:rPr>
        <w:t>При использовании сравнительного анализа продаж необходимо провести корректировки по следующим элементам сравнения:</w:t>
      </w:r>
    </w:p>
    <w:p w:rsidR="0025196A" w:rsidRPr="001E4B64" w:rsidRDefault="0025196A" w:rsidP="0025196A">
      <w:pPr>
        <w:pStyle w:val="Aacao1"/>
        <w:spacing w:before="0" w:after="0"/>
        <w:ind w:firstLine="709"/>
        <w:rPr>
          <w:rFonts w:asciiTheme="majorHAnsi" w:hAnsiTheme="majorHAnsi"/>
          <w:sz w:val="20"/>
          <w:szCs w:val="20"/>
        </w:rPr>
      </w:pPr>
      <w:r w:rsidRPr="001E4B64">
        <w:rPr>
          <w:rFonts w:asciiTheme="majorHAnsi" w:hAnsiTheme="majorHAnsi"/>
          <w:b/>
          <w:sz w:val="20"/>
          <w:szCs w:val="20"/>
        </w:rPr>
        <w:t xml:space="preserve">Права собственности. </w:t>
      </w:r>
      <w:r w:rsidRPr="001E4B64">
        <w:rPr>
          <w:rFonts w:asciiTheme="majorHAnsi" w:hAnsiTheme="majorHAnsi"/>
          <w:sz w:val="20"/>
          <w:szCs w:val="20"/>
        </w:rPr>
        <w:t>Корректировка на права собственности есть не что иное, как разница между рыночной ценой и договорной арендной платой, поскольку и полное  право собственности определяется при рыночной арендной плате и доступном текущем финансировании.</w:t>
      </w:r>
    </w:p>
    <w:p w:rsidR="0025196A" w:rsidRPr="001E4B64" w:rsidRDefault="0025196A" w:rsidP="0025196A">
      <w:pPr>
        <w:pStyle w:val="Aacao1"/>
        <w:spacing w:before="0" w:after="0"/>
        <w:ind w:firstLine="709"/>
        <w:rPr>
          <w:rFonts w:asciiTheme="majorHAnsi" w:hAnsiTheme="majorHAnsi"/>
          <w:sz w:val="20"/>
          <w:szCs w:val="20"/>
        </w:rPr>
      </w:pPr>
      <w:r w:rsidRPr="001E4B64">
        <w:rPr>
          <w:rFonts w:asciiTheme="majorHAnsi" w:hAnsiTheme="majorHAnsi"/>
          <w:b/>
          <w:sz w:val="20"/>
          <w:szCs w:val="20"/>
        </w:rPr>
        <w:t>Условия продажи и время продажи.</w:t>
      </w:r>
      <w:r w:rsidRPr="001E4B64">
        <w:rPr>
          <w:rFonts w:asciiTheme="majorHAnsi" w:hAnsiTheme="majorHAnsi"/>
          <w:sz w:val="20"/>
          <w:szCs w:val="20"/>
        </w:rPr>
        <w:t xml:space="preserve"> Поскольку рассчитать поправку на условия финансирования  и налогообложения на передаваемые юридические права и ограничения, а также условия продажи затруднительно, то лучше по возможности не рассматривать для анализа и сравнения подобные сделки. В противном случае поправки на эти характеристики делаются в первую очередь.</w:t>
      </w:r>
    </w:p>
    <w:p w:rsidR="0025196A" w:rsidRPr="001E4B64" w:rsidRDefault="0025196A" w:rsidP="0025196A">
      <w:pPr>
        <w:pStyle w:val="Aacao1"/>
        <w:spacing w:before="0" w:after="0"/>
        <w:ind w:firstLine="709"/>
        <w:rPr>
          <w:rFonts w:asciiTheme="majorHAnsi" w:hAnsiTheme="majorHAnsi"/>
          <w:sz w:val="20"/>
          <w:szCs w:val="20"/>
        </w:rPr>
      </w:pPr>
      <w:r w:rsidRPr="001E4B64">
        <w:rPr>
          <w:rFonts w:asciiTheme="majorHAnsi" w:hAnsiTheme="majorHAnsi"/>
          <w:b/>
          <w:sz w:val="20"/>
          <w:szCs w:val="20"/>
        </w:rPr>
        <w:t xml:space="preserve">Условия финансирования. </w:t>
      </w:r>
      <w:r w:rsidRPr="001E4B64">
        <w:rPr>
          <w:rFonts w:asciiTheme="majorHAnsi" w:hAnsiTheme="majorHAnsi"/>
          <w:sz w:val="20"/>
          <w:szCs w:val="20"/>
        </w:rPr>
        <w:t>При нетипичных условиях финансирования сделки-купли продажи объекта недвижимости (например, в случае ее полного кредитования) необходим тщательный анализ, в результате которого вносится соответствующая поправка к цене данной сделки.</w:t>
      </w:r>
    </w:p>
    <w:p w:rsidR="0025196A" w:rsidRPr="001E4B64" w:rsidRDefault="0025196A" w:rsidP="0025196A">
      <w:pPr>
        <w:pStyle w:val="Aacao1"/>
        <w:spacing w:before="0" w:after="0"/>
        <w:ind w:firstLine="709"/>
        <w:rPr>
          <w:rFonts w:asciiTheme="majorHAnsi" w:hAnsiTheme="majorHAnsi"/>
          <w:sz w:val="20"/>
          <w:szCs w:val="20"/>
        </w:rPr>
      </w:pPr>
      <w:r w:rsidRPr="001E4B64">
        <w:rPr>
          <w:rFonts w:asciiTheme="majorHAnsi" w:hAnsiTheme="majorHAnsi"/>
          <w:b/>
          <w:sz w:val="20"/>
          <w:szCs w:val="20"/>
        </w:rPr>
        <w:lastRenderedPageBreak/>
        <w:t>Время продажи.</w:t>
      </w:r>
      <w:r w:rsidRPr="001E4B64">
        <w:rPr>
          <w:rFonts w:asciiTheme="majorHAnsi" w:hAnsiTheme="majorHAnsi"/>
          <w:sz w:val="20"/>
          <w:szCs w:val="20"/>
        </w:rPr>
        <w:t xml:space="preserve"> Один из основных элементов сравнения сопоставимых продаж. Для внесения поправки на данную характеристику в цену продажи объекта-аналога необходимо знать тенденции изменения цен на рынке недвижимости с течением времени.</w:t>
      </w:r>
    </w:p>
    <w:p w:rsidR="0025196A" w:rsidRPr="001E4B64" w:rsidRDefault="0025196A" w:rsidP="0025196A">
      <w:pPr>
        <w:pStyle w:val="Aacao1"/>
        <w:spacing w:before="0" w:after="0"/>
        <w:ind w:firstLine="709"/>
        <w:rPr>
          <w:rFonts w:asciiTheme="majorHAnsi" w:hAnsiTheme="majorHAnsi"/>
          <w:sz w:val="20"/>
          <w:szCs w:val="20"/>
        </w:rPr>
      </w:pPr>
      <w:r w:rsidRPr="001E4B64">
        <w:rPr>
          <w:rFonts w:asciiTheme="majorHAnsi" w:hAnsiTheme="majorHAnsi"/>
          <w:b/>
          <w:sz w:val="20"/>
          <w:szCs w:val="20"/>
        </w:rPr>
        <w:t xml:space="preserve">Местоположение. </w:t>
      </w:r>
      <w:r w:rsidRPr="001E4B64">
        <w:rPr>
          <w:rFonts w:asciiTheme="majorHAnsi" w:hAnsiTheme="majorHAnsi"/>
          <w:sz w:val="20"/>
          <w:szCs w:val="20"/>
        </w:rPr>
        <w:t>Необходимый элемент сравнения сопоставимых продаж, поскольку оказывает существенное воздействие на стоимость оцениваемого объекта.</w:t>
      </w:r>
    </w:p>
    <w:p w:rsidR="0025196A" w:rsidRDefault="0025196A" w:rsidP="0025196A">
      <w:pPr>
        <w:pStyle w:val="Aacao1"/>
        <w:spacing w:before="0" w:after="0"/>
        <w:ind w:firstLine="709"/>
        <w:rPr>
          <w:rFonts w:asciiTheme="majorHAnsi" w:hAnsiTheme="majorHAnsi"/>
          <w:sz w:val="20"/>
          <w:szCs w:val="20"/>
        </w:rPr>
      </w:pPr>
      <w:r w:rsidRPr="001E4B64">
        <w:rPr>
          <w:rFonts w:asciiTheme="majorHAnsi" w:hAnsiTheme="majorHAnsi"/>
          <w:b/>
          <w:sz w:val="20"/>
          <w:szCs w:val="20"/>
        </w:rPr>
        <w:t>Физические характеристики объекта.</w:t>
      </w:r>
      <w:r w:rsidRPr="001E4B64">
        <w:rPr>
          <w:rFonts w:asciiTheme="majorHAnsi" w:hAnsiTheme="majorHAnsi"/>
          <w:sz w:val="20"/>
          <w:szCs w:val="20"/>
        </w:rPr>
        <w:t xml:space="preserve"> Размеры, вид и качество материалов, состояние и степень изношенности объекта, и другие характеристики, на которые вносятся поправки.</w:t>
      </w:r>
    </w:p>
    <w:p w:rsidR="0025196A" w:rsidRPr="001E4B64" w:rsidRDefault="0025196A" w:rsidP="0025196A">
      <w:pPr>
        <w:pStyle w:val="Aacao1"/>
        <w:spacing w:before="0" w:after="0"/>
        <w:ind w:firstLine="709"/>
        <w:rPr>
          <w:rFonts w:asciiTheme="majorHAnsi" w:hAnsiTheme="majorHAnsi"/>
          <w:sz w:val="20"/>
          <w:szCs w:val="20"/>
        </w:rPr>
      </w:pPr>
    </w:p>
    <w:p w:rsidR="0025196A" w:rsidRDefault="0025196A" w:rsidP="0025196A">
      <w:pPr>
        <w:pStyle w:val="Aacao1"/>
        <w:spacing w:before="0" w:after="0"/>
        <w:ind w:firstLine="709"/>
        <w:jc w:val="center"/>
        <w:rPr>
          <w:rFonts w:asciiTheme="majorHAnsi" w:hAnsiTheme="majorHAnsi"/>
          <w:b/>
          <w:i/>
          <w:sz w:val="20"/>
          <w:szCs w:val="20"/>
        </w:rPr>
      </w:pPr>
      <w:r w:rsidRPr="0025196A">
        <w:rPr>
          <w:rFonts w:asciiTheme="majorHAnsi" w:hAnsiTheme="majorHAnsi"/>
          <w:b/>
          <w:i/>
          <w:sz w:val="20"/>
          <w:szCs w:val="20"/>
        </w:rPr>
        <w:t>Обоснование выбора примененных оценщиком методов оценки в рамках сравнительного подхода</w:t>
      </w:r>
    </w:p>
    <w:p w:rsidR="0025196A" w:rsidRPr="0025196A" w:rsidRDefault="0025196A" w:rsidP="0025196A">
      <w:pPr>
        <w:pStyle w:val="Aacao1"/>
        <w:spacing w:before="0" w:after="0"/>
        <w:ind w:firstLine="709"/>
        <w:jc w:val="center"/>
        <w:rPr>
          <w:rFonts w:asciiTheme="majorHAnsi" w:hAnsiTheme="majorHAnsi"/>
          <w:b/>
          <w:i/>
          <w:sz w:val="20"/>
          <w:szCs w:val="20"/>
        </w:rPr>
      </w:pPr>
    </w:p>
    <w:p w:rsidR="0025196A" w:rsidRPr="0025196A" w:rsidRDefault="0025196A" w:rsidP="0025196A">
      <w:pPr>
        <w:pStyle w:val="Aacao1"/>
        <w:spacing w:before="0" w:after="0"/>
        <w:ind w:firstLine="709"/>
        <w:rPr>
          <w:rFonts w:asciiTheme="majorHAnsi" w:hAnsiTheme="majorHAnsi"/>
          <w:sz w:val="20"/>
          <w:szCs w:val="20"/>
        </w:rPr>
      </w:pPr>
      <w:r w:rsidRPr="0025196A">
        <w:rPr>
          <w:rFonts w:asciiTheme="majorHAnsi" w:hAnsiTheme="majorHAnsi"/>
          <w:sz w:val="20"/>
          <w:szCs w:val="20"/>
        </w:rPr>
        <w:t>В зависимости от имеющейся на рынке исходной информации в процессе оценки недвижимости могут использоваться качественные методы оценки (относительный сравнительный анализ, метод экспертных оценок и другие методы), количественные методы оценки (метод регрессионного анализа, метод количественных корректировок и другие методы), а также их сочетания.</w:t>
      </w:r>
    </w:p>
    <w:p w:rsidR="0025196A" w:rsidRPr="0025196A" w:rsidRDefault="0025196A" w:rsidP="0025196A">
      <w:pPr>
        <w:pStyle w:val="Aacao1"/>
        <w:spacing w:before="0" w:after="0"/>
        <w:ind w:firstLine="709"/>
        <w:rPr>
          <w:rFonts w:asciiTheme="majorHAnsi" w:hAnsiTheme="majorHAnsi"/>
          <w:sz w:val="20"/>
          <w:szCs w:val="20"/>
        </w:rPr>
      </w:pPr>
      <w:r w:rsidRPr="0025196A">
        <w:rPr>
          <w:rFonts w:asciiTheme="majorHAnsi" w:hAnsiTheme="majorHAnsi"/>
          <w:sz w:val="20"/>
          <w:szCs w:val="20"/>
        </w:rPr>
        <w:t>Метод экспертных оценок, называемый также экспертным опросом, в общем виде представляет собой опрос специалистов, компетентных в какой-либо, нужной исследователю области. Опрос таких лиц называется экспертным, а установленные в его ходе суждения респондентов о свойствах изучаемого явления - экспертными оценками.</w:t>
      </w:r>
      <w:r w:rsidRPr="0025196A">
        <w:rPr>
          <w:rFonts w:asciiTheme="majorHAnsi" w:hAnsiTheme="majorHAnsi"/>
          <w:sz w:val="20"/>
          <w:szCs w:val="20"/>
        </w:rPr>
        <w:br/>
        <w:t>Экспертная оценка — компетентное мнение, мнение эксперта по какой-либо из проблем, находящихся в сфере его компетенции.</w:t>
      </w:r>
    </w:p>
    <w:p w:rsidR="0025196A" w:rsidRPr="0025196A" w:rsidRDefault="0025196A" w:rsidP="0025196A">
      <w:pPr>
        <w:pStyle w:val="Aacao1"/>
        <w:spacing w:before="0" w:after="0"/>
        <w:ind w:firstLine="709"/>
        <w:rPr>
          <w:rFonts w:asciiTheme="majorHAnsi" w:hAnsiTheme="majorHAnsi"/>
          <w:sz w:val="20"/>
          <w:szCs w:val="20"/>
        </w:rPr>
      </w:pPr>
      <w:r w:rsidRPr="0025196A">
        <w:rPr>
          <w:rFonts w:asciiTheme="majorHAnsi" w:hAnsiTheme="majorHAnsi"/>
          <w:sz w:val="20"/>
          <w:szCs w:val="20"/>
        </w:rPr>
        <w:t>Основные отличия экспертного опроса от массового состоят в следующем:</w:t>
      </w:r>
      <w:r w:rsidRPr="0025196A">
        <w:rPr>
          <w:rFonts w:asciiTheme="majorHAnsi" w:hAnsiTheme="majorHAnsi"/>
          <w:sz w:val="20"/>
          <w:szCs w:val="20"/>
        </w:rPr>
        <w:br/>
        <w:t>- количество респондентов в массовом опросе значительно больше, чем в экспертном;</w:t>
      </w:r>
    </w:p>
    <w:p w:rsidR="0025196A" w:rsidRPr="0025196A" w:rsidRDefault="0025196A" w:rsidP="0025196A">
      <w:pPr>
        <w:pStyle w:val="Aacao1"/>
        <w:spacing w:before="0" w:after="0"/>
        <w:ind w:firstLine="709"/>
        <w:rPr>
          <w:rFonts w:asciiTheme="majorHAnsi" w:hAnsiTheme="majorHAnsi"/>
          <w:sz w:val="20"/>
          <w:szCs w:val="20"/>
        </w:rPr>
      </w:pPr>
      <w:r w:rsidRPr="0025196A">
        <w:rPr>
          <w:rFonts w:asciiTheme="majorHAnsi" w:hAnsiTheme="majorHAnsi"/>
          <w:sz w:val="20"/>
          <w:szCs w:val="20"/>
        </w:rPr>
        <w:t>- экспертный опрос не является анонимным;</w:t>
      </w:r>
    </w:p>
    <w:p w:rsidR="0025196A" w:rsidRPr="0025196A" w:rsidRDefault="0025196A" w:rsidP="0025196A">
      <w:pPr>
        <w:pStyle w:val="Aacao1"/>
        <w:spacing w:before="0" w:after="0"/>
        <w:ind w:firstLine="709"/>
        <w:rPr>
          <w:rFonts w:asciiTheme="majorHAnsi" w:hAnsiTheme="majorHAnsi"/>
          <w:sz w:val="20"/>
          <w:szCs w:val="20"/>
        </w:rPr>
      </w:pPr>
      <w:r w:rsidRPr="0025196A">
        <w:rPr>
          <w:rFonts w:asciiTheme="majorHAnsi" w:hAnsiTheme="majorHAnsi"/>
          <w:sz w:val="20"/>
          <w:szCs w:val="20"/>
        </w:rPr>
        <w:t>- экспертный опрос отличается более сложным инструментарием;</w:t>
      </w:r>
    </w:p>
    <w:p w:rsidR="0025196A" w:rsidRPr="0025196A" w:rsidRDefault="0025196A" w:rsidP="0025196A">
      <w:pPr>
        <w:pStyle w:val="Aacao1"/>
        <w:spacing w:before="0" w:after="0"/>
        <w:ind w:firstLine="709"/>
        <w:rPr>
          <w:rFonts w:asciiTheme="majorHAnsi" w:hAnsiTheme="majorHAnsi"/>
          <w:sz w:val="20"/>
          <w:szCs w:val="20"/>
        </w:rPr>
      </w:pPr>
      <w:r w:rsidRPr="0025196A">
        <w:rPr>
          <w:rFonts w:asciiTheme="majorHAnsi" w:hAnsiTheme="majorHAnsi"/>
          <w:sz w:val="20"/>
          <w:szCs w:val="20"/>
        </w:rPr>
        <w:t>- труд экспертов, в отличие от труда респондентов всегда оплачивается.</w:t>
      </w:r>
    </w:p>
    <w:p w:rsidR="0025196A" w:rsidRPr="0025196A" w:rsidRDefault="0025196A" w:rsidP="0025196A">
      <w:pPr>
        <w:pStyle w:val="Aacao1"/>
        <w:spacing w:before="0" w:after="0"/>
        <w:ind w:firstLine="709"/>
        <w:rPr>
          <w:rFonts w:asciiTheme="majorHAnsi" w:hAnsiTheme="majorHAnsi"/>
          <w:sz w:val="20"/>
          <w:szCs w:val="20"/>
        </w:rPr>
      </w:pPr>
      <w:r w:rsidRPr="0025196A">
        <w:rPr>
          <w:rFonts w:asciiTheme="majorHAnsi" w:hAnsiTheme="majorHAnsi"/>
          <w:sz w:val="20"/>
          <w:szCs w:val="20"/>
        </w:rPr>
        <w:t>Выбор в определении конкретного состава экспертов надлежит руководствоваться не только и не столько компетентностью экспертов, сколько валидностью их заключений. Как свидетельствует опыт, нередки случаи, когда компетентность эксперта не дает адекватной валидности. Это объясняется многими обстоятельствами, в разной мере зависимыми от исследователя, организующего экспертный опрос и проводящего экспертизу.</w:t>
      </w:r>
      <w:r w:rsidRPr="0025196A">
        <w:rPr>
          <w:rFonts w:asciiTheme="majorHAnsi" w:hAnsiTheme="majorHAnsi"/>
          <w:sz w:val="20"/>
          <w:szCs w:val="20"/>
        </w:rPr>
        <w:footnoteReference w:id="7"/>
      </w:r>
    </w:p>
    <w:p w:rsidR="0025196A" w:rsidRPr="0025196A" w:rsidRDefault="0025196A" w:rsidP="0025196A">
      <w:pPr>
        <w:pStyle w:val="Aacao1"/>
        <w:spacing w:before="0" w:after="0"/>
        <w:ind w:firstLine="709"/>
        <w:rPr>
          <w:rFonts w:asciiTheme="majorHAnsi" w:hAnsiTheme="majorHAnsi"/>
          <w:sz w:val="20"/>
          <w:szCs w:val="20"/>
        </w:rPr>
      </w:pPr>
      <w:r w:rsidRPr="0025196A">
        <w:rPr>
          <w:rFonts w:asciiTheme="majorHAnsi" w:hAnsiTheme="majorHAnsi"/>
          <w:sz w:val="20"/>
          <w:szCs w:val="20"/>
        </w:rPr>
        <w:t>Слабость данного метода состоит в возможной неадекватности оценки. В связи с этим оценщик в настоящем Отчете ограничивается мнением специалистов (статьи, публикации, сведения сайтов Интернет …) по отдельным вопросам (определение коэффициентов и т. п.).</w:t>
      </w:r>
    </w:p>
    <w:p w:rsidR="0025196A" w:rsidRPr="0025196A" w:rsidRDefault="0025196A" w:rsidP="0025196A">
      <w:pPr>
        <w:pStyle w:val="Aacao1"/>
        <w:spacing w:before="0" w:after="0"/>
        <w:ind w:firstLine="709"/>
        <w:rPr>
          <w:rFonts w:asciiTheme="majorHAnsi" w:hAnsiTheme="majorHAnsi"/>
          <w:sz w:val="20"/>
          <w:szCs w:val="20"/>
        </w:rPr>
      </w:pPr>
      <w:r w:rsidRPr="0025196A">
        <w:rPr>
          <w:rFonts w:asciiTheme="majorHAnsi" w:hAnsiTheme="majorHAnsi"/>
          <w:sz w:val="20"/>
          <w:szCs w:val="20"/>
        </w:rPr>
        <w:t>В практике оценки довольно часто приходится обращаться к корреляционно-регрессионному анализу для решения разнообразных задач: установления связи между стоимостью и потребительскими параметрами объекта; обоснования порядка расчета.</w:t>
      </w:r>
    </w:p>
    <w:p w:rsidR="0025196A" w:rsidRPr="0025196A" w:rsidRDefault="0025196A" w:rsidP="0025196A">
      <w:pPr>
        <w:pStyle w:val="Aacao1"/>
        <w:spacing w:before="0" w:after="0"/>
        <w:ind w:firstLine="709"/>
        <w:rPr>
          <w:rFonts w:asciiTheme="majorHAnsi" w:hAnsiTheme="majorHAnsi"/>
          <w:sz w:val="20"/>
          <w:szCs w:val="20"/>
        </w:rPr>
      </w:pPr>
      <w:r w:rsidRPr="0025196A">
        <w:rPr>
          <w:rFonts w:asciiTheme="majorHAnsi" w:hAnsiTheme="majorHAnsi"/>
          <w:sz w:val="20"/>
          <w:szCs w:val="20"/>
        </w:rPr>
        <w:t>На этапах корреляционного анализа формируется выборка однородных объектов, собирается</w:t>
      </w:r>
      <w:r w:rsidRPr="0025196A">
        <w:rPr>
          <w:rFonts w:asciiTheme="majorHAnsi" w:hAnsiTheme="majorHAnsi"/>
          <w:sz w:val="20"/>
          <w:szCs w:val="20"/>
        </w:rPr>
        <w:br/>
        <w:t>исходная информация об этих объектах и отбираются основные ценообразующие параметры. Далее</w:t>
      </w:r>
      <w:r w:rsidRPr="0025196A">
        <w:rPr>
          <w:rFonts w:asciiTheme="majorHAnsi" w:hAnsiTheme="majorHAnsi"/>
          <w:sz w:val="20"/>
          <w:szCs w:val="20"/>
        </w:rPr>
        <w:br/>
        <w:t>подключаются приемы регрессионного анализа, с по</w:t>
      </w:r>
      <w:r w:rsidRPr="0025196A">
        <w:rPr>
          <w:rFonts w:asciiTheme="majorHAnsi" w:hAnsiTheme="majorHAnsi"/>
          <w:sz w:val="20"/>
          <w:szCs w:val="20"/>
        </w:rPr>
        <w:softHyphen/>
        <w:t>мощью которого выбирается вид регрессионной</w:t>
      </w:r>
      <w:r w:rsidRPr="0025196A">
        <w:rPr>
          <w:rFonts w:asciiTheme="majorHAnsi" w:hAnsiTheme="majorHAnsi"/>
          <w:sz w:val="20"/>
          <w:szCs w:val="20"/>
        </w:rPr>
        <w:br/>
        <w:t>модели, рассчи</w:t>
      </w:r>
      <w:r w:rsidRPr="0025196A">
        <w:rPr>
          <w:rFonts w:asciiTheme="majorHAnsi" w:hAnsiTheme="majorHAnsi"/>
          <w:sz w:val="20"/>
          <w:szCs w:val="20"/>
        </w:rPr>
        <w:softHyphen/>
        <w:t>тываются ее параметры и оцениваются параметры ее адекватнос</w:t>
      </w:r>
      <w:r w:rsidRPr="0025196A">
        <w:rPr>
          <w:rFonts w:asciiTheme="majorHAnsi" w:hAnsiTheme="majorHAnsi"/>
          <w:sz w:val="20"/>
          <w:szCs w:val="20"/>
        </w:rPr>
        <w:softHyphen/>
        <w:t>ти (множественный</w:t>
      </w:r>
      <w:r w:rsidRPr="0025196A">
        <w:rPr>
          <w:rFonts w:asciiTheme="majorHAnsi" w:hAnsiTheme="majorHAnsi"/>
          <w:sz w:val="20"/>
          <w:szCs w:val="20"/>
        </w:rPr>
        <w:br/>
        <w:t>коэффициент детерминации, среднеквадратическая ошибка регрессии и др.). Корреляционный и регрессионный виды анализа взаимодополняют друг друга. В настоящем Отчете методы  корреляционно-регрессионного анализа в качестве метода сравнительного подхода не используются в связи с малым размером имеющейся в открытых источниках выборки объектов исследования. Кроме того в отношении объектов коммерческой недвижимости и земельных участков построение многофакторных моделей приведёт к искажению результатов оценки в связи с отсутствием достаточных и достоверных сведений с целью построения многофакторных моделей в открытых источниках о коррелирующих  ценообразующих факторах.</w:t>
      </w:r>
    </w:p>
    <w:p w:rsidR="0025196A" w:rsidRDefault="0025196A" w:rsidP="00DF580A">
      <w:pPr>
        <w:pStyle w:val="Aacao1"/>
        <w:spacing w:before="0" w:after="0"/>
        <w:ind w:firstLine="709"/>
        <w:rPr>
          <w:rFonts w:asciiTheme="majorHAnsi" w:hAnsiTheme="majorHAnsi"/>
          <w:sz w:val="20"/>
          <w:szCs w:val="20"/>
        </w:rPr>
      </w:pPr>
      <w:r w:rsidRPr="0025196A">
        <w:rPr>
          <w:rFonts w:asciiTheme="majorHAnsi" w:hAnsiTheme="majorHAnsi"/>
          <w:sz w:val="20"/>
          <w:szCs w:val="20"/>
        </w:rPr>
        <w:t>В связи с тем, что рынок недвижимости обладает определенными особенностями (узость рынка, локализованность рынка, дифференцированность рынка) – Оценщик имеет весьма ограниченную возможность использования аналогов, с целью применения методов сравнительного подхода. В связи с этим наиболее целесообразным методом, используемом в рамках сравнительного подхода является метод, основанный на использовании ограниченного количества аналогов, скорректированных с учетом их особенностей.</w:t>
      </w:r>
    </w:p>
    <w:p w:rsidR="0025196A" w:rsidRPr="0025196A" w:rsidRDefault="0025196A" w:rsidP="0025196A">
      <w:pPr>
        <w:pStyle w:val="Aacao1"/>
        <w:spacing w:before="0" w:after="0"/>
        <w:ind w:firstLine="709"/>
        <w:rPr>
          <w:rFonts w:asciiTheme="majorHAnsi" w:hAnsiTheme="majorHAnsi"/>
          <w:sz w:val="20"/>
          <w:szCs w:val="20"/>
        </w:rPr>
      </w:pPr>
    </w:p>
    <w:p w:rsidR="00E81BFD" w:rsidRDefault="00E81BFD" w:rsidP="0025196A">
      <w:pPr>
        <w:pStyle w:val="Aacao1"/>
        <w:spacing w:before="0" w:after="0"/>
        <w:ind w:firstLine="709"/>
        <w:rPr>
          <w:rFonts w:asciiTheme="majorHAnsi" w:hAnsiTheme="majorHAnsi"/>
          <w:sz w:val="20"/>
          <w:szCs w:val="20"/>
        </w:rPr>
      </w:pPr>
    </w:p>
    <w:p w:rsidR="00E81BFD" w:rsidRDefault="00E81BFD" w:rsidP="0025196A">
      <w:pPr>
        <w:pStyle w:val="Aacao1"/>
        <w:spacing w:before="0" w:after="0"/>
        <w:ind w:firstLine="709"/>
        <w:rPr>
          <w:rFonts w:asciiTheme="majorHAnsi" w:hAnsiTheme="majorHAnsi"/>
          <w:sz w:val="20"/>
          <w:szCs w:val="20"/>
        </w:rPr>
      </w:pPr>
    </w:p>
    <w:p w:rsidR="00E81BFD" w:rsidRDefault="00E81BFD" w:rsidP="0025196A">
      <w:pPr>
        <w:pStyle w:val="Aacao1"/>
        <w:spacing w:before="0" w:after="0"/>
        <w:ind w:firstLine="709"/>
        <w:rPr>
          <w:rFonts w:asciiTheme="majorHAnsi" w:hAnsiTheme="majorHAnsi"/>
          <w:sz w:val="20"/>
          <w:szCs w:val="20"/>
        </w:rPr>
      </w:pPr>
    </w:p>
    <w:p w:rsidR="00E81BFD" w:rsidRDefault="00E81BFD" w:rsidP="0025196A">
      <w:pPr>
        <w:pStyle w:val="Aacao1"/>
        <w:spacing w:before="0" w:after="0"/>
        <w:ind w:firstLine="709"/>
        <w:rPr>
          <w:rFonts w:asciiTheme="majorHAnsi" w:hAnsiTheme="majorHAnsi"/>
          <w:sz w:val="20"/>
          <w:szCs w:val="20"/>
        </w:rPr>
      </w:pPr>
    </w:p>
    <w:p w:rsidR="0025196A" w:rsidRDefault="0025196A" w:rsidP="0025196A">
      <w:pPr>
        <w:pStyle w:val="Aacao1"/>
        <w:spacing w:before="0" w:after="0"/>
        <w:ind w:firstLine="709"/>
        <w:rPr>
          <w:rFonts w:asciiTheme="majorHAnsi" w:hAnsiTheme="majorHAnsi"/>
          <w:sz w:val="20"/>
          <w:szCs w:val="20"/>
        </w:rPr>
      </w:pPr>
      <w:r w:rsidRPr="0025196A">
        <w:rPr>
          <w:rFonts w:asciiTheme="majorHAnsi" w:hAnsiTheme="majorHAnsi"/>
          <w:sz w:val="20"/>
          <w:szCs w:val="20"/>
        </w:rPr>
        <w:lastRenderedPageBreak/>
        <w:t xml:space="preserve">Для земельных участков и ОКС </w:t>
      </w:r>
      <w:r>
        <w:rPr>
          <w:rFonts w:asciiTheme="majorHAnsi" w:hAnsiTheme="majorHAnsi"/>
          <w:sz w:val="20"/>
          <w:szCs w:val="20"/>
        </w:rPr>
        <w:t>–</w:t>
      </w:r>
    </w:p>
    <w:tbl>
      <w:tblPr>
        <w:tblW w:w="9721"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1460"/>
        <w:gridCol w:w="567"/>
        <w:gridCol w:w="2126"/>
        <w:gridCol w:w="5568"/>
      </w:tblGrid>
      <w:tr w:rsidR="0025196A" w:rsidRPr="002E54F9" w:rsidTr="00960AC6">
        <w:trPr>
          <w:trHeight w:val="447"/>
          <w:jc w:val="center"/>
        </w:trPr>
        <w:tc>
          <w:tcPr>
            <w:tcW w:w="1460" w:type="dxa"/>
            <w:tcBorders>
              <w:top w:val="double" w:sz="4" w:space="0" w:color="auto"/>
              <w:left w:val="double" w:sz="4" w:space="0" w:color="auto"/>
              <w:bottom w:val="single" w:sz="6" w:space="0" w:color="auto"/>
              <w:right w:val="single" w:sz="6" w:space="0" w:color="auto"/>
            </w:tcBorders>
            <w:shd w:val="clear" w:color="auto" w:fill="F2F2F2" w:themeFill="background1" w:themeFillShade="F2"/>
            <w:vAlign w:val="center"/>
            <w:hideMark/>
          </w:tcPr>
          <w:p w:rsidR="0025196A" w:rsidRPr="002E54F9" w:rsidRDefault="0025196A" w:rsidP="00960AC6">
            <w:pPr>
              <w:contextualSpacing/>
              <w:jc w:val="center"/>
              <w:rPr>
                <w:color w:val="000000"/>
                <w:sz w:val="18"/>
                <w:szCs w:val="18"/>
              </w:rPr>
            </w:pPr>
            <w:r w:rsidRPr="002E54F9">
              <w:rPr>
                <w:color w:val="000000"/>
                <w:sz w:val="18"/>
                <w:szCs w:val="18"/>
              </w:rPr>
              <w:t>Применяемые методы</w:t>
            </w:r>
          </w:p>
        </w:tc>
        <w:tc>
          <w:tcPr>
            <w:tcW w:w="567" w:type="dxa"/>
            <w:tcBorders>
              <w:top w:val="double" w:sz="4" w:space="0" w:color="auto"/>
              <w:left w:val="single" w:sz="6" w:space="0" w:color="auto"/>
              <w:bottom w:val="single" w:sz="6" w:space="0" w:color="auto"/>
              <w:right w:val="single" w:sz="6" w:space="0" w:color="auto"/>
            </w:tcBorders>
            <w:shd w:val="clear" w:color="auto" w:fill="F2F2F2" w:themeFill="background1" w:themeFillShade="F2"/>
            <w:vAlign w:val="center"/>
            <w:hideMark/>
          </w:tcPr>
          <w:p w:rsidR="0025196A" w:rsidRPr="002E54F9" w:rsidRDefault="0025196A" w:rsidP="00960AC6">
            <w:pPr>
              <w:ind w:left="-149" w:right="-108"/>
              <w:contextualSpacing/>
              <w:jc w:val="center"/>
              <w:rPr>
                <w:color w:val="000000"/>
                <w:sz w:val="18"/>
                <w:szCs w:val="18"/>
              </w:rPr>
            </w:pPr>
            <w:r w:rsidRPr="002E54F9">
              <w:rPr>
                <w:color w:val="000000"/>
                <w:sz w:val="18"/>
                <w:szCs w:val="18"/>
              </w:rPr>
              <w:t>Применение  *</w:t>
            </w:r>
          </w:p>
        </w:tc>
        <w:tc>
          <w:tcPr>
            <w:tcW w:w="2126" w:type="dxa"/>
            <w:tcBorders>
              <w:top w:val="double" w:sz="4" w:space="0" w:color="auto"/>
              <w:left w:val="single" w:sz="6" w:space="0" w:color="auto"/>
              <w:bottom w:val="single" w:sz="6" w:space="0" w:color="auto"/>
              <w:right w:val="single" w:sz="6" w:space="0" w:color="auto"/>
            </w:tcBorders>
            <w:shd w:val="clear" w:color="auto" w:fill="F2F2F2" w:themeFill="background1" w:themeFillShade="F2"/>
            <w:vAlign w:val="center"/>
            <w:hideMark/>
          </w:tcPr>
          <w:p w:rsidR="0025196A" w:rsidRPr="002E54F9" w:rsidRDefault="0025196A" w:rsidP="00960AC6">
            <w:pPr>
              <w:contextualSpacing/>
              <w:jc w:val="center"/>
              <w:rPr>
                <w:color w:val="000000"/>
                <w:sz w:val="18"/>
                <w:szCs w:val="18"/>
              </w:rPr>
            </w:pPr>
            <w:r w:rsidRPr="002E54F9">
              <w:rPr>
                <w:color w:val="000000"/>
                <w:sz w:val="18"/>
                <w:szCs w:val="18"/>
              </w:rPr>
              <w:t>Условие применения</w:t>
            </w:r>
          </w:p>
        </w:tc>
        <w:tc>
          <w:tcPr>
            <w:tcW w:w="5568" w:type="dxa"/>
            <w:tcBorders>
              <w:top w:val="double" w:sz="4" w:space="0" w:color="auto"/>
              <w:left w:val="single" w:sz="6" w:space="0" w:color="auto"/>
              <w:bottom w:val="single" w:sz="6" w:space="0" w:color="auto"/>
              <w:right w:val="double" w:sz="4" w:space="0" w:color="auto"/>
            </w:tcBorders>
            <w:shd w:val="clear" w:color="auto" w:fill="F2F2F2" w:themeFill="background1" w:themeFillShade="F2"/>
            <w:vAlign w:val="center"/>
            <w:hideMark/>
          </w:tcPr>
          <w:p w:rsidR="0025196A" w:rsidRPr="002E54F9" w:rsidRDefault="0025196A" w:rsidP="00960AC6">
            <w:pPr>
              <w:contextualSpacing/>
              <w:jc w:val="center"/>
              <w:rPr>
                <w:color w:val="000000"/>
                <w:sz w:val="18"/>
                <w:szCs w:val="18"/>
              </w:rPr>
            </w:pPr>
            <w:r w:rsidRPr="002E54F9">
              <w:rPr>
                <w:color w:val="000000"/>
                <w:sz w:val="18"/>
                <w:szCs w:val="18"/>
              </w:rPr>
              <w:t>Последовательность действий</w:t>
            </w:r>
          </w:p>
        </w:tc>
      </w:tr>
      <w:tr w:rsidR="0025196A" w:rsidRPr="002E54F9" w:rsidTr="0055078F">
        <w:trPr>
          <w:trHeight w:val="20"/>
          <w:jc w:val="center"/>
        </w:trPr>
        <w:tc>
          <w:tcPr>
            <w:tcW w:w="1460" w:type="dxa"/>
            <w:vMerge w:val="restart"/>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 xml:space="preserve">метод сравнения продаж (в качестве модификации </w:t>
            </w:r>
            <w:r w:rsidRPr="002E54F9">
              <w:rPr>
                <w:sz w:val="18"/>
                <w:szCs w:val="18"/>
              </w:rPr>
              <w:t>относительного сравнительного анализа)</w:t>
            </w:r>
          </w:p>
        </w:tc>
        <w:tc>
          <w:tcPr>
            <w:tcW w:w="567" w:type="dxa"/>
            <w:vMerge w:val="restart"/>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З, НЗ</w:t>
            </w:r>
          </w:p>
        </w:tc>
        <w:tc>
          <w:tcPr>
            <w:tcW w:w="2126" w:type="dxa"/>
            <w:vMerge w:val="restart"/>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наличие информации о ценах сделок (предложения) с ЗУ, являющимися аналогами оцениваемого</w:t>
            </w: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определение элементов, по которым осуществляется сравнение объекта оценки с объектами - аналогами (далее - элементов сравнения);</w:t>
            </w:r>
          </w:p>
        </w:tc>
      </w:tr>
      <w:tr w:rsidR="0025196A" w:rsidRPr="002E54F9" w:rsidTr="0055078F">
        <w:trPr>
          <w:trHeight w:val="20"/>
          <w:jc w:val="center"/>
        </w:trPr>
        <w:tc>
          <w:tcPr>
            <w:tcW w:w="1460" w:type="dxa"/>
            <w:vMerge/>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67"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2126"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определение по каждому из элементов сравнения характера и степени отличий каждого аналога от оцениваемого земельного участка;</w:t>
            </w:r>
          </w:p>
        </w:tc>
      </w:tr>
      <w:tr w:rsidR="0025196A" w:rsidRPr="002E54F9" w:rsidTr="0055078F">
        <w:trPr>
          <w:trHeight w:val="20"/>
          <w:jc w:val="center"/>
        </w:trPr>
        <w:tc>
          <w:tcPr>
            <w:tcW w:w="1460" w:type="dxa"/>
            <w:vMerge/>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67"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2126"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определение по каждому из элементов сравнения корректировок цен аналогов, соответствующих характеру и степени отличий каждого аналога от оцениваемого земельного участка;</w:t>
            </w:r>
          </w:p>
        </w:tc>
      </w:tr>
      <w:tr w:rsidR="0025196A" w:rsidRPr="002E54F9" w:rsidTr="0055078F">
        <w:trPr>
          <w:trHeight w:val="20"/>
          <w:jc w:val="center"/>
        </w:trPr>
        <w:tc>
          <w:tcPr>
            <w:tcW w:w="1460" w:type="dxa"/>
            <w:vMerge/>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67"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2126"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корректировка по каждому из элементов сравнения цен каждого аналога, сглаживающая их отличия от оцениваемого земельного участка;</w:t>
            </w:r>
          </w:p>
        </w:tc>
      </w:tr>
      <w:tr w:rsidR="0025196A" w:rsidRPr="002E54F9" w:rsidTr="0055078F">
        <w:trPr>
          <w:trHeight w:val="20"/>
          <w:jc w:val="center"/>
        </w:trPr>
        <w:tc>
          <w:tcPr>
            <w:tcW w:w="1460" w:type="dxa"/>
            <w:vMerge/>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67"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2126"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расчет рыночной стоимости земельного участка путем обоснованного обобщения скорректированных цен аналогов.</w:t>
            </w:r>
          </w:p>
        </w:tc>
      </w:tr>
      <w:tr w:rsidR="0025196A" w:rsidRPr="002E54F9" w:rsidTr="00DF580A">
        <w:trPr>
          <w:trHeight w:val="20"/>
          <w:jc w:val="center"/>
        </w:trPr>
        <w:tc>
          <w:tcPr>
            <w:tcW w:w="9721" w:type="dxa"/>
            <w:gridSpan w:val="4"/>
            <w:tcBorders>
              <w:top w:val="single" w:sz="6" w:space="0" w:color="auto"/>
              <w:left w:val="double" w:sz="4" w:space="0" w:color="auto"/>
              <w:bottom w:val="single" w:sz="6" w:space="0" w:color="auto"/>
              <w:right w:val="double" w:sz="4" w:space="0" w:color="auto"/>
            </w:tcBorders>
            <w:shd w:val="clear" w:color="auto" w:fill="F2F2F2" w:themeFill="background1" w:themeFillShade="F2"/>
            <w:vAlign w:val="center"/>
            <w:hideMark/>
          </w:tcPr>
          <w:p w:rsidR="0025196A" w:rsidRPr="002E54F9" w:rsidRDefault="0025196A" w:rsidP="00DF580A">
            <w:pPr>
              <w:contextualSpacing/>
              <w:jc w:val="center"/>
              <w:rPr>
                <w:color w:val="000000"/>
                <w:sz w:val="18"/>
                <w:szCs w:val="18"/>
              </w:rPr>
            </w:pPr>
            <w:r w:rsidRPr="002E54F9">
              <w:rPr>
                <w:color w:val="000000"/>
                <w:sz w:val="18"/>
                <w:szCs w:val="18"/>
              </w:rPr>
              <w:t xml:space="preserve">В связи с тем, что информации о сделках (предложениях) в открытых источниках достаточно, оценщик считает возможным и целесообразным применения данного метода в настоящей оценке. </w:t>
            </w:r>
          </w:p>
        </w:tc>
      </w:tr>
      <w:tr w:rsidR="0025196A" w:rsidRPr="002E54F9" w:rsidTr="0055078F">
        <w:trPr>
          <w:trHeight w:val="20"/>
          <w:jc w:val="center"/>
        </w:trPr>
        <w:tc>
          <w:tcPr>
            <w:tcW w:w="1460" w:type="dxa"/>
            <w:vMerge w:val="restart"/>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метод выделения</w:t>
            </w:r>
          </w:p>
        </w:tc>
        <w:tc>
          <w:tcPr>
            <w:tcW w:w="567" w:type="dxa"/>
            <w:vMerge w:val="restart"/>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З</w:t>
            </w:r>
          </w:p>
        </w:tc>
        <w:tc>
          <w:tcPr>
            <w:tcW w:w="2126" w:type="dxa"/>
            <w:vMerge w:val="restart"/>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наличие информации о ценах сделок (предложений) с едиными объектами недвижимости, аналогичными единому объекту недвижимости, включающему в себя оцениваемый ЗУ.</w:t>
            </w: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определение элементов, по которым осуществляется сравнение единого объекта недвижимости, включающего в себя оцениваемый земельный участок, с объектами - аналогами;</w:t>
            </w:r>
          </w:p>
        </w:tc>
      </w:tr>
      <w:tr w:rsidR="0025196A" w:rsidRPr="002E54F9" w:rsidTr="0055078F">
        <w:trPr>
          <w:trHeight w:val="20"/>
          <w:jc w:val="center"/>
        </w:trPr>
        <w:tc>
          <w:tcPr>
            <w:tcW w:w="1460" w:type="dxa"/>
            <w:vMerge/>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67"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2126"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ind w:firstLine="34"/>
              <w:contextualSpacing/>
              <w:jc w:val="center"/>
              <w:rPr>
                <w:color w:val="000000"/>
                <w:sz w:val="18"/>
                <w:szCs w:val="18"/>
              </w:rPr>
            </w:pPr>
            <w:r w:rsidRPr="002E54F9">
              <w:rPr>
                <w:color w:val="000000"/>
                <w:sz w:val="18"/>
                <w:szCs w:val="18"/>
              </w:rPr>
              <w:t>определение по каждому из элементов сравнения характера и степени отличий каждого аналога от единого объекта недвижимости, включающего в себя оцениваемый земельный участок;</w:t>
            </w:r>
          </w:p>
        </w:tc>
      </w:tr>
      <w:tr w:rsidR="0025196A" w:rsidRPr="002E54F9" w:rsidTr="0055078F">
        <w:trPr>
          <w:trHeight w:val="20"/>
          <w:jc w:val="center"/>
        </w:trPr>
        <w:tc>
          <w:tcPr>
            <w:tcW w:w="1460" w:type="dxa"/>
            <w:vMerge/>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67"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2126"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ind w:firstLine="34"/>
              <w:contextualSpacing/>
              <w:jc w:val="center"/>
              <w:rPr>
                <w:color w:val="000000"/>
                <w:sz w:val="18"/>
                <w:szCs w:val="18"/>
              </w:rPr>
            </w:pPr>
            <w:r w:rsidRPr="002E54F9">
              <w:rPr>
                <w:color w:val="000000"/>
                <w:sz w:val="18"/>
                <w:szCs w:val="18"/>
              </w:rPr>
              <w:t>определение по каждому из элементов сравнения корректировок цен аналогов, соответствующих характеру и степени отличий каждого аналога от единого объекта недвижимости, включающего в себя оцениваемый земельный участок;</w:t>
            </w:r>
          </w:p>
        </w:tc>
      </w:tr>
      <w:tr w:rsidR="0025196A" w:rsidRPr="002E54F9" w:rsidTr="0055078F">
        <w:trPr>
          <w:trHeight w:val="20"/>
          <w:jc w:val="center"/>
        </w:trPr>
        <w:tc>
          <w:tcPr>
            <w:tcW w:w="1460" w:type="dxa"/>
            <w:vMerge/>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67"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2126" w:type="dxa"/>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соответствие улучшений ЗУ его наиболее эффективному использованию</w:t>
            </w: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ind w:firstLine="34"/>
              <w:contextualSpacing/>
              <w:jc w:val="center"/>
              <w:rPr>
                <w:color w:val="000000"/>
                <w:sz w:val="18"/>
                <w:szCs w:val="18"/>
              </w:rPr>
            </w:pPr>
            <w:r w:rsidRPr="002E54F9">
              <w:rPr>
                <w:color w:val="000000"/>
                <w:sz w:val="18"/>
                <w:szCs w:val="18"/>
              </w:rPr>
              <w:t>корректировка по каждому из элементов сравнения цен каждого аналога, сглаживающая их отличия от единого объекта недвижимости, включающего в себя оцениваемый земельный участок;</w:t>
            </w:r>
          </w:p>
        </w:tc>
      </w:tr>
      <w:tr w:rsidR="0025196A" w:rsidRPr="002E54F9" w:rsidTr="0055078F">
        <w:trPr>
          <w:trHeight w:val="20"/>
          <w:jc w:val="center"/>
        </w:trPr>
        <w:tc>
          <w:tcPr>
            <w:tcW w:w="1460" w:type="dxa"/>
            <w:vMerge/>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67"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2126" w:type="dxa"/>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ind w:firstLine="34"/>
              <w:contextualSpacing/>
              <w:jc w:val="center"/>
              <w:rPr>
                <w:color w:val="000000"/>
                <w:sz w:val="18"/>
                <w:szCs w:val="18"/>
              </w:rPr>
            </w:pPr>
            <w:r w:rsidRPr="002E54F9">
              <w:rPr>
                <w:color w:val="000000"/>
                <w:sz w:val="18"/>
                <w:szCs w:val="18"/>
              </w:rPr>
              <w:t>расчет рыночной стоимости единого объекта недвижимости, включающего в себя оцениваемый земельный участок, путем обоснованного обобщения скорректированных цен аналогов;</w:t>
            </w:r>
          </w:p>
        </w:tc>
      </w:tr>
      <w:tr w:rsidR="0025196A" w:rsidRPr="002E54F9" w:rsidTr="0055078F">
        <w:trPr>
          <w:trHeight w:val="20"/>
          <w:jc w:val="center"/>
        </w:trPr>
        <w:tc>
          <w:tcPr>
            <w:tcW w:w="1460" w:type="dxa"/>
            <w:vMerge/>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67"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2126" w:type="dxa"/>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расчет стоимости замещения или стоимости воспроизводства улучшений оцениваемого земельного участка;</w:t>
            </w:r>
          </w:p>
        </w:tc>
      </w:tr>
      <w:tr w:rsidR="0025196A" w:rsidRPr="002E54F9" w:rsidTr="0055078F">
        <w:trPr>
          <w:trHeight w:val="20"/>
          <w:jc w:val="center"/>
        </w:trPr>
        <w:tc>
          <w:tcPr>
            <w:tcW w:w="1460" w:type="dxa"/>
            <w:vMerge/>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67"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2126" w:type="dxa"/>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расчет рыночной стоимости оцениваемого земельного участка путем вычитания из рыночной стоимости единого объекта недвижимости, включающего в себя оцениваемый земельный участок, стоимости замещения или стоимости воспроизводства улучшений земельного участка.</w:t>
            </w:r>
          </w:p>
        </w:tc>
      </w:tr>
      <w:tr w:rsidR="0025196A" w:rsidRPr="002E54F9" w:rsidTr="0055078F">
        <w:trPr>
          <w:trHeight w:val="20"/>
          <w:jc w:val="center"/>
        </w:trPr>
        <w:tc>
          <w:tcPr>
            <w:tcW w:w="9721" w:type="dxa"/>
            <w:gridSpan w:val="4"/>
            <w:tcBorders>
              <w:top w:val="single" w:sz="6" w:space="0" w:color="auto"/>
              <w:left w:val="double" w:sz="4" w:space="0" w:color="auto"/>
              <w:bottom w:val="single" w:sz="6" w:space="0" w:color="auto"/>
              <w:right w:val="double" w:sz="4" w:space="0" w:color="auto"/>
            </w:tcBorders>
            <w:shd w:val="clear" w:color="auto" w:fill="F2F2F2" w:themeFill="background1" w:themeFillShade="F2"/>
            <w:vAlign w:val="center"/>
            <w:hideMark/>
          </w:tcPr>
          <w:p w:rsidR="0025196A" w:rsidRPr="002E54F9" w:rsidRDefault="0025196A" w:rsidP="00DF580A">
            <w:pPr>
              <w:contextualSpacing/>
              <w:jc w:val="center"/>
              <w:rPr>
                <w:color w:val="000000"/>
                <w:sz w:val="18"/>
                <w:szCs w:val="18"/>
              </w:rPr>
            </w:pPr>
            <w:r w:rsidRPr="002E54F9">
              <w:rPr>
                <w:color w:val="000000"/>
                <w:sz w:val="18"/>
                <w:szCs w:val="18"/>
                <w:shd w:val="clear" w:color="auto" w:fill="F2F2F2"/>
              </w:rPr>
              <w:t>Данный метод не может быть использован  в настоящей оценке</w:t>
            </w:r>
          </w:p>
        </w:tc>
      </w:tr>
      <w:tr w:rsidR="0025196A" w:rsidRPr="002E54F9" w:rsidTr="0055078F">
        <w:trPr>
          <w:trHeight w:val="20"/>
          <w:jc w:val="center"/>
        </w:trPr>
        <w:tc>
          <w:tcPr>
            <w:tcW w:w="1460" w:type="dxa"/>
            <w:vMerge w:val="restart"/>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метод распределения</w:t>
            </w:r>
          </w:p>
        </w:tc>
        <w:tc>
          <w:tcPr>
            <w:tcW w:w="567" w:type="dxa"/>
            <w:vMerge w:val="restart"/>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З</w:t>
            </w:r>
          </w:p>
        </w:tc>
        <w:tc>
          <w:tcPr>
            <w:tcW w:w="2126" w:type="dxa"/>
            <w:vMerge w:val="restart"/>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наличие информации о ценах сделок (предложений) с едиными объектами недвижимости, аналогичными единому объекту недвижимости, включающему в себя оцениваемый ЗУ.</w:t>
            </w: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определение элементов, по которым осуществляется сравнение единого объекта недвижимости, включающего в себя оцениваемый земельный участок, с объектами - аналогами;</w:t>
            </w:r>
          </w:p>
        </w:tc>
      </w:tr>
      <w:tr w:rsidR="0025196A" w:rsidRPr="002E54F9" w:rsidTr="0055078F">
        <w:trPr>
          <w:trHeight w:val="20"/>
          <w:jc w:val="center"/>
        </w:trPr>
        <w:tc>
          <w:tcPr>
            <w:tcW w:w="1460" w:type="dxa"/>
            <w:vMerge/>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67"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2126"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определение по каждому из элементов сравнения характера и степени отличий каждого аналога от единого объекта недвижимости, включающего в себя оцениваемый земельный участок;</w:t>
            </w:r>
          </w:p>
        </w:tc>
      </w:tr>
      <w:tr w:rsidR="0025196A" w:rsidRPr="002E54F9" w:rsidTr="0055078F">
        <w:trPr>
          <w:trHeight w:val="20"/>
          <w:jc w:val="center"/>
        </w:trPr>
        <w:tc>
          <w:tcPr>
            <w:tcW w:w="1460" w:type="dxa"/>
            <w:vMerge/>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67"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2126"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определение по каждому из элементов сравнения корректировок цен аналогов, соответствующих характеру и степени отличий каждого аналога от единого объекта недвижимости, включающего в себя оцениваемый земельный участок;</w:t>
            </w:r>
          </w:p>
        </w:tc>
      </w:tr>
      <w:tr w:rsidR="0025196A" w:rsidRPr="002E54F9" w:rsidTr="0055078F">
        <w:trPr>
          <w:trHeight w:val="20"/>
          <w:jc w:val="center"/>
        </w:trPr>
        <w:tc>
          <w:tcPr>
            <w:tcW w:w="1460" w:type="dxa"/>
            <w:vMerge/>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67"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2126" w:type="dxa"/>
            <w:vMerge w:val="restart"/>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наличие информации о наиболее вероятной доле земельного участка в рыночной стоимости единого объекта недвижимости;</w:t>
            </w: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корректировка по каждому из элементов сравнения цен каждого аналога, сглаживающая их отличия от единого объекта недвижимости, включающего в себя оцениваемый земельный участок;</w:t>
            </w:r>
          </w:p>
        </w:tc>
      </w:tr>
      <w:tr w:rsidR="0025196A" w:rsidRPr="002E54F9" w:rsidTr="0055078F">
        <w:trPr>
          <w:trHeight w:val="20"/>
          <w:jc w:val="center"/>
        </w:trPr>
        <w:tc>
          <w:tcPr>
            <w:tcW w:w="1460" w:type="dxa"/>
            <w:vMerge/>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67"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2126"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расчет рыночной стоимости единого объекта недвижимости, включающего в себя оцениваемый земельный участок, путем обоснованного обобщения скорректированных цен аналогов;</w:t>
            </w:r>
          </w:p>
        </w:tc>
      </w:tr>
      <w:tr w:rsidR="0025196A" w:rsidRPr="002E54F9" w:rsidTr="0055078F">
        <w:trPr>
          <w:trHeight w:val="20"/>
          <w:jc w:val="center"/>
        </w:trPr>
        <w:tc>
          <w:tcPr>
            <w:tcW w:w="1460" w:type="dxa"/>
            <w:vMerge/>
            <w:tcBorders>
              <w:top w:val="single" w:sz="6" w:space="0" w:color="auto"/>
              <w:left w:val="double" w:sz="4"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567" w:type="dxa"/>
            <w:vMerge/>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rPr>
                <w:color w:val="000000"/>
                <w:sz w:val="18"/>
                <w:szCs w:val="18"/>
              </w:rPr>
            </w:pPr>
          </w:p>
        </w:tc>
        <w:tc>
          <w:tcPr>
            <w:tcW w:w="2126" w:type="dxa"/>
            <w:tcBorders>
              <w:top w:val="single" w:sz="6" w:space="0" w:color="auto"/>
              <w:left w:val="single" w:sz="6" w:space="0" w:color="auto"/>
              <w:bottom w:val="single" w:sz="6" w:space="0" w:color="auto"/>
              <w:right w:val="single" w:sz="6"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соответствие улучшений земельного участка его наиболее эффективному использованию</w:t>
            </w:r>
          </w:p>
        </w:tc>
        <w:tc>
          <w:tcPr>
            <w:tcW w:w="5568" w:type="dxa"/>
            <w:tcBorders>
              <w:top w:val="single" w:sz="6" w:space="0" w:color="auto"/>
              <w:left w:val="single" w:sz="6" w:space="0" w:color="auto"/>
              <w:bottom w:val="single" w:sz="6" w:space="0" w:color="auto"/>
              <w:right w:val="double" w:sz="4" w:space="0" w:color="auto"/>
            </w:tcBorders>
            <w:vAlign w:val="center"/>
            <w:hideMark/>
          </w:tcPr>
          <w:p w:rsidR="0025196A" w:rsidRPr="002E54F9" w:rsidRDefault="0025196A" w:rsidP="00DF580A">
            <w:pPr>
              <w:contextualSpacing/>
              <w:jc w:val="center"/>
              <w:rPr>
                <w:color w:val="000000"/>
                <w:sz w:val="18"/>
                <w:szCs w:val="18"/>
              </w:rPr>
            </w:pPr>
            <w:r w:rsidRPr="002E54F9">
              <w:rPr>
                <w:color w:val="000000"/>
                <w:sz w:val="18"/>
                <w:szCs w:val="18"/>
              </w:rPr>
              <w:t>расчет рыночной стоимости оцениваемого земельного участка путем умножения рыночной стоимости единого объекта недвижимости, включающего в себя оцениваемый земельный участок, на наиболее вероятное значение доли земельного участка в рыночной стоимости единого объекта недвижимости</w:t>
            </w:r>
          </w:p>
        </w:tc>
      </w:tr>
      <w:tr w:rsidR="0025196A" w:rsidRPr="002E54F9" w:rsidTr="0055078F">
        <w:trPr>
          <w:trHeight w:val="20"/>
          <w:jc w:val="center"/>
        </w:trPr>
        <w:tc>
          <w:tcPr>
            <w:tcW w:w="9721" w:type="dxa"/>
            <w:gridSpan w:val="4"/>
            <w:tcBorders>
              <w:top w:val="single" w:sz="6" w:space="0" w:color="auto"/>
              <w:left w:val="double" w:sz="4" w:space="0" w:color="auto"/>
              <w:bottom w:val="double" w:sz="4" w:space="0" w:color="auto"/>
              <w:right w:val="double" w:sz="4" w:space="0" w:color="auto"/>
            </w:tcBorders>
            <w:shd w:val="clear" w:color="auto" w:fill="F2F2F2" w:themeFill="background1" w:themeFillShade="F2"/>
            <w:vAlign w:val="center"/>
            <w:hideMark/>
          </w:tcPr>
          <w:p w:rsidR="0025196A" w:rsidRPr="002E54F9" w:rsidRDefault="0025196A" w:rsidP="00DF580A">
            <w:pPr>
              <w:contextualSpacing/>
              <w:jc w:val="center"/>
              <w:rPr>
                <w:color w:val="000000"/>
                <w:sz w:val="18"/>
                <w:szCs w:val="18"/>
              </w:rPr>
            </w:pPr>
            <w:r w:rsidRPr="002E54F9">
              <w:rPr>
                <w:color w:val="000000"/>
                <w:sz w:val="18"/>
                <w:szCs w:val="18"/>
              </w:rPr>
              <w:t xml:space="preserve">В </w:t>
            </w:r>
            <w:r w:rsidRPr="002E54F9">
              <w:rPr>
                <w:color w:val="000000"/>
                <w:sz w:val="18"/>
                <w:szCs w:val="18"/>
                <w:shd w:val="clear" w:color="auto" w:fill="F2F2F2"/>
              </w:rPr>
              <w:t>связи с тем, что на участке присутствуют объекты недвижимости, соответствующее наиболее эффективному использованию застроенного ЗУ, но недостаточно информации о наиболее вероятной доле земельного участка в рыночной стоимости единого объекта – данный метод не может быть использован  в настоящей оценке</w:t>
            </w:r>
          </w:p>
        </w:tc>
      </w:tr>
    </w:tbl>
    <w:p w:rsidR="0025196A" w:rsidRDefault="0025196A" w:rsidP="0025196A">
      <w:pPr>
        <w:pStyle w:val="af6"/>
        <w:spacing w:before="0" w:after="0"/>
        <w:ind w:firstLine="600"/>
        <w:rPr>
          <w:b/>
          <w:bCs/>
          <w:sz w:val="20"/>
          <w:szCs w:val="20"/>
        </w:rPr>
      </w:pPr>
    </w:p>
    <w:p w:rsidR="0025196A" w:rsidRDefault="0025196A" w:rsidP="0025196A">
      <w:pPr>
        <w:pStyle w:val="af6"/>
        <w:spacing w:before="0" w:after="0"/>
        <w:ind w:firstLine="600"/>
        <w:rPr>
          <w:sz w:val="20"/>
          <w:szCs w:val="20"/>
        </w:rPr>
      </w:pPr>
      <w:r>
        <w:rPr>
          <w:b/>
          <w:bCs/>
          <w:sz w:val="20"/>
          <w:szCs w:val="20"/>
        </w:rPr>
        <w:t xml:space="preserve">  </w:t>
      </w:r>
      <w:r w:rsidRPr="00EE316F">
        <w:rPr>
          <w:b/>
          <w:bCs/>
          <w:sz w:val="20"/>
          <w:szCs w:val="20"/>
        </w:rPr>
        <w:t>Метод сравнения продаж</w:t>
      </w:r>
      <w:r w:rsidRPr="00EE316F">
        <w:rPr>
          <w:sz w:val="20"/>
          <w:szCs w:val="20"/>
        </w:rPr>
        <w:t xml:space="preserve"> </w:t>
      </w:r>
    </w:p>
    <w:p w:rsidR="0025196A" w:rsidRPr="00EE316F" w:rsidRDefault="0025196A" w:rsidP="0025196A">
      <w:pPr>
        <w:pStyle w:val="af6"/>
        <w:spacing w:before="0" w:after="0"/>
        <w:ind w:firstLine="600"/>
        <w:rPr>
          <w:sz w:val="20"/>
          <w:szCs w:val="20"/>
        </w:rPr>
      </w:pPr>
    </w:p>
    <w:p w:rsidR="0025196A" w:rsidRPr="0025196A" w:rsidRDefault="0025196A" w:rsidP="0025196A">
      <w:pPr>
        <w:pStyle w:val="af6"/>
        <w:spacing w:before="0" w:after="0"/>
        <w:rPr>
          <w:rFonts w:asciiTheme="majorHAnsi" w:hAnsiTheme="majorHAnsi"/>
          <w:sz w:val="20"/>
          <w:szCs w:val="20"/>
          <w:lang w:eastAsia="ar-SA"/>
        </w:rPr>
      </w:pPr>
      <w:r w:rsidRPr="0025196A">
        <w:rPr>
          <w:rFonts w:asciiTheme="majorHAnsi" w:hAnsiTheme="majorHAnsi"/>
          <w:sz w:val="20"/>
          <w:szCs w:val="20"/>
          <w:lang w:eastAsia="ar-SA"/>
        </w:rPr>
        <w:t xml:space="preserve">Метод используется для оценки земельных участков, занятых строениями и сооружениями (далее – застроенных участков), и земельных участков, не занятых строениями и сооружениями (далее – незастроенных земельных участков). Условие применения метода — наличие информации о ценах сделок с незастроенными земельными участками, являющимися аналогами оцениваемого. При отсутствии достоверной информации о ценах сделок с земельными участками допускается использование цен предложений (спроса). </w:t>
      </w:r>
    </w:p>
    <w:p w:rsidR="0025196A" w:rsidRPr="0025196A" w:rsidRDefault="0025196A" w:rsidP="0025196A">
      <w:pPr>
        <w:pStyle w:val="af6"/>
        <w:spacing w:before="0" w:after="0"/>
        <w:rPr>
          <w:rFonts w:asciiTheme="majorHAnsi" w:hAnsiTheme="majorHAnsi"/>
          <w:sz w:val="20"/>
          <w:szCs w:val="20"/>
          <w:lang w:eastAsia="ar-SA"/>
        </w:rPr>
      </w:pPr>
      <w:r w:rsidRPr="0025196A">
        <w:rPr>
          <w:rFonts w:asciiTheme="majorHAnsi" w:hAnsiTheme="majorHAnsi"/>
          <w:sz w:val="20"/>
          <w:szCs w:val="20"/>
          <w:lang w:eastAsia="ar-SA"/>
        </w:rPr>
        <w:t xml:space="preserve">Метод предполагает следующую последовательность действий: </w:t>
      </w:r>
    </w:p>
    <w:p w:rsidR="0025196A" w:rsidRPr="0025196A" w:rsidRDefault="0025196A" w:rsidP="0025196A">
      <w:pPr>
        <w:pStyle w:val="af6"/>
        <w:spacing w:before="0" w:after="0"/>
        <w:rPr>
          <w:rFonts w:asciiTheme="majorHAnsi" w:hAnsiTheme="majorHAnsi"/>
          <w:sz w:val="20"/>
          <w:szCs w:val="20"/>
          <w:lang w:eastAsia="ar-SA"/>
        </w:rPr>
      </w:pPr>
      <w:r w:rsidRPr="0025196A">
        <w:rPr>
          <w:rFonts w:asciiTheme="majorHAnsi" w:hAnsiTheme="majorHAnsi"/>
          <w:sz w:val="20"/>
          <w:szCs w:val="20"/>
          <w:lang w:eastAsia="ar-SA"/>
        </w:rPr>
        <w:t xml:space="preserve">-выбор основных факторов стоимости земельного участка; </w:t>
      </w:r>
    </w:p>
    <w:p w:rsidR="0025196A" w:rsidRPr="0025196A" w:rsidRDefault="0025196A" w:rsidP="0025196A">
      <w:pPr>
        <w:pStyle w:val="af6"/>
        <w:spacing w:before="0" w:after="0"/>
        <w:rPr>
          <w:rFonts w:asciiTheme="majorHAnsi" w:hAnsiTheme="majorHAnsi"/>
          <w:sz w:val="20"/>
          <w:szCs w:val="20"/>
          <w:lang w:eastAsia="ar-SA"/>
        </w:rPr>
      </w:pPr>
      <w:r w:rsidRPr="0025196A">
        <w:rPr>
          <w:rFonts w:asciiTheme="majorHAnsi" w:hAnsiTheme="majorHAnsi"/>
          <w:sz w:val="20"/>
          <w:szCs w:val="20"/>
          <w:lang w:eastAsia="ar-SA"/>
        </w:rPr>
        <w:t xml:space="preserve">-определение цен продаж земельных участков — аналогов; </w:t>
      </w:r>
    </w:p>
    <w:p w:rsidR="0025196A" w:rsidRPr="0025196A" w:rsidRDefault="0025196A" w:rsidP="0025196A">
      <w:pPr>
        <w:pStyle w:val="af6"/>
        <w:spacing w:before="0" w:after="0"/>
        <w:rPr>
          <w:rFonts w:asciiTheme="majorHAnsi" w:hAnsiTheme="majorHAnsi"/>
          <w:sz w:val="20"/>
          <w:szCs w:val="20"/>
          <w:lang w:eastAsia="ar-SA"/>
        </w:rPr>
      </w:pPr>
      <w:r w:rsidRPr="0025196A">
        <w:rPr>
          <w:rFonts w:asciiTheme="majorHAnsi" w:hAnsiTheme="majorHAnsi"/>
          <w:sz w:val="20"/>
          <w:szCs w:val="20"/>
          <w:lang w:eastAsia="ar-SA"/>
        </w:rPr>
        <w:t xml:space="preserve">-определение характера и степени отличий каждого аналога от оцениваемого земельного участка по каждому из выбранных факторов стоимости; </w:t>
      </w:r>
    </w:p>
    <w:p w:rsidR="0025196A" w:rsidRPr="0025196A" w:rsidRDefault="0025196A" w:rsidP="0025196A">
      <w:pPr>
        <w:pStyle w:val="af6"/>
        <w:spacing w:before="0" w:after="0"/>
        <w:rPr>
          <w:rFonts w:asciiTheme="majorHAnsi" w:hAnsiTheme="majorHAnsi"/>
          <w:sz w:val="20"/>
          <w:szCs w:val="20"/>
          <w:lang w:eastAsia="ar-SA"/>
        </w:rPr>
      </w:pPr>
      <w:r w:rsidRPr="0025196A">
        <w:rPr>
          <w:rFonts w:asciiTheme="majorHAnsi" w:hAnsiTheme="majorHAnsi"/>
          <w:sz w:val="20"/>
          <w:szCs w:val="20"/>
          <w:lang w:eastAsia="ar-SA"/>
        </w:rPr>
        <w:t xml:space="preserve">-определение корректировок цен аналогов, исходя из характера и степени отличий каждого аналога от земельного участка; </w:t>
      </w:r>
    </w:p>
    <w:p w:rsidR="0025196A" w:rsidRPr="0025196A" w:rsidRDefault="0025196A" w:rsidP="0025196A">
      <w:pPr>
        <w:pStyle w:val="af6"/>
        <w:spacing w:before="0" w:after="0"/>
        <w:rPr>
          <w:rFonts w:asciiTheme="majorHAnsi" w:hAnsiTheme="majorHAnsi"/>
          <w:sz w:val="20"/>
          <w:szCs w:val="20"/>
          <w:lang w:eastAsia="ar-SA"/>
        </w:rPr>
      </w:pPr>
      <w:r w:rsidRPr="0025196A">
        <w:rPr>
          <w:rFonts w:asciiTheme="majorHAnsi" w:hAnsiTheme="majorHAnsi"/>
          <w:sz w:val="20"/>
          <w:szCs w:val="20"/>
          <w:lang w:eastAsia="ar-SA"/>
        </w:rPr>
        <w:t xml:space="preserve">-корректировка цен каждого аналога, сглаживающая отличия от оцениваемого земельного участка; </w:t>
      </w:r>
    </w:p>
    <w:p w:rsidR="0025196A" w:rsidRPr="0025196A" w:rsidRDefault="0025196A" w:rsidP="0025196A">
      <w:pPr>
        <w:pStyle w:val="af6"/>
        <w:spacing w:before="0" w:after="0"/>
        <w:rPr>
          <w:rFonts w:asciiTheme="majorHAnsi" w:hAnsiTheme="majorHAnsi"/>
          <w:sz w:val="20"/>
          <w:szCs w:val="20"/>
          <w:lang w:eastAsia="ar-SA"/>
        </w:rPr>
      </w:pPr>
      <w:r w:rsidRPr="0025196A">
        <w:rPr>
          <w:rFonts w:asciiTheme="majorHAnsi" w:hAnsiTheme="majorHAnsi"/>
          <w:sz w:val="20"/>
          <w:szCs w:val="20"/>
          <w:lang w:eastAsia="ar-SA"/>
        </w:rPr>
        <w:t xml:space="preserve">-обоснование и расчет стоимости земельного участка как средневзвешенного значения скорректированных цен аналогов. </w:t>
      </w:r>
    </w:p>
    <w:p w:rsidR="0025196A" w:rsidRPr="0025196A" w:rsidRDefault="0025196A" w:rsidP="0025196A">
      <w:pPr>
        <w:pStyle w:val="af6"/>
        <w:spacing w:before="0" w:after="0"/>
        <w:rPr>
          <w:rFonts w:asciiTheme="majorHAnsi" w:hAnsiTheme="majorHAnsi"/>
          <w:sz w:val="20"/>
          <w:szCs w:val="20"/>
          <w:lang w:eastAsia="ar-SA"/>
        </w:rPr>
      </w:pPr>
      <w:r w:rsidRPr="0025196A">
        <w:rPr>
          <w:rFonts w:asciiTheme="majorHAnsi" w:hAnsiTheme="majorHAnsi"/>
          <w:sz w:val="20"/>
          <w:szCs w:val="20"/>
          <w:lang w:eastAsia="ar-SA"/>
        </w:rPr>
        <w:t xml:space="preserve">В качестве наиболее важных факторов стоимости земельного участка, как правило, выступают: </w:t>
      </w:r>
    </w:p>
    <w:p w:rsidR="0025196A" w:rsidRPr="0025196A" w:rsidRDefault="0025196A" w:rsidP="0025196A">
      <w:pPr>
        <w:pStyle w:val="af6"/>
        <w:spacing w:before="0" w:after="0"/>
        <w:rPr>
          <w:rFonts w:asciiTheme="majorHAnsi" w:hAnsiTheme="majorHAnsi"/>
          <w:sz w:val="20"/>
          <w:szCs w:val="20"/>
          <w:lang w:eastAsia="ar-SA"/>
        </w:rPr>
      </w:pPr>
      <w:r w:rsidRPr="0025196A">
        <w:rPr>
          <w:rFonts w:asciiTheme="majorHAnsi" w:hAnsiTheme="majorHAnsi"/>
          <w:sz w:val="20"/>
          <w:szCs w:val="20"/>
          <w:lang w:eastAsia="ar-SA"/>
        </w:rPr>
        <w:t xml:space="preserve">-местоположение и окружение; </w:t>
      </w:r>
    </w:p>
    <w:p w:rsidR="0025196A" w:rsidRPr="0025196A" w:rsidRDefault="0025196A" w:rsidP="0025196A">
      <w:pPr>
        <w:pStyle w:val="af6"/>
        <w:spacing w:before="0" w:after="0"/>
        <w:rPr>
          <w:rFonts w:asciiTheme="majorHAnsi" w:hAnsiTheme="majorHAnsi"/>
          <w:sz w:val="20"/>
          <w:szCs w:val="20"/>
          <w:lang w:eastAsia="ar-SA"/>
        </w:rPr>
      </w:pPr>
      <w:r w:rsidRPr="0025196A">
        <w:rPr>
          <w:rFonts w:asciiTheme="majorHAnsi" w:hAnsiTheme="majorHAnsi"/>
          <w:sz w:val="20"/>
          <w:szCs w:val="20"/>
          <w:lang w:eastAsia="ar-SA"/>
        </w:rPr>
        <w:t xml:space="preserve">-целевое назначение, разрешенное использование, права иных лиц на земельный участок; </w:t>
      </w:r>
    </w:p>
    <w:p w:rsidR="0025196A" w:rsidRPr="0025196A" w:rsidRDefault="0025196A" w:rsidP="0025196A">
      <w:pPr>
        <w:pStyle w:val="af6"/>
        <w:spacing w:before="0" w:after="0"/>
        <w:rPr>
          <w:rFonts w:asciiTheme="majorHAnsi" w:hAnsiTheme="majorHAnsi"/>
          <w:sz w:val="20"/>
          <w:szCs w:val="20"/>
          <w:lang w:eastAsia="ar-SA"/>
        </w:rPr>
      </w:pPr>
      <w:r w:rsidRPr="0025196A">
        <w:rPr>
          <w:rFonts w:asciiTheme="majorHAnsi" w:hAnsiTheme="majorHAnsi"/>
          <w:sz w:val="20"/>
          <w:szCs w:val="20"/>
          <w:lang w:eastAsia="ar-SA"/>
        </w:rPr>
        <w:t xml:space="preserve">-физические характеристики: рельеф, размер, форма и др.; </w:t>
      </w:r>
    </w:p>
    <w:p w:rsidR="0025196A" w:rsidRPr="0025196A" w:rsidRDefault="0025196A" w:rsidP="0025196A">
      <w:pPr>
        <w:pStyle w:val="af6"/>
        <w:spacing w:before="0" w:after="0"/>
        <w:rPr>
          <w:rFonts w:asciiTheme="majorHAnsi" w:hAnsiTheme="majorHAnsi"/>
          <w:sz w:val="20"/>
          <w:szCs w:val="20"/>
          <w:lang w:eastAsia="ar-SA"/>
        </w:rPr>
      </w:pPr>
      <w:r w:rsidRPr="0025196A">
        <w:rPr>
          <w:rFonts w:asciiTheme="majorHAnsi" w:hAnsiTheme="majorHAnsi"/>
          <w:sz w:val="20"/>
          <w:szCs w:val="20"/>
          <w:lang w:eastAsia="ar-SA"/>
        </w:rPr>
        <w:t xml:space="preserve">-транспортная доступность; </w:t>
      </w:r>
    </w:p>
    <w:p w:rsidR="0025196A" w:rsidRPr="00EE316F" w:rsidRDefault="0025196A" w:rsidP="0025196A">
      <w:pPr>
        <w:pStyle w:val="af6"/>
        <w:spacing w:before="0" w:after="0"/>
        <w:rPr>
          <w:sz w:val="20"/>
          <w:szCs w:val="20"/>
        </w:rPr>
      </w:pPr>
      <w:r w:rsidRPr="0025196A">
        <w:rPr>
          <w:rFonts w:asciiTheme="majorHAnsi" w:hAnsiTheme="majorHAnsi"/>
          <w:sz w:val="20"/>
          <w:szCs w:val="20"/>
          <w:lang w:eastAsia="ar-SA"/>
        </w:rPr>
        <w:t>-доступная инфраструктура (наличие или близость инженерных сетей, условия подключения к ним и</w:t>
      </w:r>
      <w:r w:rsidRPr="00EE316F">
        <w:rPr>
          <w:sz w:val="20"/>
          <w:szCs w:val="20"/>
        </w:rPr>
        <w:t xml:space="preserve"> т.п.). </w:t>
      </w:r>
    </w:p>
    <w:p w:rsidR="0025196A" w:rsidRDefault="0025196A" w:rsidP="0025196A">
      <w:pPr>
        <w:autoSpaceDE w:val="0"/>
        <w:autoSpaceDN w:val="0"/>
        <w:adjustRightInd w:val="0"/>
        <w:ind w:firstLine="485"/>
        <w:jc w:val="both"/>
        <w:rPr>
          <w:rStyle w:val="afb"/>
          <w:sz w:val="20"/>
          <w:szCs w:val="20"/>
        </w:rPr>
      </w:pPr>
    </w:p>
    <w:p w:rsidR="0025196A" w:rsidRPr="0025196A" w:rsidRDefault="0025196A" w:rsidP="0025196A">
      <w:pPr>
        <w:autoSpaceDE w:val="0"/>
        <w:autoSpaceDN w:val="0"/>
        <w:adjustRightInd w:val="0"/>
        <w:ind w:firstLine="708"/>
        <w:jc w:val="both"/>
        <w:rPr>
          <w:rStyle w:val="afb"/>
          <w:sz w:val="20"/>
          <w:szCs w:val="20"/>
        </w:rPr>
      </w:pPr>
      <w:r w:rsidRPr="0025196A">
        <w:rPr>
          <w:rStyle w:val="afb"/>
          <w:sz w:val="20"/>
          <w:szCs w:val="20"/>
        </w:rPr>
        <w:t xml:space="preserve">Для </w:t>
      </w:r>
      <w:r w:rsidRPr="0025196A">
        <w:rPr>
          <w:rStyle w:val="afb"/>
          <w:rFonts w:ascii="Cambria" w:hAnsi="Cambria"/>
          <w:color w:val="000000" w:themeColor="text1"/>
          <w:sz w:val="20"/>
          <w:szCs w:val="20"/>
        </w:rPr>
        <w:t>оценки рыночной стоимости объектов оценки использован метод сравнения продаж,  в связи с достаточностью информации на открытом рынке об аналогичных объектах недвижимости.</w:t>
      </w:r>
    </w:p>
    <w:p w:rsidR="0025196A" w:rsidRPr="0025196A" w:rsidRDefault="0025196A" w:rsidP="0025196A">
      <w:pPr>
        <w:spacing w:before="100" w:beforeAutospacing="1" w:after="100" w:afterAutospacing="1"/>
        <w:jc w:val="center"/>
        <w:rPr>
          <w:rFonts w:asciiTheme="majorHAnsi" w:eastAsiaTheme="minorHAnsi" w:hAnsiTheme="majorHAnsi" w:cstheme="minorBidi"/>
          <w:spacing w:val="6"/>
          <w:sz w:val="20"/>
          <w:szCs w:val="23"/>
          <w:lang w:eastAsia="ar-SA"/>
        </w:rPr>
      </w:pPr>
      <w:r w:rsidRPr="0025196A">
        <w:rPr>
          <w:rFonts w:asciiTheme="majorHAnsi" w:eastAsiaTheme="minorHAnsi" w:hAnsiTheme="majorHAnsi" w:cstheme="minorBidi"/>
          <w:b/>
          <w:bCs/>
          <w:i/>
          <w:iCs/>
          <w:spacing w:val="6"/>
          <w:sz w:val="20"/>
          <w:szCs w:val="23"/>
          <w:lang w:eastAsia="ar-SA"/>
        </w:rPr>
        <w:t>Расчеты и пояснения к расчетам, обеспечивающие проверяемость выводов и результатов, указанных или полученных оценщиком в рамках сравнительного подхода</w:t>
      </w:r>
    </w:p>
    <w:p w:rsidR="0025196A" w:rsidRDefault="0025196A" w:rsidP="0025196A">
      <w:pPr>
        <w:jc w:val="center"/>
        <w:rPr>
          <w:rFonts w:asciiTheme="majorHAnsi" w:eastAsiaTheme="minorHAnsi" w:hAnsiTheme="majorHAnsi" w:cstheme="minorBidi"/>
          <w:b/>
          <w:bCs/>
          <w:spacing w:val="6"/>
          <w:sz w:val="20"/>
          <w:szCs w:val="23"/>
          <w:lang w:eastAsia="ar-SA"/>
        </w:rPr>
      </w:pPr>
      <w:r w:rsidRPr="0025196A">
        <w:rPr>
          <w:rFonts w:asciiTheme="majorHAnsi" w:eastAsiaTheme="minorHAnsi" w:hAnsiTheme="majorHAnsi" w:cstheme="minorBidi"/>
          <w:b/>
          <w:bCs/>
          <w:spacing w:val="6"/>
          <w:sz w:val="20"/>
          <w:szCs w:val="23"/>
          <w:lang w:eastAsia="ar-SA"/>
        </w:rPr>
        <w:t>Метод сравнения продаж</w:t>
      </w:r>
    </w:p>
    <w:p w:rsidR="0025196A" w:rsidRPr="0025196A" w:rsidRDefault="0025196A" w:rsidP="0025196A">
      <w:pPr>
        <w:ind w:firstLine="709"/>
        <w:jc w:val="both"/>
        <w:rPr>
          <w:rFonts w:asciiTheme="majorHAnsi" w:eastAsiaTheme="minorHAnsi" w:hAnsiTheme="majorHAnsi" w:cstheme="minorBidi"/>
          <w:spacing w:val="6"/>
          <w:sz w:val="20"/>
          <w:szCs w:val="23"/>
          <w:lang w:eastAsia="ar-SA"/>
        </w:rPr>
      </w:pPr>
    </w:p>
    <w:p w:rsidR="0025196A" w:rsidRPr="0025196A" w:rsidRDefault="0025196A" w:rsidP="0025196A">
      <w:pPr>
        <w:ind w:firstLine="709"/>
        <w:jc w:val="both"/>
        <w:rPr>
          <w:rFonts w:asciiTheme="majorHAnsi" w:eastAsiaTheme="minorHAnsi" w:hAnsiTheme="majorHAnsi" w:cstheme="minorBidi"/>
          <w:spacing w:val="6"/>
          <w:sz w:val="20"/>
          <w:szCs w:val="23"/>
          <w:lang w:eastAsia="ar-SA"/>
        </w:rPr>
      </w:pPr>
      <w:r w:rsidRPr="0025196A">
        <w:rPr>
          <w:rFonts w:asciiTheme="majorHAnsi" w:eastAsiaTheme="minorHAnsi" w:hAnsiTheme="majorHAnsi" w:cstheme="minorBidi"/>
          <w:spacing w:val="6"/>
          <w:sz w:val="20"/>
          <w:szCs w:val="23"/>
          <w:lang w:eastAsia="ar-SA"/>
        </w:rPr>
        <w:t xml:space="preserve">Чтобы применить, сравнительный подход оценщиком проведено исследование рынка, к которому относятся оцениваемые объекты для подбора вариантов сравнения осуществлённых продаж аналогичных или схожих объектов. По информации предоставленной риэлторскими фирмами, сайтов Интернет проанализированы предложения на продажу земельных участков и нежилых помещений, близких по своим свойствам к оцениваемым. </w:t>
      </w:r>
    </w:p>
    <w:p w:rsidR="0025196A" w:rsidRPr="0025196A" w:rsidRDefault="0025196A" w:rsidP="0025196A">
      <w:pPr>
        <w:ind w:firstLine="709"/>
        <w:jc w:val="both"/>
        <w:rPr>
          <w:rFonts w:asciiTheme="majorHAnsi" w:eastAsiaTheme="minorHAnsi" w:hAnsiTheme="majorHAnsi" w:cstheme="minorBidi"/>
          <w:spacing w:val="6"/>
          <w:sz w:val="20"/>
          <w:szCs w:val="23"/>
          <w:lang w:eastAsia="ar-SA"/>
        </w:rPr>
      </w:pPr>
      <w:r w:rsidRPr="0025196A">
        <w:rPr>
          <w:rFonts w:asciiTheme="majorHAnsi" w:eastAsiaTheme="minorHAnsi" w:hAnsiTheme="majorHAnsi" w:cstheme="minorBidi"/>
          <w:spacing w:val="6"/>
          <w:sz w:val="20"/>
          <w:szCs w:val="23"/>
          <w:lang w:eastAsia="ar-SA"/>
        </w:rPr>
        <w:t xml:space="preserve">В основу заложена стоимость земельных участков категории «земли населенных пунктов», расположенных в районах, наиболее схожих с районом расположения объекта оценки по инфраструктуре, застройке, человек потокам, на дату в пределах идентичного ценового периода до даты оценки (текущую дату). </w:t>
      </w:r>
    </w:p>
    <w:p w:rsidR="00C05317" w:rsidRDefault="0025196A" w:rsidP="00960AC6">
      <w:pPr>
        <w:ind w:firstLine="709"/>
        <w:jc w:val="both"/>
        <w:rPr>
          <w:rFonts w:asciiTheme="majorHAnsi" w:eastAsiaTheme="minorHAnsi" w:hAnsiTheme="majorHAnsi" w:cstheme="minorBidi"/>
          <w:spacing w:val="6"/>
          <w:sz w:val="20"/>
          <w:szCs w:val="23"/>
          <w:lang w:eastAsia="ar-SA"/>
        </w:rPr>
      </w:pPr>
      <w:r w:rsidRPr="0025196A">
        <w:rPr>
          <w:rFonts w:asciiTheme="majorHAnsi" w:eastAsiaTheme="minorHAnsi" w:hAnsiTheme="majorHAnsi" w:cstheme="minorBidi"/>
          <w:spacing w:val="6"/>
          <w:sz w:val="20"/>
          <w:szCs w:val="23"/>
          <w:lang w:eastAsia="ar-SA"/>
        </w:rPr>
        <w:t>В последующем значения данных аналогов скорректированы в соответствии с характеристиками аналогов (см. по тексту).</w:t>
      </w:r>
    </w:p>
    <w:p w:rsidR="00960AC6" w:rsidRDefault="00960AC6" w:rsidP="00960AC6">
      <w:pPr>
        <w:spacing w:before="120" w:after="120"/>
        <w:jc w:val="center"/>
        <w:rPr>
          <w:rFonts w:asciiTheme="majorHAnsi" w:eastAsiaTheme="minorHAnsi" w:hAnsiTheme="majorHAnsi" w:cstheme="minorBidi"/>
          <w:sz w:val="20"/>
          <w:szCs w:val="22"/>
          <w:lang w:eastAsia="en-US"/>
        </w:rPr>
      </w:pPr>
      <w:r w:rsidRPr="00F854F5">
        <w:rPr>
          <w:rFonts w:asciiTheme="majorHAnsi" w:eastAsiaTheme="minorHAnsi" w:hAnsiTheme="majorHAnsi" w:cstheme="minorBidi"/>
          <w:b/>
          <w:bCs/>
          <w:sz w:val="20"/>
          <w:szCs w:val="22"/>
          <w:lang w:eastAsia="en-US"/>
        </w:rPr>
        <w:t xml:space="preserve">Метод сравнения продаж для </w:t>
      </w:r>
      <w:r>
        <w:rPr>
          <w:rFonts w:asciiTheme="majorHAnsi" w:eastAsiaTheme="minorHAnsi" w:hAnsiTheme="majorHAnsi" w:cstheme="minorBidi"/>
          <w:b/>
          <w:bCs/>
          <w:sz w:val="20"/>
          <w:szCs w:val="22"/>
          <w:lang w:eastAsia="en-US"/>
        </w:rPr>
        <w:t>земельн</w:t>
      </w:r>
      <w:r w:rsidR="00E81BFD">
        <w:rPr>
          <w:rFonts w:asciiTheme="majorHAnsi" w:eastAsiaTheme="minorHAnsi" w:hAnsiTheme="majorHAnsi" w:cstheme="minorBidi"/>
          <w:b/>
          <w:bCs/>
          <w:sz w:val="20"/>
          <w:szCs w:val="22"/>
          <w:lang w:eastAsia="en-US"/>
        </w:rPr>
        <w:t>ых</w:t>
      </w:r>
      <w:r>
        <w:rPr>
          <w:rFonts w:asciiTheme="majorHAnsi" w:eastAsiaTheme="minorHAnsi" w:hAnsiTheme="majorHAnsi" w:cstheme="minorBidi"/>
          <w:b/>
          <w:bCs/>
          <w:sz w:val="20"/>
          <w:szCs w:val="22"/>
          <w:lang w:eastAsia="en-US"/>
        </w:rPr>
        <w:t xml:space="preserve"> участк</w:t>
      </w:r>
      <w:r w:rsidR="00E81BFD">
        <w:rPr>
          <w:rFonts w:asciiTheme="majorHAnsi" w:eastAsiaTheme="minorHAnsi" w:hAnsiTheme="majorHAnsi" w:cstheme="minorBidi"/>
          <w:b/>
          <w:bCs/>
          <w:sz w:val="20"/>
          <w:szCs w:val="22"/>
          <w:lang w:eastAsia="en-US"/>
        </w:rPr>
        <w:t>ов</w:t>
      </w:r>
    </w:p>
    <w:p w:rsidR="00007373" w:rsidRDefault="00007373" w:rsidP="00960AC6">
      <w:pPr>
        <w:spacing w:before="120" w:after="120"/>
        <w:jc w:val="center"/>
        <w:rPr>
          <w:rFonts w:asciiTheme="majorHAnsi" w:hAnsiTheme="majorHAnsi"/>
          <w:b/>
          <w:bCs/>
          <w:i/>
          <w:sz w:val="20"/>
          <w:szCs w:val="20"/>
        </w:rPr>
      </w:pPr>
      <w:r>
        <w:rPr>
          <w:rFonts w:asciiTheme="majorHAnsi" w:hAnsiTheme="majorHAnsi"/>
          <w:b/>
          <w:bCs/>
          <w:i/>
          <w:sz w:val="20"/>
          <w:szCs w:val="20"/>
        </w:rPr>
        <w:t xml:space="preserve">В настоящей оценке стоимость земельных участков рассчитывается условно для последующего определения стоимости ОКС. В связи с тем, что земельные участки, на которых расположены оцениваемые ОКС, находятся в бессрочном пользовании, их реализация на открытом рынке не предоставляется возможным. </w:t>
      </w:r>
    </w:p>
    <w:p w:rsidR="00C05317" w:rsidRPr="00960AC6" w:rsidRDefault="00960AC6" w:rsidP="00960AC6">
      <w:pPr>
        <w:spacing w:before="120" w:after="120"/>
        <w:jc w:val="center"/>
        <w:rPr>
          <w:rFonts w:asciiTheme="majorHAnsi" w:eastAsiaTheme="minorHAnsi" w:hAnsiTheme="majorHAnsi" w:cstheme="minorBidi"/>
          <w:sz w:val="20"/>
          <w:szCs w:val="22"/>
          <w:lang w:eastAsia="en-US"/>
        </w:rPr>
      </w:pPr>
      <w:r>
        <w:rPr>
          <w:rFonts w:asciiTheme="majorHAnsi" w:hAnsiTheme="majorHAnsi"/>
          <w:b/>
          <w:bCs/>
          <w:i/>
          <w:sz w:val="20"/>
          <w:szCs w:val="20"/>
        </w:rPr>
        <w:br/>
      </w:r>
      <w:r w:rsidRPr="00960AC6">
        <w:rPr>
          <w:rFonts w:asciiTheme="majorHAnsi" w:eastAsiaTheme="minorHAnsi" w:hAnsiTheme="majorHAnsi" w:cstheme="minorBidi"/>
          <w:b/>
          <w:bCs/>
          <w:sz w:val="20"/>
          <w:szCs w:val="22"/>
          <w:lang w:eastAsia="en-US"/>
        </w:rPr>
        <w:t>ПОДБОР АНАЛОГОВ ДЛЯ ЗЕМЕЛЬНОГО УЧАСТКА</w:t>
      </w:r>
    </w:p>
    <w:p w:rsidR="00E81BFD" w:rsidRPr="00056975" w:rsidRDefault="00E81BFD" w:rsidP="00E81BFD">
      <w:pPr>
        <w:ind w:firstLine="709"/>
        <w:jc w:val="both"/>
        <w:rPr>
          <w:rFonts w:asciiTheme="majorHAnsi" w:eastAsiaTheme="minorHAnsi" w:hAnsiTheme="majorHAnsi" w:cstheme="minorBidi"/>
          <w:spacing w:val="6"/>
          <w:sz w:val="20"/>
          <w:szCs w:val="23"/>
          <w:lang w:eastAsia="ar-SA"/>
        </w:rPr>
      </w:pPr>
      <w:r w:rsidRPr="00056975">
        <w:rPr>
          <w:rFonts w:asciiTheme="majorHAnsi" w:eastAsiaTheme="minorHAnsi" w:hAnsiTheme="majorHAnsi" w:cstheme="minorBidi"/>
          <w:spacing w:val="6"/>
          <w:sz w:val="20"/>
          <w:szCs w:val="23"/>
          <w:lang w:eastAsia="ar-SA"/>
        </w:rPr>
        <w:t>В рамках расчета стоимости зу</w:t>
      </w:r>
      <w:r>
        <w:rPr>
          <w:rFonts w:asciiTheme="majorHAnsi" w:eastAsiaTheme="minorHAnsi" w:hAnsiTheme="majorHAnsi" w:cstheme="minorBidi"/>
          <w:spacing w:val="6"/>
          <w:sz w:val="20"/>
          <w:szCs w:val="23"/>
          <w:lang w:eastAsia="ar-SA"/>
        </w:rPr>
        <w:t>,</w:t>
      </w:r>
      <w:r w:rsidRPr="00056975">
        <w:rPr>
          <w:rFonts w:asciiTheme="majorHAnsi" w:eastAsiaTheme="minorHAnsi" w:hAnsiTheme="majorHAnsi" w:cstheme="minorBidi"/>
          <w:spacing w:val="6"/>
          <w:sz w:val="20"/>
          <w:szCs w:val="23"/>
          <w:lang w:eastAsia="ar-SA"/>
        </w:rPr>
        <w:t xml:space="preserve"> в качестве объектов-аналогов Оценщик счел целесообразным использовать зу населенных пунктов </w:t>
      </w:r>
      <w:r>
        <w:rPr>
          <w:rFonts w:asciiTheme="majorHAnsi" w:eastAsiaTheme="minorHAnsi" w:hAnsiTheme="majorHAnsi" w:cstheme="minorBidi"/>
          <w:spacing w:val="6"/>
          <w:sz w:val="20"/>
          <w:szCs w:val="23"/>
          <w:lang w:eastAsia="ar-SA"/>
        </w:rPr>
        <w:t>с различными видами использования</w:t>
      </w:r>
      <w:r w:rsidRPr="00056975">
        <w:rPr>
          <w:rFonts w:asciiTheme="majorHAnsi" w:eastAsiaTheme="minorHAnsi" w:hAnsiTheme="majorHAnsi" w:cstheme="minorBidi"/>
          <w:spacing w:val="6"/>
          <w:sz w:val="20"/>
          <w:szCs w:val="23"/>
          <w:lang w:eastAsia="ar-SA"/>
        </w:rPr>
        <w:t>, исходя из логики того, что вариант разрешенного использования (далее по тексту ВРИ) не является в чистом виде ценообразующим фактором по следующим причинам:</w:t>
      </w:r>
    </w:p>
    <w:p w:rsidR="00E81BFD" w:rsidRPr="00056975" w:rsidRDefault="00E81BFD" w:rsidP="00E81BFD">
      <w:pPr>
        <w:ind w:firstLine="709"/>
        <w:jc w:val="both"/>
        <w:rPr>
          <w:rFonts w:asciiTheme="majorHAnsi" w:eastAsiaTheme="minorHAnsi" w:hAnsiTheme="majorHAnsi" w:cstheme="minorBidi"/>
          <w:spacing w:val="6"/>
          <w:sz w:val="20"/>
          <w:szCs w:val="23"/>
          <w:lang w:eastAsia="ar-SA"/>
        </w:rPr>
      </w:pPr>
      <w:r w:rsidRPr="00056975">
        <w:rPr>
          <w:rFonts w:asciiTheme="majorHAnsi" w:eastAsiaTheme="minorHAnsi" w:hAnsiTheme="majorHAnsi" w:cstheme="minorBidi"/>
          <w:spacing w:val="6"/>
          <w:sz w:val="20"/>
          <w:szCs w:val="23"/>
          <w:lang w:eastAsia="ar-SA"/>
        </w:rPr>
        <w:t xml:space="preserve">1.1. ВРИ может быть изменен без значительных временных и материальных затрат. Изменение видов разрешенного использования земельных участков и объектов капитального строительства на территории городского или сельского поселения может осуществляться </w:t>
      </w:r>
      <w:r w:rsidRPr="00056975">
        <w:rPr>
          <w:rFonts w:asciiTheme="majorHAnsi" w:eastAsiaTheme="minorHAnsi" w:hAnsiTheme="majorHAnsi" w:cstheme="minorBidi"/>
          <w:spacing w:val="6"/>
          <w:sz w:val="20"/>
          <w:szCs w:val="23"/>
          <w:lang w:eastAsia="ar-SA"/>
        </w:rPr>
        <w:lastRenderedPageBreak/>
        <w:t xml:space="preserve">правообладателями земельных участков и объектов капитального строительства, без дополнительных разрешений и согласований, если применяемые в результате этого изменения ВРИ указаны в градостроительном регламенте в качестве основных ВРИ или являются вспомогательными по отношению к существующим основным или условно разрешенным видам использования. Подробно об основных и вспомогательных ВРИ – в Градостроительном кодексе РФ, Глава 4, статья 30, 37. </w:t>
      </w:r>
    </w:p>
    <w:p w:rsidR="00E81BFD" w:rsidRPr="00056975" w:rsidRDefault="00E81BFD" w:rsidP="00E81BFD">
      <w:pPr>
        <w:ind w:firstLine="709"/>
        <w:jc w:val="both"/>
        <w:rPr>
          <w:rFonts w:asciiTheme="majorHAnsi" w:eastAsiaTheme="minorHAnsi" w:hAnsiTheme="majorHAnsi" w:cstheme="minorBidi"/>
          <w:spacing w:val="6"/>
          <w:sz w:val="20"/>
          <w:szCs w:val="23"/>
          <w:lang w:eastAsia="ar-SA"/>
        </w:rPr>
      </w:pPr>
      <w:r w:rsidRPr="00056975">
        <w:rPr>
          <w:rFonts w:asciiTheme="majorHAnsi" w:eastAsiaTheme="minorHAnsi" w:hAnsiTheme="majorHAnsi" w:cstheme="minorBidi"/>
          <w:spacing w:val="6"/>
          <w:sz w:val="20"/>
          <w:szCs w:val="23"/>
          <w:lang w:eastAsia="ar-SA"/>
        </w:rPr>
        <w:t>1.2. В рыночном обороте в коммерческих предложениях по продаже часто используются термины типа функционального назначения, при этом продавцы зачастую ВРИ не указывают, что дополнительно подтверждает вышеуказанные выводы. Например, в крупнейших базах по данному фактору имеются следующие классификации земельных участков:</w:t>
      </w:r>
    </w:p>
    <w:p w:rsidR="00E81BFD" w:rsidRPr="00056975" w:rsidRDefault="00E81BFD" w:rsidP="00E81BFD">
      <w:pPr>
        <w:ind w:firstLine="709"/>
        <w:jc w:val="both"/>
        <w:rPr>
          <w:rFonts w:asciiTheme="majorHAnsi" w:eastAsiaTheme="minorHAnsi" w:hAnsiTheme="majorHAnsi" w:cstheme="minorBidi"/>
          <w:spacing w:val="6"/>
          <w:sz w:val="20"/>
          <w:szCs w:val="23"/>
          <w:lang w:eastAsia="ar-SA"/>
        </w:rPr>
      </w:pPr>
      <w:r w:rsidRPr="00056975">
        <w:rPr>
          <w:rFonts w:asciiTheme="majorHAnsi" w:eastAsiaTheme="minorHAnsi" w:hAnsiTheme="majorHAnsi" w:cstheme="minorBidi"/>
          <w:spacing w:val="6"/>
          <w:sz w:val="20"/>
          <w:szCs w:val="23"/>
          <w:lang w:eastAsia="ar-SA"/>
        </w:rPr>
        <w:t>•</w:t>
      </w:r>
      <w:r w:rsidRPr="00056975">
        <w:rPr>
          <w:rFonts w:asciiTheme="majorHAnsi" w:eastAsiaTheme="minorHAnsi" w:hAnsiTheme="majorHAnsi" w:cstheme="minorBidi"/>
          <w:spacing w:val="6"/>
          <w:sz w:val="20"/>
          <w:szCs w:val="23"/>
          <w:lang w:eastAsia="ar-SA"/>
        </w:rPr>
        <w:tab/>
        <w:t>realty.dmir.ru – коммерческие, некоммерческие;</w:t>
      </w:r>
    </w:p>
    <w:p w:rsidR="00E81BFD" w:rsidRPr="00056975" w:rsidRDefault="00E81BFD" w:rsidP="00E81BFD">
      <w:pPr>
        <w:ind w:firstLine="709"/>
        <w:jc w:val="both"/>
        <w:rPr>
          <w:rFonts w:asciiTheme="majorHAnsi" w:eastAsiaTheme="minorHAnsi" w:hAnsiTheme="majorHAnsi" w:cstheme="minorBidi"/>
          <w:spacing w:val="6"/>
          <w:sz w:val="20"/>
          <w:szCs w:val="23"/>
          <w:lang w:eastAsia="ar-SA"/>
        </w:rPr>
      </w:pPr>
      <w:r w:rsidRPr="00056975">
        <w:rPr>
          <w:rFonts w:asciiTheme="majorHAnsi" w:eastAsiaTheme="minorHAnsi" w:hAnsiTheme="majorHAnsi" w:cstheme="minorBidi"/>
          <w:spacing w:val="6"/>
          <w:sz w:val="20"/>
          <w:szCs w:val="23"/>
          <w:lang w:eastAsia="ar-SA"/>
        </w:rPr>
        <w:t>•</w:t>
      </w:r>
      <w:r w:rsidRPr="00056975">
        <w:rPr>
          <w:rFonts w:asciiTheme="majorHAnsi" w:eastAsiaTheme="minorHAnsi" w:hAnsiTheme="majorHAnsi" w:cstheme="minorBidi"/>
          <w:spacing w:val="6"/>
          <w:sz w:val="20"/>
          <w:szCs w:val="23"/>
          <w:lang w:eastAsia="ar-SA"/>
        </w:rPr>
        <w:tab/>
        <w:t>www.cian.ru – СНТ, ИЖС, промназначения;</w:t>
      </w:r>
    </w:p>
    <w:p w:rsidR="00E81BFD" w:rsidRPr="00056975" w:rsidRDefault="00E81BFD" w:rsidP="00E81BFD">
      <w:pPr>
        <w:ind w:firstLine="709"/>
        <w:jc w:val="both"/>
        <w:rPr>
          <w:rFonts w:asciiTheme="majorHAnsi" w:eastAsiaTheme="minorHAnsi" w:hAnsiTheme="majorHAnsi" w:cstheme="minorBidi"/>
          <w:spacing w:val="6"/>
          <w:sz w:val="20"/>
          <w:szCs w:val="23"/>
          <w:lang w:eastAsia="ar-SA"/>
        </w:rPr>
      </w:pPr>
      <w:r w:rsidRPr="00056975">
        <w:rPr>
          <w:rFonts w:asciiTheme="majorHAnsi" w:eastAsiaTheme="minorHAnsi" w:hAnsiTheme="majorHAnsi" w:cstheme="minorBidi"/>
          <w:spacing w:val="6"/>
          <w:sz w:val="20"/>
          <w:szCs w:val="23"/>
          <w:lang w:eastAsia="ar-SA"/>
        </w:rPr>
        <w:t>•</w:t>
      </w:r>
      <w:r w:rsidRPr="00056975">
        <w:rPr>
          <w:rFonts w:asciiTheme="majorHAnsi" w:eastAsiaTheme="minorHAnsi" w:hAnsiTheme="majorHAnsi" w:cstheme="minorBidi"/>
          <w:spacing w:val="6"/>
          <w:sz w:val="20"/>
          <w:szCs w:val="23"/>
          <w:lang w:eastAsia="ar-SA"/>
        </w:rPr>
        <w:tab/>
        <w:t>www.avito.ru – поселений, сельхозназначения, промназначения;</w:t>
      </w:r>
    </w:p>
    <w:p w:rsidR="00E81BFD" w:rsidRPr="00056975" w:rsidRDefault="00E81BFD" w:rsidP="00E81BFD">
      <w:pPr>
        <w:ind w:firstLine="709"/>
        <w:jc w:val="both"/>
        <w:rPr>
          <w:rFonts w:asciiTheme="majorHAnsi" w:eastAsiaTheme="minorHAnsi" w:hAnsiTheme="majorHAnsi" w:cstheme="minorBidi"/>
          <w:spacing w:val="6"/>
          <w:sz w:val="20"/>
          <w:szCs w:val="23"/>
          <w:lang w:eastAsia="ar-SA"/>
        </w:rPr>
      </w:pPr>
      <w:r w:rsidRPr="00056975">
        <w:rPr>
          <w:rFonts w:asciiTheme="majorHAnsi" w:eastAsiaTheme="minorHAnsi" w:hAnsiTheme="majorHAnsi" w:cstheme="minorBidi"/>
          <w:spacing w:val="6"/>
          <w:sz w:val="20"/>
          <w:szCs w:val="23"/>
          <w:lang w:eastAsia="ar-SA"/>
        </w:rPr>
        <w:t>•</w:t>
      </w:r>
      <w:r w:rsidRPr="00056975">
        <w:rPr>
          <w:rFonts w:asciiTheme="majorHAnsi" w:eastAsiaTheme="minorHAnsi" w:hAnsiTheme="majorHAnsi" w:cstheme="minorBidi"/>
          <w:spacing w:val="6"/>
          <w:sz w:val="20"/>
          <w:szCs w:val="23"/>
          <w:lang w:eastAsia="ar-SA"/>
        </w:rPr>
        <w:tab/>
        <w:t>irr.ru– населенных пунктов, сельхозназначения, промназначения, особохраняемые, водный, лесной фонд.</w:t>
      </w:r>
    </w:p>
    <w:p w:rsidR="00E81BFD" w:rsidRDefault="00E81BFD" w:rsidP="00E81BFD">
      <w:pPr>
        <w:ind w:firstLine="708"/>
        <w:jc w:val="both"/>
        <w:rPr>
          <w:rFonts w:asciiTheme="majorHAnsi" w:eastAsiaTheme="minorHAnsi" w:hAnsiTheme="majorHAnsi" w:cstheme="minorBidi"/>
          <w:b/>
          <w:bCs/>
          <w:sz w:val="20"/>
          <w:szCs w:val="22"/>
          <w:lang w:eastAsia="en-US"/>
        </w:rPr>
      </w:pPr>
    </w:p>
    <w:p w:rsidR="00E81BFD" w:rsidRPr="002A2FD5" w:rsidRDefault="00E81BFD" w:rsidP="00E81BFD">
      <w:pPr>
        <w:ind w:firstLine="708"/>
        <w:jc w:val="both"/>
        <w:rPr>
          <w:rFonts w:asciiTheme="majorHAnsi" w:eastAsiaTheme="minorHAnsi" w:hAnsiTheme="majorHAnsi" w:cstheme="minorBidi"/>
          <w:b/>
          <w:spacing w:val="6"/>
          <w:sz w:val="20"/>
          <w:szCs w:val="23"/>
          <w:lang w:eastAsia="ar-SA"/>
        </w:rPr>
      </w:pPr>
      <w:r w:rsidRPr="002A2FD5">
        <w:rPr>
          <w:rFonts w:asciiTheme="majorHAnsi" w:eastAsiaTheme="minorHAnsi" w:hAnsiTheme="majorHAnsi" w:cstheme="minorBidi"/>
          <w:b/>
          <w:spacing w:val="6"/>
          <w:sz w:val="20"/>
          <w:szCs w:val="23"/>
          <w:lang w:eastAsia="ar-SA"/>
        </w:rPr>
        <w:t>На основании вышеприведенной информации, в целях настоящей оценки</w:t>
      </w:r>
      <w:r>
        <w:rPr>
          <w:rFonts w:asciiTheme="majorHAnsi" w:eastAsiaTheme="minorHAnsi" w:hAnsiTheme="majorHAnsi" w:cstheme="minorBidi"/>
          <w:b/>
          <w:spacing w:val="6"/>
          <w:sz w:val="20"/>
          <w:szCs w:val="23"/>
          <w:lang w:eastAsia="ar-SA"/>
        </w:rPr>
        <w:t>,</w:t>
      </w:r>
      <w:r w:rsidRPr="002A2FD5">
        <w:rPr>
          <w:rFonts w:asciiTheme="majorHAnsi" w:eastAsiaTheme="minorHAnsi" w:hAnsiTheme="majorHAnsi" w:cstheme="minorBidi"/>
          <w:b/>
          <w:spacing w:val="6"/>
          <w:sz w:val="20"/>
          <w:szCs w:val="23"/>
          <w:lang w:eastAsia="ar-SA"/>
        </w:rPr>
        <w:t xml:space="preserve"> корректировка на ВРИ</w:t>
      </w:r>
      <w:r>
        <w:rPr>
          <w:rFonts w:asciiTheme="majorHAnsi" w:eastAsiaTheme="minorHAnsi" w:hAnsiTheme="majorHAnsi" w:cstheme="minorBidi"/>
          <w:b/>
          <w:spacing w:val="6"/>
          <w:sz w:val="20"/>
          <w:szCs w:val="23"/>
          <w:lang w:eastAsia="ar-SA"/>
        </w:rPr>
        <w:t xml:space="preserve"> з.уч. </w:t>
      </w:r>
      <w:r w:rsidRPr="002A2FD5">
        <w:rPr>
          <w:rFonts w:asciiTheme="majorHAnsi" w:eastAsiaTheme="minorHAnsi" w:hAnsiTheme="majorHAnsi" w:cstheme="minorBidi"/>
          <w:b/>
          <w:spacing w:val="6"/>
          <w:sz w:val="20"/>
          <w:szCs w:val="23"/>
          <w:lang w:eastAsia="ar-SA"/>
        </w:rPr>
        <w:t xml:space="preserve"> не применялась.</w:t>
      </w:r>
    </w:p>
    <w:p w:rsidR="00960AC6" w:rsidRDefault="00960AC6" w:rsidP="0096749E">
      <w:pPr>
        <w:rPr>
          <w:rFonts w:asciiTheme="majorHAnsi" w:hAnsiTheme="majorHAnsi"/>
          <w:sz w:val="20"/>
          <w:szCs w:val="20"/>
        </w:rPr>
      </w:pPr>
    </w:p>
    <w:p w:rsidR="0096749E" w:rsidRDefault="0096749E" w:rsidP="0096749E">
      <w:pPr>
        <w:rPr>
          <w:rFonts w:asciiTheme="majorHAnsi" w:hAnsiTheme="majorHAnsi"/>
          <w:sz w:val="20"/>
          <w:szCs w:val="20"/>
        </w:rPr>
      </w:pPr>
      <w:r w:rsidRPr="0096749E">
        <w:rPr>
          <w:rFonts w:asciiTheme="majorHAnsi" w:hAnsiTheme="majorHAnsi"/>
          <w:sz w:val="20"/>
          <w:szCs w:val="20"/>
        </w:rPr>
        <w:t>Аналог1</w:t>
      </w:r>
    </w:p>
    <w:p w:rsidR="00960AC6" w:rsidRPr="0096749E" w:rsidRDefault="00960AC6" w:rsidP="0096749E">
      <w:pPr>
        <w:rPr>
          <w:rFonts w:asciiTheme="majorHAnsi" w:hAnsiTheme="majorHAnsi"/>
          <w:sz w:val="20"/>
          <w:szCs w:val="20"/>
        </w:rPr>
      </w:pPr>
    </w:p>
    <w:p w:rsidR="0096749E" w:rsidRDefault="00E81BFD" w:rsidP="0096749E">
      <w:pPr>
        <w:jc w:val="center"/>
      </w:pPr>
      <w:r>
        <w:rPr>
          <w:noProof/>
        </w:rPr>
        <w:drawing>
          <wp:inline distT="0" distB="0" distL="0" distR="0" wp14:anchorId="66281185" wp14:editId="2A35142D">
            <wp:extent cx="5936277" cy="2923954"/>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t="3486" b="4741"/>
                    <a:stretch/>
                  </pic:blipFill>
                  <pic:spPr bwMode="auto">
                    <a:xfrm>
                      <a:off x="0" y="0"/>
                      <a:ext cx="5955640" cy="2933491"/>
                    </a:xfrm>
                    <a:prstGeom prst="rect">
                      <a:avLst/>
                    </a:prstGeom>
                    <a:ln>
                      <a:noFill/>
                    </a:ln>
                    <a:extLst>
                      <a:ext uri="{53640926-AAD7-44D8-BBD7-CCE9431645EC}">
                        <a14:shadowObscured xmlns:a14="http://schemas.microsoft.com/office/drawing/2010/main"/>
                      </a:ext>
                    </a:extLst>
                  </pic:spPr>
                </pic:pic>
              </a:graphicData>
            </a:graphic>
          </wp:inline>
        </w:drawing>
      </w:r>
    </w:p>
    <w:p w:rsidR="0096749E" w:rsidRPr="0096749E" w:rsidRDefault="0096749E" w:rsidP="0096749E">
      <w:pPr>
        <w:rPr>
          <w:rFonts w:asciiTheme="majorHAnsi" w:hAnsiTheme="majorHAnsi"/>
          <w:sz w:val="20"/>
          <w:szCs w:val="20"/>
        </w:rPr>
      </w:pPr>
      <w:r w:rsidRPr="0096749E">
        <w:rPr>
          <w:rFonts w:asciiTheme="majorHAnsi" w:hAnsiTheme="majorHAnsi"/>
          <w:sz w:val="20"/>
          <w:szCs w:val="20"/>
        </w:rPr>
        <w:t>Аналог2</w:t>
      </w:r>
    </w:p>
    <w:p w:rsidR="0096749E" w:rsidRPr="0096749E" w:rsidRDefault="00E81BFD" w:rsidP="0096749E">
      <w:pPr>
        <w:jc w:val="center"/>
      </w:pPr>
      <w:r>
        <w:rPr>
          <w:noProof/>
        </w:rPr>
        <w:drawing>
          <wp:inline distT="0" distB="0" distL="0" distR="0" wp14:anchorId="5153DBA9" wp14:editId="191ED004">
            <wp:extent cx="5939287" cy="316589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t="3484" b="4967"/>
                    <a:stretch/>
                  </pic:blipFill>
                  <pic:spPr bwMode="auto">
                    <a:xfrm>
                      <a:off x="0" y="0"/>
                      <a:ext cx="5942287" cy="3167494"/>
                    </a:xfrm>
                    <a:prstGeom prst="rect">
                      <a:avLst/>
                    </a:prstGeom>
                    <a:ln>
                      <a:noFill/>
                    </a:ln>
                    <a:extLst>
                      <a:ext uri="{53640926-AAD7-44D8-BBD7-CCE9431645EC}">
                        <a14:shadowObscured xmlns:a14="http://schemas.microsoft.com/office/drawing/2010/main"/>
                      </a:ext>
                    </a:extLst>
                  </pic:spPr>
                </pic:pic>
              </a:graphicData>
            </a:graphic>
          </wp:inline>
        </w:drawing>
      </w:r>
    </w:p>
    <w:p w:rsidR="0096749E" w:rsidRPr="0096749E" w:rsidRDefault="0096749E" w:rsidP="0096749E">
      <w:pPr>
        <w:jc w:val="both"/>
        <w:rPr>
          <w:rFonts w:asciiTheme="majorHAnsi" w:hAnsiTheme="majorHAnsi"/>
          <w:sz w:val="20"/>
          <w:szCs w:val="20"/>
        </w:rPr>
      </w:pPr>
      <w:r w:rsidRPr="0096749E">
        <w:rPr>
          <w:rFonts w:asciiTheme="majorHAnsi" w:hAnsiTheme="majorHAnsi"/>
          <w:sz w:val="20"/>
          <w:szCs w:val="20"/>
        </w:rPr>
        <w:lastRenderedPageBreak/>
        <w:t>Аналог 3</w:t>
      </w:r>
    </w:p>
    <w:p w:rsidR="0096749E" w:rsidRPr="0096749E" w:rsidRDefault="00E81BFD" w:rsidP="0096749E">
      <w:pPr>
        <w:jc w:val="center"/>
        <w:rPr>
          <w:rFonts w:asciiTheme="majorHAnsi" w:hAnsiTheme="majorHAnsi"/>
          <w:sz w:val="20"/>
          <w:szCs w:val="20"/>
        </w:rPr>
      </w:pPr>
      <w:r>
        <w:rPr>
          <w:noProof/>
        </w:rPr>
        <w:drawing>
          <wp:inline distT="0" distB="0" distL="0" distR="0" wp14:anchorId="4E1EF953" wp14:editId="154FD71F">
            <wp:extent cx="5937874" cy="427007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t="3949" b="4735"/>
                    <a:stretch/>
                  </pic:blipFill>
                  <pic:spPr bwMode="auto">
                    <a:xfrm>
                      <a:off x="0" y="0"/>
                      <a:ext cx="5957328" cy="4284066"/>
                    </a:xfrm>
                    <a:prstGeom prst="rect">
                      <a:avLst/>
                    </a:prstGeom>
                    <a:ln>
                      <a:noFill/>
                    </a:ln>
                    <a:extLst>
                      <a:ext uri="{53640926-AAD7-44D8-BBD7-CCE9431645EC}">
                        <a14:shadowObscured xmlns:a14="http://schemas.microsoft.com/office/drawing/2010/main"/>
                      </a:ext>
                    </a:extLst>
                  </pic:spPr>
                </pic:pic>
              </a:graphicData>
            </a:graphic>
          </wp:inline>
        </w:drawing>
      </w:r>
    </w:p>
    <w:p w:rsidR="0096749E" w:rsidRDefault="0096749E" w:rsidP="0096749E">
      <w:pPr>
        <w:jc w:val="both"/>
        <w:rPr>
          <w:rFonts w:asciiTheme="majorHAnsi" w:hAnsiTheme="majorHAnsi"/>
          <w:sz w:val="20"/>
          <w:szCs w:val="20"/>
        </w:rPr>
      </w:pPr>
      <w:r w:rsidRPr="0096749E">
        <w:rPr>
          <w:rFonts w:asciiTheme="majorHAnsi" w:hAnsiTheme="majorHAnsi"/>
          <w:sz w:val="20"/>
          <w:szCs w:val="20"/>
        </w:rPr>
        <w:t>Аналог 4</w:t>
      </w:r>
    </w:p>
    <w:p w:rsidR="00E81BFD" w:rsidRPr="0096749E" w:rsidRDefault="00E81BFD" w:rsidP="0096749E">
      <w:pPr>
        <w:jc w:val="both"/>
        <w:rPr>
          <w:rFonts w:asciiTheme="majorHAnsi" w:hAnsiTheme="majorHAnsi"/>
          <w:sz w:val="20"/>
          <w:szCs w:val="20"/>
        </w:rPr>
      </w:pPr>
    </w:p>
    <w:p w:rsidR="0096749E" w:rsidRPr="0096749E" w:rsidRDefault="00E81BFD" w:rsidP="0096749E">
      <w:pPr>
        <w:jc w:val="center"/>
        <w:rPr>
          <w:rFonts w:asciiTheme="majorHAnsi" w:hAnsiTheme="majorHAnsi"/>
          <w:sz w:val="20"/>
          <w:szCs w:val="20"/>
        </w:rPr>
      </w:pPr>
      <w:r>
        <w:rPr>
          <w:noProof/>
        </w:rPr>
        <w:drawing>
          <wp:inline distT="0" distB="0" distL="0" distR="0" wp14:anchorId="32FC7E4E" wp14:editId="1B863919">
            <wp:extent cx="5937885" cy="447711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t="3253" b="6587"/>
                    <a:stretch/>
                  </pic:blipFill>
                  <pic:spPr bwMode="auto">
                    <a:xfrm>
                      <a:off x="0" y="0"/>
                      <a:ext cx="5952547" cy="4488165"/>
                    </a:xfrm>
                    <a:prstGeom prst="rect">
                      <a:avLst/>
                    </a:prstGeom>
                    <a:ln>
                      <a:noFill/>
                    </a:ln>
                    <a:extLst>
                      <a:ext uri="{53640926-AAD7-44D8-BBD7-CCE9431645EC}">
                        <a14:shadowObscured xmlns:a14="http://schemas.microsoft.com/office/drawing/2010/main"/>
                      </a:ext>
                    </a:extLst>
                  </pic:spPr>
                </pic:pic>
              </a:graphicData>
            </a:graphic>
          </wp:inline>
        </w:drawing>
      </w:r>
    </w:p>
    <w:p w:rsidR="00C05317" w:rsidRPr="0096749E" w:rsidRDefault="00C05317" w:rsidP="0096749E">
      <w:pPr>
        <w:jc w:val="center"/>
      </w:pPr>
    </w:p>
    <w:p w:rsidR="00C05317" w:rsidRDefault="00C05317" w:rsidP="0096749E">
      <w:pPr>
        <w:spacing w:before="120"/>
        <w:rPr>
          <w:rFonts w:asciiTheme="majorHAnsi" w:eastAsiaTheme="minorHAnsi" w:hAnsiTheme="majorHAnsi" w:cstheme="minorBidi"/>
          <w:b/>
          <w:sz w:val="20"/>
          <w:szCs w:val="23"/>
          <w:lang w:eastAsia="en-US"/>
        </w:rPr>
        <w:sectPr w:rsidR="00C05317" w:rsidSect="009B6BA0">
          <w:pgSz w:w="11906" w:h="16838" w:code="9"/>
          <w:pgMar w:top="568" w:right="851" w:bottom="567"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C05317" w:rsidRDefault="001148A3" w:rsidP="00C05317">
      <w:pPr>
        <w:spacing w:before="120"/>
        <w:ind w:firstLine="709"/>
        <w:jc w:val="center"/>
        <w:rPr>
          <w:rFonts w:asciiTheme="majorHAnsi" w:hAnsiTheme="majorHAnsi"/>
          <w:sz w:val="20"/>
          <w:szCs w:val="20"/>
          <w:lang w:eastAsia="ar-SA"/>
        </w:rPr>
      </w:pPr>
      <w:r w:rsidRPr="001148A3">
        <w:rPr>
          <w:rFonts w:asciiTheme="majorHAnsi" w:eastAsiaTheme="minorHAnsi" w:hAnsiTheme="majorHAnsi" w:cstheme="minorBidi"/>
          <w:b/>
          <w:sz w:val="20"/>
          <w:szCs w:val="23"/>
          <w:lang w:eastAsia="en-US"/>
        </w:rPr>
        <w:lastRenderedPageBreak/>
        <w:t>Расчет рыночной стоимости сравнительным подходом</w:t>
      </w:r>
      <w:r w:rsidR="00007373">
        <w:rPr>
          <w:rFonts w:asciiTheme="majorHAnsi" w:eastAsiaTheme="minorHAnsi" w:hAnsiTheme="majorHAnsi" w:cstheme="minorBidi"/>
          <w:b/>
          <w:sz w:val="20"/>
          <w:szCs w:val="23"/>
          <w:lang w:eastAsia="en-US"/>
        </w:rPr>
        <w:t xml:space="preserve"> </w:t>
      </w:r>
      <w:r w:rsidRPr="001148A3">
        <w:rPr>
          <w:rFonts w:asciiTheme="majorHAnsi" w:eastAsiaTheme="minorHAnsi" w:hAnsiTheme="majorHAnsi" w:cstheme="minorBidi"/>
          <w:b/>
          <w:sz w:val="20"/>
          <w:szCs w:val="23"/>
          <w:lang w:eastAsia="en-US"/>
        </w:rPr>
        <w:t>:</w:t>
      </w:r>
      <w:r w:rsidR="00C05317">
        <w:rPr>
          <w:rFonts w:asciiTheme="majorHAnsi" w:hAnsiTheme="majorHAnsi"/>
          <w:sz w:val="20"/>
          <w:szCs w:val="20"/>
          <w:lang w:eastAsia="ar-SA"/>
        </w:rPr>
        <w:t xml:space="preserve"> </w:t>
      </w:r>
    </w:p>
    <w:p w:rsidR="00007373" w:rsidRPr="00007373" w:rsidRDefault="00007373" w:rsidP="00007373">
      <w:pPr>
        <w:spacing w:before="120" w:after="120"/>
        <w:jc w:val="center"/>
        <w:rPr>
          <w:rFonts w:asciiTheme="majorHAnsi" w:eastAsiaTheme="minorHAnsi" w:hAnsiTheme="majorHAnsi" w:cstheme="minorBidi"/>
          <w:b/>
          <w:bCs/>
          <w:sz w:val="20"/>
          <w:szCs w:val="22"/>
          <w:lang w:eastAsia="en-US"/>
        </w:rPr>
      </w:pPr>
      <w:r w:rsidRPr="00007373">
        <w:rPr>
          <w:rFonts w:asciiTheme="majorHAnsi" w:eastAsiaTheme="minorHAnsi" w:hAnsiTheme="majorHAnsi" w:cstheme="minorBidi"/>
          <w:b/>
          <w:bCs/>
          <w:sz w:val="20"/>
          <w:szCs w:val="22"/>
          <w:lang w:eastAsia="en-US"/>
        </w:rPr>
        <w:t>ПОДБОР АНАЛОГОВ ДЛЯ ЗЕМЕЛЬНОГО УЧАСТКА, ПЛОЩАДЬЮ 101</w:t>
      </w:r>
      <w:r>
        <w:rPr>
          <w:rFonts w:asciiTheme="majorHAnsi" w:eastAsiaTheme="minorHAnsi" w:hAnsiTheme="majorHAnsi" w:cstheme="minorBidi"/>
          <w:b/>
          <w:bCs/>
          <w:sz w:val="20"/>
          <w:szCs w:val="22"/>
          <w:lang w:eastAsia="en-US"/>
        </w:rPr>
        <w:t> </w:t>
      </w:r>
      <w:r w:rsidRPr="00007373">
        <w:rPr>
          <w:rFonts w:asciiTheme="majorHAnsi" w:eastAsiaTheme="minorHAnsi" w:hAnsiTheme="majorHAnsi" w:cstheme="minorBidi"/>
          <w:b/>
          <w:bCs/>
          <w:sz w:val="20"/>
          <w:szCs w:val="22"/>
          <w:lang w:eastAsia="en-US"/>
        </w:rPr>
        <w:t>370</w:t>
      </w:r>
      <w:r>
        <w:rPr>
          <w:rFonts w:asciiTheme="majorHAnsi" w:eastAsiaTheme="minorHAnsi" w:hAnsiTheme="majorHAnsi" w:cstheme="minorBidi"/>
          <w:b/>
          <w:bCs/>
          <w:sz w:val="20"/>
          <w:szCs w:val="22"/>
          <w:lang w:eastAsia="en-US"/>
        </w:rPr>
        <w:t xml:space="preserve"> </w:t>
      </w:r>
      <w:r w:rsidRPr="00007373">
        <w:rPr>
          <w:rFonts w:asciiTheme="majorHAnsi" w:eastAsiaTheme="minorHAnsi" w:hAnsiTheme="majorHAnsi" w:cstheme="minorBidi"/>
          <w:b/>
          <w:bCs/>
          <w:sz w:val="20"/>
          <w:szCs w:val="22"/>
          <w:lang w:eastAsia="en-US"/>
        </w:rPr>
        <w:t>КВ.М.</w:t>
      </w:r>
    </w:p>
    <w:tbl>
      <w:tblPr>
        <w:tblW w:w="15685"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396"/>
        <w:gridCol w:w="3131"/>
        <w:gridCol w:w="4451"/>
        <w:gridCol w:w="1644"/>
        <w:gridCol w:w="1680"/>
        <w:gridCol w:w="1682"/>
        <w:gridCol w:w="1701"/>
      </w:tblGrid>
      <w:tr w:rsidR="00007373" w:rsidRPr="00007373" w:rsidTr="006C6293">
        <w:trPr>
          <w:trHeight w:val="20"/>
          <w:jc w:val="center"/>
        </w:trPr>
        <w:tc>
          <w:tcPr>
            <w:tcW w:w="15685" w:type="dxa"/>
            <w:gridSpan w:val="7"/>
            <w:shd w:val="clear" w:color="auto" w:fill="auto"/>
            <w:noWrap/>
            <w:vAlign w:val="center"/>
            <w:hideMark/>
          </w:tcPr>
          <w:p w:rsidR="00007373" w:rsidRPr="00007373" w:rsidRDefault="00007373" w:rsidP="00007373">
            <w:pPr>
              <w:jc w:val="center"/>
              <w:rPr>
                <w:rFonts w:asciiTheme="majorHAnsi" w:hAnsiTheme="majorHAnsi"/>
                <w:b/>
                <w:bCs/>
                <w:sz w:val="16"/>
                <w:szCs w:val="16"/>
              </w:rPr>
            </w:pPr>
            <w:r w:rsidRPr="00007373">
              <w:rPr>
                <w:rFonts w:asciiTheme="majorHAnsi" w:hAnsiTheme="majorHAnsi"/>
                <w:b/>
                <w:bCs/>
                <w:sz w:val="16"/>
                <w:szCs w:val="16"/>
              </w:rPr>
              <w:t>Выбор единицы сравнения и сравнительный анализ объекта оценки и каждого объекта-аналога по всем элементам сравнения</w:t>
            </w:r>
          </w:p>
        </w:tc>
      </w:tr>
      <w:tr w:rsidR="006C6293" w:rsidRPr="00007373" w:rsidTr="006C6293">
        <w:trPr>
          <w:trHeight w:val="20"/>
          <w:jc w:val="center"/>
        </w:trPr>
        <w:tc>
          <w:tcPr>
            <w:tcW w:w="4527" w:type="dxa"/>
            <w:gridSpan w:val="2"/>
            <w:shd w:val="clear" w:color="auto" w:fill="auto"/>
            <w:vAlign w:val="center"/>
            <w:hideMark/>
          </w:tcPr>
          <w:p w:rsidR="00007373" w:rsidRPr="00007373" w:rsidRDefault="00007373" w:rsidP="00007373">
            <w:pPr>
              <w:jc w:val="center"/>
              <w:rPr>
                <w:rFonts w:asciiTheme="majorHAnsi" w:hAnsiTheme="majorHAnsi"/>
                <w:b/>
                <w:bCs/>
                <w:sz w:val="16"/>
                <w:szCs w:val="16"/>
              </w:rPr>
            </w:pPr>
            <w:r w:rsidRPr="00007373">
              <w:rPr>
                <w:rFonts w:asciiTheme="majorHAnsi" w:hAnsiTheme="majorHAnsi"/>
                <w:b/>
                <w:bCs/>
                <w:sz w:val="16"/>
                <w:szCs w:val="16"/>
              </w:rPr>
              <w:t>Характеристика</w:t>
            </w:r>
          </w:p>
        </w:tc>
        <w:tc>
          <w:tcPr>
            <w:tcW w:w="4451" w:type="dxa"/>
            <w:shd w:val="clear" w:color="auto" w:fill="auto"/>
            <w:vAlign w:val="center"/>
            <w:hideMark/>
          </w:tcPr>
          <w:p w:rsidR="00007373" w:rsidRPr="00007373" w:rsidRDefault="00007373" w:rsidP="00007373">
            <w:pPr>
              <w:jc w:val="center"/>
              <w:rPr>
                <w:rFonts w:asciiTheme="majorHAnsi" w:hAnsiTheme="majorHAnsi"/>
                <w:b/>
                <w:bCs/>
                <w:sz w:val="16"/>
                <w:szCs w:val="16"/>
              </w:rPr>
            </w:pPr>
            <w:r w:rsidRPr="00007373">
              <w:rPr>
                <w:rFonts w:asciiTheme="majorHAnsi" w:hAnsiTheme="majorHAnsi"/>
                <w:b/>
                <w:bCs/>
                <w:sz w:val="16"/>
                <w:szCs w:val="16"/>
              </w:rPr>
              <w:t>Объект оценки/аналоги</w:t>
            </w:r>
          </w:p>
        </w:tc>
        <w:tc>
          <w:tcPr>
            <w:tcW w:w="1644" w:type="dxa"/>
            <w:shd w:val="clear" w:color="auto" w:fill="auto"/>
            <w:vAlign w:val="center"/>
            <w:hideMark/>
          </w:tcPr>
          <w:p w:rsidR="00007373" w:rsidRPr="00007373" w:rsidRDefault="00007373" w:rsidP="00007373">
            <w:pPr>
              <w:jc w:val="center"/>
              <w:rPr>
                <w:rFonts w:asciiTheme="majorHAnsi" w:hAnsiTheme="majorHAnsi"/>
                <w:b/>
                <w:bCs/>
                <w:sz w:val="16"/>
                <w:szCs w:val="16"/>
              </w:rPr>
            </w:pPr>
            <w:r w:rsidRPr="00007373">
              <w:rPr>
                <w:rFonts w:asciiTheme="majorHAnsi" w:hAnsiTheme="majorHAnsi"/>
                <w:b/>
                <w:bCs/>
                <w:sz w:val="16"/>
                <w:szCs w:val="16"/>
              </w:rPr>
              <w:t>Аналог №1</w:t>
            </w:r>
          </w:p>
        </w:tc>
        <w:tc>
          <w:tcPr>
            <w:tcW w:w="1680" w:type="dxa"/>
            <w:shd w:val="clear" w:color="auto" w:fill="auto"/>
            <w:vAlign w:val="center"/>
            <w:hideMark/>
          </w:tcPr>
          <w:p w:rsidR="00007373" w:rsidRPr="00007373" w:rsidRDefault="00007373" w:rsidP="00007373">
            <w:pPr>
              <w:jc w:val="center"/>
              <w:rPr>
                <w:rFonts w:asciiTheme="majorHAnsi" w:hAnsiTheme="majorHAnsi"/>
                <w:b/>
                <w:bCs/>
                <w:sz w:val="16"/>
                <w:szCs w:val="16"/>
              </w:rPr>
            </w:pPr>
            <w:r w:rsidRPr="00007373">
              <w:rPr>
                <w:rFonts w:asciiTheme="majorHAnsi" w:hAnsiTheme="majorHAnsi"/>
                <w:b/>
                <w:bCs/>
                <w:sz w:val="16"/>
                <w:szCs w:val="16"/>
              </w:rPr>
              <w:t>Аналог №2</w:t>
            </w:r>
          </w:p>
        </w:tc>
        <w:tc>
          <w:tcPr>
            <w:tcW w:w="1682" w:type="dxa"/>
            <w:shd w:val="clear" w:color="auto" w:fill="auto"/>
            <w:vAlign w:val="center"/>
            <w:hideMark/>
          </w:tcPr>
          <w:p w:rsidR="00007373" w:rsidRPr="00007373" w:rsidRDefault="00007373" w:rsidP="00007373">
            <w:pPr>
              <w:jc w:val="center"/>
              <w:rPr>
                <w:rFonts w:asciiTheme="majorHAnsi" w:hAnsiTheme="majorHAnsi"/>
                <w:b/>
                <w:bCs/>
                <w:sz w:val="16"/>
                <w:szCs w:val="16"/>
              </w:rPr>
            </w:pPr>
            <w:r w:rsidRPr="00007373">
              <w:rPr>
                <w:rFonts w:asciiTheme="majorHAnsi" w:hAnsiTheme="majorHAnsi"/>
                <w:b/>
                <w:bCs/>
                <w:sz w:val="16"/>
                <w:szCs w:val="16"/>
              </w:rPr>
              <w:t>Аналог №3</w:t>
            </w:r>
          </w:p>
        </w:tc>
        <w:tc>
          <w:tcPr>
            <w:tcW w:w="1701" w:type="dxa"/>
            <w:shd w:val="clear" w:color="auto" w:fill="auto"/>
            <w:vAlign w:val="center"/>
            <w:hideMark/>
          </w:tcPr>
          <w:p w:rsidR="00007373" w:rsidRPr="00007373" w:rsidRDefault="00007373" w:rsidP="00007373">
            <w:pPr>
              <w:jc w:val="center"/>
              <w:rPr>
                <w:rFonts w:asciiTheme="majorHAnsi" w:hAnsiTheme="majorHAnsi"/>
                <w:b/>
                <w:bCs/>
                <w:sz w:val="16"/>
                <w:szCs w:val="16"/>
              </w:rPr>
            </w:pPr>
            <w:r w:rsidRPr="00007373">
              <w:rPr>
                <w:rFonts w:asciiTheme="majorHAnsi" w:hAnsiTheme="majorHAnsi"/>
                <w:b/>
                <w:bCs/>
                <w:sz w:val="16"/>
                <w:szCs w:val="16"/>
              </w:rPr>
              <w:t>Аналог №4</w:t>
            </w:r>
          </w:p>
        </w:tc>
      </w:tr>
      <w:tr w:rsidR="006C6293" w:rsidRPr="00007373" w:rsidTr="006C6293">
        <w:trPr>
          <w:trHeight w:val="20"/>
          <w:jc w:val="center"/>
        </w:trPr>
        <w:tc>
          <w:tcPr>
            <w:tcW w:w="4527" w:type="dxa"/>
            <w:gridSpan w:val="2"/>
            <w:shd w:val="clear" w:color="auto" w:fill="auto"/>
            <w:vAlign w:val="center"/>
            <w:hideMark/>
          </w:tcPr>
          <w:p w:rsidR="00007373" w:rsidRPr="00007373" w:rsidRDefault="00007373" w:rsidP="00007373">
            <w:pPr>
              <w:jc w:val="center"/>
              <w:rPr>
                <w:rFonts w:asciiTheme="majorHAnsi" w:hAnsiTheme="majorHAnsi"/>
                <w:b/>
                <w:bCs/>
                <w:sz w:val="16"/>
                <w:szCs w:val="16"/>
              </w:rPr>
            </w:pPr>
            <w:r w:rsidRPr="00007373">
              <w:rPr>
                <w:rFonts w:asciiTheme="majorHAnsi" w:hAnsiTheme="majorHAnsi"/>
                <w:b/>
                <w:bCs/>
                <w:sz w:val="16"/>
                <w:szCs w:val="16"/>
              </w:rPr>
              <w:t>Источник информации</w:t>
            </w:r>
          </w:p>
        </w:tc>
        <w:tc>
          <w:tcPr>
            <w:tcW w:w="4451" w:type="dxa"/>
            <w:shd w:val="clear" w:color="auto" w:fill="auto"/>
            <w:vAlign w:val="center"/>
            <w:hideMark/>
          </w:tcPr>
          <w:p w:rsidR="00007373" w:rsidRPr="00007373" w:rsidRDefault="00007373" w:rsidP="00007373">
            <w:pPr>
              <w:rPr>
                <w:rFonts w:asciiTheme="majorHAnsi" w:hAnsiTheme="majorHAnsi"/>
                <w:b/>
                <w:bCs/>
                <w:sz w:val="16"/>
                <w:szCs w:val="16"/>
              </w:rPr>
            </w:pPr>
            <w:r w:rsidRPr="00007373">
              <w:rPr>
                <w:rFonts w:asciiTheme="majorHAnsi" w:hAnsiTheme="majorHAnsi"/>
                <w:b/>
                <w:bCs/>
                <w:sz w:val="16"/>
                <w:szCs w:val="16"/>
              </w:rPr>
              <w:t> </w:t>
            </w:r>
          </w:p>
        </w:tc>
        <w:tc>
          <w:tcPr>
            <w:tcW w:w="1644" w:type="dxa"/>
            <w:shd w:val="clear" w:color="auto" w:fill="auto"/>
            <w:vAlign w:val="center"/>
            <w:hideMark/>
          </w:tcPr>
          <w:p w:rsidR="00007373" w:rsidRPr="00007373" w:rsidRDefault="00007373" w:rsidP="00007373">
            <w:pPr>
              <w:rPr>
                <w:rFonts w:asciiTheme="majorHAnsi" w:hAnsiTheme="majorHAnsi"/>
                <w:b/>
                <w:bCs/>
                <w:sz w:val="16"/>
                <w:szCs w:val="16"/>
              </w:rPr>
            </w:pPr>
            <w:r w:rsidRPr="00007373">
              <w:rPr>
                <w:rFonts w:asciiTheme="majorHAnsi" w:hAnsiTheme="majorHAnsi"/>
                <w:b/>
                <w:bCs/>
                <w:sz w:val="16"/>
                <w:szCs w:val="16"/>
              </w:rPr>
              <w:t> </w:t>
            </w:r>
          </w:p>
        </w:tc>
        <w:tc>
          <w:tcPr>
            <w:tcW w:w="1680" w:type="dxa"/>
            <w:shd w:val="clear" w:color="auto" w:fill="auto"/>
            <w:vAlign w:val="center"/>
            <w:hideMark/>
          </w:tcPr>
          <w:p w:rsidR="00007373" w:rsidRPr="00007373" w:rsidRDefault="00007373" w:rsidP="00007373">
            <w:pPr>
              <w:rPr>
                <w:rFonts w:asciiTheme="majorHAnsi" w:hAnsiTheme="majorHAnsi"/>
                <w:b/>
                <w:bCs/>
                <w:sz w:val="16"/>
                <w:szCs w:val="16"/>
              </w:rPr>
            </w:pPr>
            <w:r w:rsidRPr="00007373">
              <w:rPr>
                <w:rFonts w:asciiTheme="majorHAnsi" w:hAnsiTheme="majorHAnsi"/>
                <w:b/>
                <w:bCs/>
                <w:sz w:val="16"/>
                <w:szCs w:val="16"/>
              </w:rPr>
              <w:t> </w:t>
            </w:r>
          </w:p>
        </w:tc>
        <w:tc>
          <w:tcPr>
            <w:tcW w:w="1682" w:type="dxa"/>
            <w:shd w:val="clear" w:color="auto" w:fill="auto"/>
            <w:vAlign w:val="center"/>
            <w:hideMark/>
          </w:tcPr>
          <w:p w:rsidR="00007373" w:rsidRPr="00007373" w:rsidRDefault="00007373" w:rsidP="00007373">
            <w:pPr>
              <w:rPr>
                <w:rFonts w:asciiTheme="majorHAnsi" w:hAnsiTheme="majorHAnsi"/>
                <w:b/>
                <w:bCs/>
                <w:sz w:val="16"/>
                <w:szCs w:val="16"/>
              </w:rPr>
            </w:pPr>
            <w:r w:rsidRPr="00007373">
              <w:rPr>
                <w:rFonts w:asciiTheme="majorHAnsi" w:hAnsiTheme="majorHAnsi"/>
                <w:b/>
                <w:bCs/>
                <w:sz w:val="16"/>
                <w:szCs w:val="16"/>
              </w:rPr>
              <w:t> </w:t>
            </w:r>
          </w:p>
        </w:tc>
        <w:tc>
          <w:tcPr>
            <w:tcW w:w="1701" w:type="dxa"/>
            <w:shd w:val="clear" w:color="auto" w:fill="auto"/>
            <w:vAlign w:val="center"/>
            <w:hideMark/>
          </w:tcPr>
          <w:p w:rsidR="00007373" w:rsidRPr="00007373" w:rsidRDefault="00007373" w:rsidP="00007373">
            <w:pPr>
              <w:rPr>
                <w:rFonts w:asciiTheme="majorHAnsi" w:hAnsiTheme="majorHAnsi"/>
                <w:b/>
                <w:bCs/>
                <w:sz w:val="16"/>
                <w:szCs w:val="16"/>
              </w:rPr>
            </w:pPr>
            <w:r w:rsidRPr="00007373">
              <w:rPr>
                <w:rFonts w:asciiTheme="majorHAnsi" w:hAnsiTheme="majorHAnsi"/>
                <w:b/>
                <w:bCs/>
                <w:sz w:val="16"/>
                <w:szCs w:val="16"/>
              </w:rPr>
              <w:t> </w:t>
            </w:r>
          </w:p>
        </w:tc>
      </w:tr>
      <w:tr w:rsidR="006C6293" w:rsidRPr="00007373" w:rsidTr="006C6293">
        <w:trPr>
          <w:trHeight w:val="20"/>
          <w:jc w:val="center"/>
        </w:trPr>
        <w:tc>
          <w:tcPr>
            <w:tcW w:w="1396" w:type="dxa"/>
            <w:vMerge w:val="restart"/>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Единица сравнения</w:t>
            </w:r>
          </w:p>
        </w:tc>
        <w:tc>
          <w:tcPr>
            <w:tcW w:w="3131" w:type="dxa"/>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 xml:space="preserve"> Цена предложения                    </w:t>
            </w:r>
          </w:p>
        </w:tc>
        <w:tc>
          <w:tcPr>
            <w:tcW w:w="4451" w:type="dxa"/>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 </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16 000 000,00</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20 427 250,00</w:t>
            </w:r>
          </w:p>
        </w:tc>
        <w:tc>
          <w:tcPr>
            <w:tcW w:w="1682" w:type="dxa"/>
            <w:tcBorders>
              <w:top w:val="single" w:sz="4" w:space="0" w:color="auto"/>
              <w:left w:val="nil"/>
              <w:bottom w:val="single" w:sz="4" w:space="0" w:color="auto"/>
              <w:right w:val="single" w:sz="4" w:space="0" w:color="auto"/>
            </w:tcBorders>
            <w:shd w:val="clear" w:color="auto" w:fill="auto"/>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8 000 000,00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50 000 000,00</w:t>
            </w:r>
          </w:p>
        </w:tc>
      </w:tr>
      <w:tr w:rsidR="006C6293" w:rsidRPr="00007373" w:rsidTr="006C6293">
        <w:trPr>
          <w:trHeight w:val="20"/>
          <w:jc w:val="center"/>
        </w:trPr>
        <w:tc>
          <w:tcPr>
            <w:tcW w:w="1396" w:type="dxa"/>
            <w:vMerge/>
            <w:shd w:val="clear" w:color="auto" w:fill="auto"/>
            <w:vAlign w:val="center"/>
            <w:hideMark/>
          </w:tcPr>
          <w:p w:rsidR="00007373" w:rsidRPr="00007373" w:rsidRDefault="00007373" w:rsidP="00007373">
            <w:pPr>
              <w:rPr>
                <w:rFonts w:asciiTheme="majorHAnsi" w:hAnsiTheme="majorHAnsi"/>
                <w:sz w:val="16"/>
                <w:szCs w:val="16"/>
              </w:rPr>
            </w:pPr>
          </w:p>
        </w:tc>
        <w:tc>
          <w:tcPr>
            <w:tcW w:w="3131" w:type="dxa"/>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Общая площадь</w:t>
            </w:r>
          </w:p>
        </w:tc>
        <w:tc>
          <w:tcPr>
            <w:tcW w:w="4451" w:type="dxa"/>
            <w:shd w:val="clear" w:color="auto" w:fill="auto"/>
            <w:vAlign w:val="center"/>
            <w:hideMark/>
          </w:tcPr>
          <w:p w:rsidR="00007373" w:rsidRPr="00007373" w:rsidRDefault="00007373" w:rsidP="00007373">
            <w:pPr>
              <w:jc w:val="center"/>
              <w:rPr>
                <w:rFonts w:asciiTheme="majorHAnsi" w:hAnsiTheme="majorHAnsi"/>
                <w:sz w:val="16"/>
                <w:szCs w:val="16"/>
              </w:rPr>
            </w:pPr>
            <w:r>
              <w:rPr>
                <w:rFonts w:asciiTheme="majorHAnsi" w:hAnsiTheme="majorHAnsi"/>
                <w:sz w:val="16"/>
                <w:szCs w:val="16"/>
              </w:rPr>
              <w:t>101 370</w:t>
            </w:r>
          </w:p>
        </w:tc>
        <w:tc>
          <w:tcPr>
            <w:tcW w:w="1644" w:type="dxa"/>
            <w:tcBorders>
              <w:top w:val="nil"/>
              <w:left w:val="single" w:sz="4" w:space="0" w:color="auto"/>
              <w:bottom w:val="single" w:sz="4" w:space="0" w:color="auto"/>
              <w:right w:val="single" w:sz="4" w:space="0" w:color="auto"/>
            </w:tcBorders>
            <w:shd w:val="clear" w:color="auto" w:fill="auto"/>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70 000</w:t>
            </w:r>
          </w:p>
        </w:tc>
        <w:tc>
          <w:tcPr>
            <w:tcW w:w="1680" w:type="dxa"/>
            <w:tcBorders>
              <w:top w:val="nil"/>
              <w:left w:val="nil"/>
              <w:bottom w:val="single" w:sz="4" w:space="0" w:color="auto"/>
              <w:right w:val="single" w:sz="4" w:space="0" w:color="auto"/>
            </w:tcBorders>
            <w:shd w:val="clear" w:color="auto" w:fill="auto"/>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81 709</w:t>
            </w:r>
          </w:p>
        </w:tc>
        <w:tc>
          <w:tcPr>
            <w:tcW w:w="1682" w:type="dxa"/>
            <w:tcBorders>
              <w:top w:val="nil"/>
              <w:left w:val="nil"/>
              <w:bottom w:val="single" w:sz="4" w:space="0" w:color="auto"/>
              <w:right w:val="single" w:sz="4" w:space="0" w:color="auto"/>
            </w:tcBorders>
            <w:shd w:val="clear" w:color="auto" w:fill="auto"/>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35 000</w:t>
            </w:r>
          </w:p>
        </w:tc>
        <w:tc>
          <w:tcPr>
            <w:tcW w:w="1701" w:type="dxa"/>
            <w:tcBorders>
              <w:top w:val="nil"/>
              <w:left w:val="nil"/>
              <w:bottom w:val="single" w:sz="4" w:space="0" w:color="auto"/>
              <w:right w:val="single" w:sz="4" w:space="0" w:color="auto"/>
            </w:tcBorders>
            <w:shd w:val="clear" w:color="auto" w:fill="auto"/>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187 400</w:t>
            </w:r>
          </w:p>
        </w:tc>
      </w:tr>
      <w:tr w:rsidR="006C6293" w:rsidRPr="00007373" w:rsidTr="006C6293">
        <w:trPr>
          <w:trHeight w:val="20"/>
          <w:jc w:val="center"/>
        </w:trPr>
        <w:tc>
          <w:tcPr>
            <w:tcW w:w="1396" w:type="dxa"/>
            <w:vMerge/>
            <w:shd w:val="clear" w:color="auto" w:fill="auto"/>
            <w:vAlign w:val="center"/>
            <w:hideMark/>
          </w:tcPr>
          <w:p w:rsidR="00007373" w:rsidRPr="00007373" w:rsidRDefault="00007373" w:rsidP="00007373">
            <w:pPr>
              <w:rPr>
                <w:rFonts w:asciiTheme="majorHAnsi" w:hAnsiTheme="majorHAnsi"/>
                <w:sz w:val="16"/>
                <w:szCs w:val="16"/>
              </w:rPr>
            </w:pPr>
          </w:p>
        </w:tc>
        <w:tc>
          <w:tcPr>
            <w:tcW w:w="3131" w:type="dxa"/>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Цена за ед. площади</w:t>
            </w:r>
          </w:p>
        </w:tc>
        <w:tc>
          <w:tcPr>
            <w:tcW w:w="4451" w:type="dxa"/>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 </w:t>
            </w:r>
          </w:p>
        </w:tc>
        <w:tc>
          <w:tcPr>
            <w:tcW w:w="1644" w:type="dxa"/>
            <w:tcBorders>
              <w:top w:val="nil"/>
              <w:left w:val="single" w:sz="4" w:space="0" w:color="auto"/>
              <w:bottom w:val="single" w:sz="4" w:space="0" w:color="auto"/>
              <w:right w:val="single" w:sz="4" w:space="0" w:color="auto"/>
            </w:tcBorders>
            <w:shd w:val="clear" w:color="000000" w:fill="FFFFFF"/>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228,57</w:t>
            </w:r>
          </w:p>
        </w:tc>
        <w:tc>
          <w:tcPr>
            <w:tcW w:w="1680" w:type="dxa"/>
            <w:tcBorders>
              <w:top w:val="nil"/>
              <w:left w:val="nil"/>
              <w:bottom w:val="single" w:sz="4" w:space="0" w:color="auto"/>
              <w:right w:val="single" w:sz="4" w:space="0" w:color="auto"/>
            </w:tcBorders>
            <w:shd w:val="clear" w:color="000000" w:fill="FFFFFF"/>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250,00</w:t>
            </w:r>
          </w:p>
        </w:tc>
        <w:tc>
          <w:tcPr>
            <w:tcW w:w="1682" w:type="dxa"/>
            <w:tcBorders>
              <w:top w:val="nil"/>
              <w:left w:val="nil"/>
              <w:bottom w:val="single" w:sz="4" w:space="0" w:color="auto"/>
              <w:right w:val="single" w:sz="4" w:space="0" w:color="auto"/>
            </w:tcBorders>
            <w:shd w:val="clear" w:color="000000" w:fill="FFFFFF"/>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228,57</w:t>
            </w:r>
          </w:p>
        </w:tc>
        <w:tc>
          <w:tcPr>
            <w:tcW w:w="1701" w:type="dxa"/>
            <w:tcBorders>
              <w:top w:val="nil"/>
              <w:left w:val="nil"/>
              <w:bottom w:val="single" w:sz="4" w:space="0" w:color="auto"/>
              <w:right w:val="single" w:sz="4" w:space="0" w:color="auto"/>
            </w:tcBorders>
            <w:shd w:val="clear" w:color="000000" w:fill="FFFFFF"/>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266,81</w:t>
            </w:r>
          </w:p>
        </w:tc>
      </w:tr>
      <w:tr w:rsidR="006C6293" w:rsidRPr="00007373" w:rsidTr="006C6293">
        <w:trPr>
          <w:trHeight w:val="20"/>
          <w:jc w:val="center"/>
        </w:trPr>
        <w:tc>
          <w:tcPr>
            <w:tcW w:w="4527" w:type="dxa"/>
            <w:gridSpan w:val="2"/>
            <w:shd w:val="clear" w:color="auto" w:fill="auto"/>
            <w:vAlign w:val="center"/>
            <w:hideMark/>
          </w:tcPr>
          <w:p w:rsidR="00007373" w:rsidRPr="00007373" w:rsidRDefault="00007373" w:rsidP="00007373">
            <w:pPr>
              <w:jc w:val="center"/>
              <w:rPr>
                <w:rFonts w:asciiTheme="majorHAnsi" w:hAnsiTheme="majorHAnsi"/>
                <w:b/>
                <w:bCs/>
                <w:sz w:val="16"/>
                <w:szCs w:val="16"/>
              </w:rPr>
            </w:pPr>
            <w:r w:rsidRPr="00007373">
              <w:rPr>
                <w:rFonts w:asciiTheme="majorHAnsi" w:hAnsiTheme="majorHAnsi"/>
                <w:b/>
                <w:bCs/>
                <w:sz w:val="16"/>
                <w:szCs w:val="16"/>
              </w:rPr>
              <w:t>Элементы сравнения</w:t>
            </w:r>
          </w:p>
        </w:tc>
        <w:tc>
          <w:tcPr>
            <w:tcW w:w="4451" w:type="dxa"/>
            <w:shd w:val="clear" w:color="auto" w:fill="auto"/>
            <w:vAlign w:val="center"/>
            <w:hideMark/>
          </w:tcPr>
          <w:p w:rsidR="00007373" w:rsidRPr="00007373" w:rsidRDefault="00007373" w:rsidP="00007373">
            <w:pPr>
              <w:rPr>
                <w:rFonts w:asciiTheme="majorHAnsi" w:hAnsiTheme="majorHAnsi"/>
                <w:b/>
                <w:bCs/>
                <w:sz w:val="16"/>
                <w:szCs w:val="16"/>
              </w:rPr>
            </w:pPr>
            <w:r w:rsidRPr="00007373">
              <w:rPr>
                <w:rFonts w:asciiTheme="majorHAnsi" w:hAnsiTheme="majorHAnsi"/>
                <w:b/>
                <w:bCs/>
                <w:sz w:val="16"/>
                <w:szCs w:val="16"/>
              </w:rPr>
              <w:t> </w:t>
            </w:r>
          </w:p>
        </w:tc>
        <w:tc>
          <w:tcPr>
            <w:tcW w:w="1644" w:type="dxa"/>
            <w:shd w:val="clear" w:color="auto" w:fill="auto"/>
            <w:vAlign w:val="center"/>
            <w:hideMark/>
          </w:tcPr>
          <w:p w:rsidR="00007373" w:rsidRPr="00007373" w:rsidRDefault="00007373" w:rsidP="00007373">
            <w:pPr>
              <w:rPr>
                <w:rFonts w:asciiTheme="majorHAnsi" w:hAnsiTheme="majorHAnsi"/>
                <w:b/>
                <w:bCs/>
                <w:sz w:val="16"/>
                <w:szCs w:val="16"/>
              </w:rPr>
            </w:pPr>
            <w:r w:rsidRPr="00007373">
              <w:rPr>
                <w:rFonts w:asciiTheme="majorHAnsi" w:hAnsiTheme="majorHAnsi"/>
                <w:b/>
                <w:bCs/>
                <w:sz w:val="16"/>
                <w:szCs w:val="16"/>
              </w:rPr>
              <w:t> </w:t>
            </w:r>
          </w:p>
        </w:tc>
        <w:tc>
          <w:tcPr>
            <w:tcW w:w="1680" w:type="dxa"/>
            <w:shd w:val="clear" w:color="auto" w:fill="auto"/>
            <w:vAlign w:val="center"/>
            <w:hideMark/>
          </w:tcPr>
          <w:p w:rsidR="00007373" w:rsidRPr="00007373" w:rsidRDefault="00007373" w:rsidP="00007373">
            <w:pPr>
              <w:rPr>
                <w:rFonts w:asciiTheme="majorHAnsi" w:hAnsiTheme="majorHAnsi"/>
                <w:b/>
                <w:bCs/>
                <w:sz w:val="16"/>
                <w:szCs w:val="16"/>
              </w:rPr>
            </w:pPr>
            <w:r w:rsidRPr="00007373">
              <w:rPr>
                <w:rFonts w:asciiTheme="majorHAnsi" w:hAnsiTheme="majorHAnsi"/>
                <w:b/>
                <w:bCs/>
                <w:sz w:val="16"/>
                <w:szCs w:val="16"/>
              </w:rPr>
              <w:t> </w:t>
            </w:r>
          </w:p>
        </w:tc>
        <w:tc>
          <w:tcPr>
            <w:tcW w:w="1682" w:type="dxa"/>
            <w:shd w:val="clear" w:color="auto" w:fill="auto"/>
            <w:vAlign w:val="center"/>
            <w:hideMark/>
          </w:tcPr>
          <w:p w:rsidR="00007373" w:rsidRPr="00007373" w:rsidRDefault="00007373" w:rsidP="00007373">
            <w:pPr>
              <w:rPr>
                <w:rFonts w:asciiTheme="majorHAnsi" w:hAnsiTheme="majorHAnsi"/>
                <w:b/>
                <w:bCs/>
                <w:sz w:val="16"/>
                <w:szCs w:val="16"/>
              </w:rPr>
            </w:pPr>
            <w:r w:rsidRPr="00007373">
              <w:rPr>
                <w:rFonts w:asciiTheme="majorHAnsi" w:hAnsiTheme="majorHAnsi"/>
                <w:b/>
                <w:bCs/>
                <w:sz w:val="16"/>
                <w:szCs w:val="16"/>
              </w:rPr>
              <w:t> </w:t>
            </w:r>
          </w:p>
        </w:tc>
        <w:tc>
          <w:tcPr>
            <w:tcW w:w="1701" w:type="dxa"/>
            <w:shd w:val="clear" w:color="auto" w:fill="auto"/>
            <w:vAlign w:val="center"/>
            <w:hideMark/>
          </w:tcPr>
          <w:p w:rsidR="00007373" w:rsidRPr="00007373" w:rsidRDefault="00007373" w:rsidP="00007373">
            <w:pPr>
              <w:rPr>
                <w:rFonts w:asciiTheme="majorHAnsi" w:hAnsiTheme="majorHAnsi"/>
                <w:b/>
                <w:bCs/>
                <w:sz w:val="16"/>
                <w:szCs w:val="16"/>
              </w:rPr>
            </w:pPr>
            <w:r w:rsidRPr="00007373">
              <w:rPr>
                <w:rFonts w:asciiTheme="majorHAnsi" w:hAnsiTheme="majorHAnsi"/>
                <w:b/>
                <w:bCs/>
                <w:sz w:val="16"/>
                <w:szCs w:val="16"/>
              </w:rPr>
              <w:t> </w:t>
            </w:r>
          </w:p>
        </w:tc>
      </w:tr>
      <w:tr w:rsidR="006C6293" w:rsidRPr="00007373" w:rsidTr="006C6293">
        <w:trPr>
          <w:trHeight w:val="20"/>
          <w:jc w:val="center"/>
        </w:trPr>
        <w:tc>
          <w:tcPr>
            <w:tcW w:w="4527" w:type="dxa"/>
            <w:gridSpan w:val="2"/>
            <w:shd w:val="clear" w:color="auto" w:fill="auto"/>
            <w:vAlign w:val="center"/>
            <w:hideMark/>
          </w:tcPr>
          <w:p w:rsidR="00007373" w:rsidRPr="00007373" w:rsidRDefault="00007373" w:rsidP="00007373">
            <w:pPr>
              <w:jc w:val="center"/>
              <w:rPr>
                <w:rFonts w:asciiTheme="majorHAnsi" w:hAnsiTheme="majorHAnsi"/>
                <w:b/>
                <w:bCs/>
                <w:sz w:val="16"/>
                <w:szCs w:val="16"/>
              </w:rPr>
            </w:pPr>
            <w:r w:rsidRPr="00007373">
              <w:rPr>
                <w:rFonts w:asciiTheme="majorHAnsi" w:hAnsiTheme="majorHAnsi"/>
                <w:b/>
                <w:bCs/>
                <w:sz w:val="16"/>
                <w:szCs w:val="16"/>
              </w:rPr>
              <w:t>Дата продажи, предложения (оценки)</w:t>
            </w:r>
          </w:p>
        </w:tc>
        <w:tc>
          <w:tcPr>
            <w:tcW w:w="4451" w:type="dxa"/>
            <w:shd w:val="clear" w:color="auto" w:fill="auto"/>
            <w:vAlign w:val="center"/>
            <w:hideMark/>
          </w:tcPr>
          <w:p w:rsidR="00007373" w:rsidRPr="00007373" w:rsidRDefault="00007373" w:rsidP="00007373">
            <w:pPr>
              <w:jc w:val="center"/>
              <w:rPr>
                <w:rFonts w:asciiTheme="majorHAnsi" w:hAnsiTheme="majorHAnsi"/>
                <w:sz w:val="16"/>
                <w:szCs w:val="16"/>
              </w:rPr>
            </w:pPr>
            <w:r>
              <w:rPr>
                <w:rFonts w:asciiTheme="majorHAnsi" w:hAnsiTheme="majorHAnsi"/>
                <w:sz w:val="16"/>
                <w:szCs w:val="16"/>
              </w:rPr>
              <w:t>21</w:t>
            </w:r>
            <w:r w:rsidRPr="00007373">
              <w:rPr>
                <w:rFonts w:asciiTheme="majorHAnsi" w:hAnsiTheme="majorHAnsi"/>
                <w:sz w:val="16"/>
                <w:szCs w:val="16"/>
              </w:rPr>
              <w:t>.08.2017</w:t>
            </w:r>
          </w:p>
        </w:tc>
        <w:tc>
          <w:tcPr>
            <w:tcW w:w="6707" w:type="dxa"/>
            <w:gridSpan w:val="4"/>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Оценщик не использовал сведения о событиях произошедших после даты оценки (предложения ).</w:t>
            </w:r>
          </w:p>
        </w:tc>
      </w:tr>
      <w:tr w:rsidR="006C6293" w:rsidRPr="00007373" w:rsidTr="006C6293">
        <w:trPr>
          <w:trHeight w:val="20"/>
          <w:jc w:val="center"/>
        </w:trPr>
        <w:tc>
          <w:tcPr>
            <w:tcW w:w="4527" w:type="dxa"/>
            <w:gridSpan w:val="2"/>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Передаваемые имущественные права</w:t>
            </w:r>
          </w:p>
        </w:tc>
        <w:tc>
          <w:tcPr>
            <w:tcW w:w="4451" w:type="dxa"/>
            <w:shd w:val="clear" w:color="auto" w:fill="auto"/>
            <w:vAlign w:val="center"/>
            <w:hideMark/>
          </w:tcPr>
          <w:p w:rsidR="00007373" w:rsidRPr="00007373" w:rsidRDefault="00007373" w:rsidP="00007373">
            <w:pPr>
              <w:jc w:val="center"/>
              <w:rPr>
                <w:rFonts w:asciiTheme="majorHAnsi" w:hAnsiTheme="majorHAnsi"/>
                <w:sz w:val="16"/>
                <w:szCs w:val="16"/>
              </w:rPr>
            </w:pPr>
            <w:r>
              <w:rPr>
                <w:rFonts w:asciiTheme="majorHAnsi" w:hAnsiTheme="majorHAnsi"/>
                <w:sz w:val="16"/>
                <w:szCs w:val="16"/>
              </w:rPr>
              <w:t xml:space="preserve">Право бессрочного пользования </w:t>
            </w:r>
          </w:p>
        </w:tc>
        <w:tc>
          <w:tcPr>
            <w:tcW w:w="6707" w:type="dxa"/>
            <w:gridSpan w:val="4"/>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В объявлениях предусмотрено предложения о прямой продаже. Сведений о передаче других прав, кроме права собственности отсутствуют.</w:t>
            </w:r>
          </w:p>
        </w:tc>
      </w:tr>
      <w:tr w:rsidR="006C6293" w:rsidRPr="00007373" w:rsidTr="006C6293">
        <w:trPr>
          <w:trHeight w:val="20"/>
          <w:jc w:val="center"/>
        </w:trPr>
        <w:tc>
          <w:tcPr>
            <w:tcW w:w="4527" w:type="dxa"/>
            <w:gridSpan w:val="2"/>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 xml:space="preserve"> Ограничения (обременения) передаваемых  прав</w:t>
            </w:r>
          </w:p>
        </w:tc>
        <w:tc>
          <w:tcPr>
            <w:tcW w:w="4451" w:type="dxa"/>
            <w:shd w:val="clear" w:color="auto" w:fill="auto"/>
            <w:vAlign w:val="center"/>
            <w:hideMark/>
          </w:tcPr>
          <w:p w:rsidR="00007373" w:rsidRPr="00007373" w:rsidRDefault="006C6293" w:rsidP="006C6293">
            <w:pPr>
              <w:jc w:val="center"/>
              <w:rPr>
                <w:rFonts w:asciiTheme="majorHAnsi" w:hAnsiTheme="majorHAnsi"/>
                <w:sz w:val="16"/>
                <w:szCs w:val="16"/>
              </w:rPr>
            </w:pPr>
            <w:r>
              <w:rPr>
                <w:rFonts w:asciiTheme="majorHAnsi" w:hAnsiTheme="majorHAnsi"/>
                <w:sz w:val="16"/>
                <w:szCs w:val="16"/>
              </w:rPr>
              <w:t>Право бессрочного пользования в условиях конкурентного рынка можно расценивать как ограничение (корректировка не применялась, т.к в настоящем Отчете стоимость з.уч. рассчитана условно, в общей стоимости ЕОН не фигурирует)</w:t>
            </w:r>
          </w:p>
        </w:tc>
        <w:tc>
          <w:tcPr>
            <w:tcW w:w="6707" w:type="dxa"/>
            <w:gridSpan w:val="4"/>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Сведения в открытых источниках отсутствуют. Не оказывают существенного влияния на результаты оценки.</w:t>
            </w:r>
          </w:p>
        </w:tc>
      </w:tr>
      <w:tr w:rsidR="006C6293" w:rsidRPr="00007373" w:rsidTr="006C6293">
        <w:trPr>
          <w:trHeight w:val="20"/>
          <w:jc w:val="center"/>
        </w:trPr>
        <w:tc>
          <w:tcPr>
            <w:tcW w:w="4527" w:type="dxa"/>
            <w:gridSpan w:val="2"/>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 xml:space="preserve">Условия финансирования состоявшейся или предполагаемой сделки (вид оплаты, условия кредитования, иные условия) </w:t>
            </w:r>
          </w:p>
        </w:tc>
        <w:tc>
          <w:tcPr>
            <w:tcW w:w="4451" w:type="dxa"/>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 xml:space="preserve">В соответствии с предполагаемым использованием результатов оценки рыночная стоимость предполагает, что платеж за объект оценки выражен в денежной форме </w:t>
            </w:r>
          </w:p>
        </w:tc>
        <w:tc>
          <w:tcPr>
            <w:tcW w:w="6707" w:type="dxa"/>
            <w:gridSpan w:val="4"/>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Предполагается, что платеж за объект оценки выражен в денежной форме, других предложений по условиям оплаты не публикуется.</w:t>
            </w:r>
          </w:p>
        </w:tc>
      </w:tr>
      <w:tr w:rsidR="006C6293" w:rsidRPr="00007373" w:rsidTr="006C6293">
        <w:trPr>
          <w:trHeight w:val="20"/>
          <w:jc w:val="center"/>
        </w:trPr>
        <w:tc>
          <w:tcPr>
            <w:tcW w:w="4527" w:type="dxa"/>
            <w:gridSpan w:val="2"/>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 xml:space="preserve">Условия продажи (нетипичные для рынка условия, сделка между аффилированными лицами, иные условия) </w:t>
            </w:r>
          </w:p>
        </w:tc>
        <w:tc>
          <w:tcPr>
            <w:tcW w:w="4451" w:type="dxa"/>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 xml:space="preserve">Отсутствуют </w:t>
            </w:r>
          </w:p>
        </w:tc>
        <w:tc>
          <w:tcPr>
            <w:tcW w:w="6707" w:type="dxa"/>
            <w:gridSpan w:val="4"/>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Сведения в открытых источниках отсутствуют. Не оказывают существенного влияния на результаты оценки.</w:t>
            </w:r>
          </w:p>
        </w:tc>
      </w:tr>
      <w:tr w:rsidR="00007373" w:rsidRPr="00007373" w:rsidTr="006C6293">
        <w:trPr>
          <w:trHeight w:val="20"/>
          <w:jc w:val="center"/>
        </w:trPr>
        <w:tc>
          <w:tcPr>
            <w:tcW w:w="4527" w:type="dxa"/>
            <w:gridSpan w:val="2"/>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 xml:space="preserve">Условия рынка (изменения цен за период между датами сделки и оценки, скидки к ценам предложений, иные условия)   </w:t>
            </w:r>
          </w:p>
        </w:tc>
        <w:tc>
          <w:tcPr>
            <w:tcW w:w="11158" w:type="dxa"/>
            <w:gridSpan w:val="5"/>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В Отчете использованы сведения об объектах аналогах с учетом условия, что со времени предложения к реализации до даты оценки изменений цен на рынке, которые могут повлиять на результаты оценки не произошло, скидки к ценам предложений могут применяться в рамках уторговывания, типичного для данного сегмента рынка, сведения об иных условий рынка, способных повлиять на результаты оценки в источниках информации по предложениям реализации объектов аналогов не имеется</w:t>
            </w:r>
          </w:p>
        </w:tc>
      </w:tr>
      <w:tr w:rsidR="006C6293" w:rsidRPr="00007373" w:rsidTr="006C6293">
        <w:trPr>
          <w:trHeight w:val="20"/>
          <w:jc w:val="center"/>
        </w:trPr>
        <w:tc>
          <w:tcPr>
            <w:tcW w:w="4527" w:type="dxa"/>
            <w:gridSpan w:val="2"/>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 xml:space="preserve">Вид использования (зонирование), разрешенное использование земельного участка </w:t>
            </w:r>
          </w:p>
        </w:tc>
        <w:tc>
          <w:tcPr>
            <w:tcW w:w="4451" w:type="dxa"/>
            <w:shd w:val="clear" w:color="auto" w:fill="auto"/>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Земли населенных пунктов</w:t>
            </w:r>
          </w:p>
        </w:tc>
        <w:tc>
          <w:tcPr>
            <w:tcW w:w="1644" w:type="dxa"/>
            <w:shd w:val="clear" w:color="auto" w:fill="auto"/>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Земли населенных пунктов</w:t>
            </w:r>
          </w:p>
        </w:tc>
        <w:tc>
          <w:tcPr>
            <w:tcW w:w="1680" w:type="dxa"/>
            <w:shd w:val="clear" w:color="auto" w:fill="auto"/>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Земли населенных пунктов</w:t>
            </w:r>
          </w:p>
        </w:tc>
        <w:tc>
          <w:tcPr>
            <w:tcW w:w="1682" w:type="dxa"/>
            <w:shd w:val="clear" w:color="auto" w:fill="auto"/>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Земли населенных пунктов</w:t>
            </w:r>
          </w:p>
        </w:tc>
        <w:tc>
          <w:tcPr>
            <w:tcW w:w="1701" w:type="dxa"/>
            <w:shd w:val="clear" w:color="auto" w:fill="auto"/>
            <w:vAlign w:val="center"/>
            <w:hideMark/>
          </w:tcPr>
          <w:p w:rsidR="00007373" w:rsidRPr="00007373" w:rsidRDefault="00007373" w:rsidP="00007373">
            <w:pPr>
              <w:jc w:val="center"/>
              <w:rPr>
                <w:rFonts w:ascii="Cambria" w:hAnsi="Cambria"/>
                <w:color w:val="000000"/>
                <w:sz w:val="16"/>
                <w:szCs w:val="16"/>
              </w:rPr>
            </w:pPr>
            <w:r w:rsidRPr="00007373">
              <w:rPr>
                <w:rFonts w:ascii="Cambria" w:hAnsi="Cambria"/>
                <w:color w:val="000000"/>
                <w:sz w:val="16"/>
                <w:szCs w:val="16"/>
              </w:rPr>
              <w:t>Земли населенных пунктов</w:t>
            </w:r>
          </w:p>
        </w:tc>
      </w:tr>
      <w:tr w:rsidR="006C6293" w:rsidRPr="00007373" w:rsidTr="006C6293">
        <w:trPr>
          <w:trHeight w:val="20"/>
          <w:jc w:val="center"/>
        </w:trPr>
        <w:tc>
          <w:tcPr>
            <w:tcW w:w="4527" w:type="dxa"/>
            <w:gridSpan w:val="2"/>
            <w:shd w:val="clear" w:color="auto" w:fill="auto"/>
            <w:vAlign w:val="center"/>
            <w:hideMark/>
          </w:tcPr>
          <w:p w:rsidR="006C6293" w:rsidRPr="00007373" w:rsidRDefault="006C6293" w:rsidP="006C6293">
            <w:pPr>
              <w:jc w:val="center"/>
              <w:rPr>
                <w:rFonts w:asciiTheme="majorHAnsi" w:hAnsiTheme="majorHAnsi"/>
                <w:sz w:val="16"/>
                <w:szCs w:val="16"/>
              </w:rPr>
            </w:pPr>
            <w:r w:rsidRPr="00007373">
              <w:rPr>
                <w:rFonts w:asciiTheme="majorHAnsi" w:hAnsiTheme="majorHAnsi"/>
                <w:sz w:val="16"/>
                <w:szCs w:val="16"/>
              </w:rPr>
              <w:t>Местоположение объекта</w:t>
            </w:r>
          </w:p>
        </w:tc>
        <w:tc>
          <w:tcPr>
            <w:tcW w:w="4451" w:type="dxa"/>
            <w:shd w:val="clear" w:color="auto" w:fill="auto"/>
            <w:vAlign w:val="center"/>
            <w:hideMark/>
          </w:tcPr>
          <w:p w:rsidR="006C6293" w:rsidRPr="00007373" w:rsidRDefault="006C6293" w:rsidP="006C6293">
            <w:pPr>
              <w:jc w:val="center"/>
              <w:rPr>
                <w:rFonts w:ascii="Cambria" w:hAnsi="Cambria"/>
                <w:color w:val="000000"/>
                <w:sz w:val="16"/>
                <w:szCs w:val="16"/>
              </w:rPr>
            </w:pPr>
            <w:r w:rsidRPr="006C6293">
              <w:rPr>
                <w:rFonts w:ascii="Cambria" w:hAnsi="Cambria"/>
                <w:color w:val="000000"/>
                <w:sz w:val="16"/>
                <w:szCs w:val="16"/>
              </w:rPr>
              <w:t>Белгородская обл. г. Белгород, ул Сумская, 168</w:t>
            </w:r>
          </w:p>
        </w:tc>
        <w:tc>
          <w:tcPr>
            <w:tcW w:w="1644" w:type="dxa"/>
            <w:shd w:val="clear" w:color="auto" w:fill="auto"/>
            <w:vAlign w:val="center"/>
            <w:hideMark/>
          </w:tcPr>
          <w:p w:rsidR="006C6293" w:rsidRPr="006C6293" w:rsidRDefault="006C6293" w:rsidP="006C6293">
            <w:pPr>
              <w:jc w:val="center"/>
              <w:rPr>
                <w:rFonts w:asciiTheme="majorHAnsi" w:hAnsiTheme="majorHAnsi"/>
                <w:sz w:val="16"/>
                <w:szCs w:val="16"/>
              </w:rPr>
            </w:pPr>
            <w:r w:rsidRPr="006C6293">
              <w:rPr>
                <w:rFonts w:asciiTheme="majorHAnsi" w:hAnsiTheme="majorHAnsi"/>
                <w:sz w:val="16"/>
                <w:szCs w:val="16"/>
              </w:rPr>
              <w:t>Белгородская обл. г. Белгород, Западный р-н, Таврово,2</w:t>
            </w:r>
          </w:p>
        </w:tc>
        <w:tc>
          <w:tcPr>
            <w:tcW w:w="1680" w:type="dxa"/>
            <w:shd w:val="clear" w:color="auto" w:fill="auto"/>
            <w:vAlign w:val="center"/>
            <w:hideMark/>
          </w:tcPr>
          <w:p w:rsidR="006C6293" w:rsidRPr="006C6293" w:rsidRDefault="006C6293" w:rsidP="006C6293">
            <w:pPr>
              <w:jc w:val="center"/>
              <w:rPr>
                <w:rFonts w:asciiTheme="majorHAnsi" w:hAnsiTheme="majorHAnsi"/>
                <w:sz w:val="16"/>
                <w:szCs w:val="16"/>
              </w:rPr>
            </w:pPr>
            <w:r w:rsidRPr="006C6293">
              <w:rPr>
                <w:rFonts w:asciiTheme="majorHAnsi" w:hAnsiTheme="majorHAnsi"/>
                <w:sz w:val="16"/>
                <w:szCs w:val="16"/>
              </w:rPr>
              <w:t>Белгородская обл. г. Белгород, Дубовое 1</w:t>
            </w:r>
          </w:p>
        </w:tc>
        <w:tc>
          <w:tcPr>
            <w:tcW w:w="1682" w:type="dxa"/>
            <w:shd w:val="clear" w:color="auto" w:fill="auto"/>
            <w:vAlign w:val="center"/>
            <w:hideMark/>
          </w:tcPr>
          <w:p w:rsidR="006C6293" w:rsidRPr="006C6293" w:rsidRDefault="006C6293" w:rsidP="006C6293">
            <w:pPr>
              <w:jc w:val="center"/>
              <w:rPr>
                <w:rFonts w:asciiTheme="majorHAnsi" w:hAnsiTheme="majorHAnsi"/>
                <w:sz w:val="16"/>
                <w:szCs w:val="16"/>
              </w:rPr>
            </w:pPr>
            <w:r w:rsidRPr="006C6293">
              <w:rPr>
                <w:rFonts w:asciiTheme="majorHAnsi" w:hAnsiTheme="majorHAnsi"/>
                <w:sz w:val="16"/>
                <w:szCs w:val="16"/>
              </w:rPr>
              <w:t>Белгородская обл. г. Белгород, Западный р-н, Улитка</w:t>
            </w:r>
          </w:p>
        </w:tc>
        <w:tc>
          <w:tcPr>
            <w:tcW w:w="1701" w:type="dxa"/>
            <w:shd w:val="clear" w:color="auto" w:fill="auto"/>
            <w:vAlign w:val="center"/>
            <w:hideMark/>
          </w:tcPr>
          <w:p w:rsidR="006C6293" w:rsidRPr="006C6293" w:rsidRDefault="006C6293" w:rsidP="006C6293">
            <w:pPr>
              <w:jc w:val="center"/>
              <w:rPr>
                <w:rFonts w:asciiTheme="majorHAnsi" w:hAnsiTheme="majorHAnsi"/>
                <w:sz w:val="16"/>
                <w:szCs w:val="16"/>
              </w:rPr>
            </w:pPr>
            <w:r w:rsidRPr="006C6293">
              <w:rPr>
                <w:rFonts w:asciiTheme="majorHAnsi" w:hAnsiTheme="majorHAnsi"/>
                <w:sz w:val="16"/>
                <w:szCs w:val="16"/>
              </w:rPr>
              <w:t>Белгородская обл. г. Белгород, Дубовое</w:t>
            </w:r>
          </w:p>
        </w:tc>
      </w:tr>
      <w:tr w:rsidR="006C6293" w:rsidRPr="00007373" w:rsidTr="006C6293">
        <w:trPr>
          <w:trHeight w:val="20"/>
          <w:jc w:val="center"/>
        </w:trPr>
        <w:tc>
          <w:tcPr>
            <w:tcW w:w="4527" w:type="dxa"/>
            <w:gridSpan w:val="2"/>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Степень соответствия местоположения оцениваемого объекта месту расположения аналога</w:t>
            </w:r>
          </w:p>
        </w:tc>
        <w:tc>
          <w:tcPr>
            <w:tcW w:w="4451" w:type="dxa"/>
            <w:shd w:val="clear" w:color="auto" w:fill="auto"/>
            <w:vAlign w:val="center"/>
            <w:hideMark/>
          </w:tcPr>
          <w:p w:rsidR="00007373" w:rsidRPr="00007373" w:rsidRDefault="00007373" w:rsidP="00007373">
            <w:pPr>
              <w:rPr>
                <w:rFonts w:asciiTheme="majorHAnsi" w:hAnsiTheme="majorHAnsi"/>
                <w:sz w:val="16"/>
                <w:szCs w:val="16"/>
              </w:rPr>
            </w:pPr>
            <w:r w:rsidRPr="00007373">
              <w:rPr>
                <w:rFonts w:asciiTheme="majorHAnsi" w:hAnsiTheme="majorHAnsi"/>
                <w:sz w:val="16"/>
                <w:szCs w:val="16"/>
              </w:rPr>
              <w:t> </w:t>
            </w:r>
          </w:p>
        </w:tc>
        <w:tc>
          <w:tcPr>
            <w:tcW w:w="1644" w:type="dxa"/>
            <w:shd w:val="clear" w:color="auto" w:fill="auto"/>
            <w:vAlign w:val="center"/>
            <w:hideMark/>
          </w:tcPr>
          <w:p w:rsidR="00007373" w:rsidRPr="00007373" w:rsidRDefault="00007373" w:rsidP="00007373">
            <w:pPr>
              <w:rPr>
                <w:rFonts w:asciiTheme="majorHAnsi" w:hAnsiTheme="majorHAnsi"/>
                <w:sz w:val="16"/>
                <w:szCs w:val="16"/>
              </w:rPr>
            </w:pPr>
            <w:r w:rsidRPr="00007373">
              <w:rPr>
                <w:rFonts w:asciiTheme="majorHAnsi" w:hAnsiTheme="majorHAnsi"/>
                <w:sz w:val="16"/>
                <w:szCs w:val="16"/>
              </w:rPr>
              <w:t> </w:t>
            </w:r>
          </w:p>
        </w:tc>
        <w:tc>
          <w:tcPr>
            <w:tcW w:w="1680" w:type="dxa"/>
            <w:shd w:val="clear" w:color="auto" w:fill="auto"/>
            <w:vAlign w:val="center"/>
            <w:hideMark/>
          </w:tcPr>
          <w:p w:rsidR="00007373" w:rsidRPr="00007373" w:rsidRDefault="00007373" w:rsidP="00007373">
            <w:pPr>
              <w:rPr>
                <w:rFonts w:asciiTheme="majorHAnsi" w:hAnsiTheme="majorHAnsi"/>
                <w:sz w:val="16"/>
                <w:szCs w:val="16"/>
              </w:rPr>
            </w:pPr>
            <w:r w:rsidRPr="00007373">
              <w:rPr>
                <w:rFonts w:asciiTheme="majorHAnsi" w:hAnsiTheme="majorHAnsi"/>
                <w:sz w:val="16"/>
                <w:szCs w:val="16"/>
              </w:rPr>
              <w:t> </w:t>
            </w:r>
          </w:p>
        </w:tc>
        <w:tc>
          <w:tcPr>
            <w:tcW w:w="1682" w:type="dxa"/>
            <w:shd w:val="clear" w:color="auto" w:fill="auto"/>
            <w:vAlign w:val="center"/>
            <w:hideMark/>
          </w:tcPr>
          <w:p w:rsidR="00007373" w:rsidRPr="00007373" w:rsidRDefault="00007373" w:rsidP="00007373">
            <w:pPr>
              <w:rPr>
                <w:rFonts w:asciiTheme="majorHAnsi" w:hAnsiTheme="majorHAnsi"/>
                <w:sz w:val="16"/>
                <w:szCs w:val="16"/>
              </w:rPr>
            </w:pPr>
            <w:r w:rsidRPr="00007373">
              <w:rPr>
                <w:rFonts w:asciiTheme="majorHAnsi" w:hAnsiTheme="majorHAnsi"/>
                <w:sz w:val="16"/>
                <w:szCs w:val="16"/>
              </w:rPr>
              <w:t> </w:t>
            </w:r>
          </w:p>
        </w:tc>
        <w:tc>
          <w:tcPr>
            <w:tcW w:w="1701" w:type="dxa"/>
            <w:shd w:val="clear" w:color="auto" w:fill="auto"/>
            <w:vAlign w:val="center"/>
            <w:hideMark/>
          </w:tcPr>
          <w:p w:rsidR="00007373" w:rsidRPr="00007373" w:rsidRDefault="00007373" w:rsidP="00007373">
            <w:pPr>
              <w:rPr>
                <w:rFonts w:asciiTheme="majorHAnsi" w:hAnsiTheme="majorHAnsi"/>
                <w:sz w:val="16"/>
                <w:szCs w:val="16"/>
              </w:rPr>
            </w:pPr>
            <w:r w:rsidRPr="00007373">
              <w:rPr>
                <w:rFonts w:asciiTheme="majorHAnsi" w:hAnsiTheme="majorHAnsi"/>
                <w:sz w:val="16"/>
                <w:szCs w:val="16"/>
              </w:rPr>
              <w:t> </w:t>
            </w:r>
          </w:p>
        </w:tc>
      </w:tr>
      <w:tr w:rsidR="00007373" w:rsidRPr="00007373" w:rsidTr="006C6293">
        <w:trPr>
          <w:trHeight w:val="20"/>
          <w:jc w:val="center"/>
        </w:trPr>
        <w:tc>
          <w:tcPr>
            <w:tcW w:w="1396" w:type="dxa"/>
            <w:vMerge w:val="restart"/>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Физические характеристики объекта</w:t>
            </w:r>
          </w:p>
        </w:tc>
        <w:tc>
          <w:tcPr>
            <w:tcW w:w="3131" w:type="dxa"/>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Свойства земельного участка, состояние объектов капитального строительства</w:t>
            </w:r>
          </w:p>
        </w:tc>
        <w:tc>
          <w:tcPr>
            <w:tcW w:w="11158" w:type="dxa"/>
            <w:gridSpan w:val="5"/>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ЗУ характерные для местности расположения объекта оценки и аналогов, незначительные различия в рельефе и характеристиках не оказывают существенного влияния на результаты оценки.</w:t>
            </w:r>
          </w:p>
        </w:tc>
      </w:tr>
      <w:tr w:rsidR="00007373" w:rsidRPr="00007373" w:rsidTr="006C6293">
        <w:trPr>
          <w:trHeight w:val="20"/>
          <w:jc w:val="center"/>
        </w:trPr>
        <w:tc>
          <w:tcPr>
            <w:tcW w:w="1396" w:type="dxa"/>
            <w:vMerge/>
            <w:shd w:val="clear" w:color="auto" w:fill="auto"/>
            <w:vAlign w:val="center"/>
            <w:hideMark/>
          </w:tcPr>
          <w:p w:rsidR="00007373" w:rsidRPr="00007373" w:rsidRDefault="00007373" w:rsidP="00007373">
            <w:pPr>
              <w:rPr>
                <w:rFonts w:asciiTheme="majorHAnsi" w:hAnsiTheme="majorHAnsi"/>
                <w:sz w:val="16"/>
                <w:szCs w:val="16"/>
              </w:rPr>
            </w:pPr>
          </w:p>
        </w:tc>
        <w:tc>
          <w:tcPr>
            <w:tcW w:w="3131" w:type="dxa"/>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Соотношение площади земельного участка и площади его застройки</w:t>
            </w:r>
          </w:p>
        </w:tc>
        <w:tc>
          <w:tcPr>
            <w:tcW w:w="11158" w:type="dxa"/>
            <w:gridSpan w:val="5"/>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Оценивается как условно незастроенный.</w:t>
            </w:r>
          </w:p>
        </w:tc>
      </w:tr>
      <w:tr w:rsidR="00007373" w:rsidRPr="00007373" w:rsidTr="006C6293">
        <w:trPr>
          <w:trHeight w:val="20"/>
          <w:jc w:val="center"/>
        </w:trPr>
        <w:tc>
          <w:tcPr>
            <w:tcW w:w="1396" w:type="dxa"/>
            <w:vMerge/>
            <w:shd w:val="clear" w:color="auto" w:fill="auto"/>
            <w:vAlign w:val="center"/>
            <w:hideMark/>
          </w:tcPr>
          <w:p w:rsidR="00007373" w:rsidRPr="00007373" w:rsidRDefault="00007373" w:rsidP="00007373">
            <w:pPr>
              <w:rPr>
                <w:rFonts w:asciiTheme="majorHAnsi" w:hAnsiTheme="majorHAnsi"/>
                <w:sz w:val="16"/>
                <w:szCs w:val="16"/>
              </w:rPr>
            </w:pPr>
          </w:p>
        </w:tc>
        <w:tc>
          <w:tcPr>
            <w:tcW w:w="3131" w:type="dxa"/>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Иные характеристики</w:t>
            </w:r>
          </w:p>
        </w:tc>
        <w:tc>
          <w:tcPr>
            <w:tcW w:w="11158" w:type="dxa"/>
            <w:gridSpan w:val="5"/>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Сведения отсутствуют, не оказывают существенного влияния на результаты оценки.</w:t>
            </w:r>
          </w:p>
        </w:tc>
      </w:tr>
      <w:tr w:rsidR="00007373" w:rsidRPr="00007373" w:rsidTr="006C6293">
        <w:trPr>
          <w:trHeight w:val="20"/>
          <w:jc w:val="center"/>
        </w:trPr>
        <w:tc>
          <w:tcPr>
            <w:tcW w:w="1396" w:type="dxa"/>
            <w:vMerge w:val="restart"/>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 xml:space="preserve">Экономические характеристики </w:t>
            </w:r>
          </w:p>
        </w:tc>
        <w:tc>
          <w:tcPr>
            <w:tcW w:w="3131" w:type="dxa"/>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уровень операционных расходов</w:t>
            </w:r>
          </w:p>
        </w:tc>
        <w:tc>
          <w:tcPr>
            <w:tcW w:w="11158" w:type="dxa"/>
            <w:gridSpan w:val="5"/>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Типичный для аналогичных объектов, составляет от 0,5 до 3%% эффективного валового дохода от использования недвижимости.</w:t>
            </w:r>
          </w:p>
        </w:tc>
      </w:tr>
      <w:tr w:rsidR="006C6293" w:rsidRPr="00007373" w:rsidTr="006C6293">
        <w:trPr>
          <w:trHeight w:val="20"/>
          <w:jc w:val="center"/>
        </w:trPr>
        <w:tc>
          <w:tcPr>
            <w:tcW w:w="1396" w:type="dxa"/>
            <w:vMerge/>
            <w:shd w:val="clear" w:color="auto" w:fill="auto"/>
            <w:vAlign w:val="center"/>
            <w:hideMark/>
          </w:tcPr>
          <w:p w:rsidR="00007373" w:rsidRPr="00007373" w:rsidRDefault="00007373" w:rsidP="00007373">
            <w:pPr>
              <w:rPr>
                <w:rFonts w:asciiTheme="majorHAnsi" w:hAnsiTheme="majorHAnsi"/>
                <w:sz w:val="16"/>
                <w:szCs w:val="16"/>
              </w:rPr>
            </w:pPr>
          </w:p>
        </w:tc>
        <w:tc>
          <w:tcPr>
            <w:tcW w:w="3131" w:type="dxa"/>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условия аренды, состав арендаторов</w:t>
            </w:r>
          </w:p>
        </w:tc>
        <w:tc>
          <w:tcPr>
            <w:tcW w:w="4451" w:type="dxa"/>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Не используются на правах аренды</w:t>
            </w:r>
          </w:p>
        </w:tc>
        <w:tc>
          <w:tcPr>
            <w:tcW w:w="6707" w:type="dxa"/>
            <w:gridSpan w:val="4"/>
            <w:shd w:val="clear" w:color="auto" w:fill="auto"/>
            <w:vAlign w:val="center"/>
            <w:hideMark/>
          </w:tcPr>
          <w:p w:rsidR="00007373" w:rsidRPr="00007373" w:rsidRDefault="00007373" w:rsidP="00007373">
            <w:pPr>
              <w:rPr>
                <w:rFonts w:asciiTheme="majorHAnsi" w:hAnsiTheme="majorHAnsi"/>
                <w:sz w:val="16"/>
                <w:szCs w:val="16"/>
              </w:rPr>
            </w:pPr>
            <w:r w:rsidRPr="00007373">
              <w:rPr>
                <w:rFonts w:asciiTheme="majorHAnsi" w:hAnsiTheme="majorHAnsi"/>
                <w:sz w:val="16"/>
                <w:szCs w:val="16"/>
              </w:rPr>
              <w:t>Сведения отсутствуют. Не оказывают существенного влияния на результаты оценки.</w:t>
            </w:r>
          </w:p>
        </w:tc>
      </w:tr>
      <w:tr w:rsidR="00007373" w:rsidRPr="00007373" w:rsidTr="006C6293">
        <w:trPr>
          <w:trHeight w:val="20"/>
          <w:jc w:val="center"/>
        </w:trPr>
        <w:tc>
          <w:tcPr>
            <w:tcW w:w="1396" w:type="dxa"/>
            <w:vMerge/>
            <w:shd w:val="clear" w:color="auto" w:fill="auto"/>
            <w:vAlign w:val="center"/>
            <w:hideMark/>
          </w:tcPr>
          <w:p w:rsidR="00007373" w:rsidRPr="00007373" w:rsidRDefault="00007373" w:rsidP="00007373">
            <w:pPr>
              <w:rPr>
                <w:rFonts w:asciiTheme="majorHAnsi" w:hAnsiTheme="majorHAnsi"/>
                <w:sz w:val="16"/>
                <w:szCs w:val="16"/>
              </w:rPr>
            </w:pPr>
          </w:p>
        </w:tc>
        <w:tc>
          <w:tcPr>
            <w:tcW w:w="3131" w:type="dxa"/>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Иные характеристики</w:t>
            </w:r>
          </w:p>
        </w:tc>
        <w:tc>
          <w:tcPr>
            <w:tcW w:w="11158" w:type="dxa"/>
            <w:gridSpan w:val="5"/>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Сведения отсутствуют</w:t>
            </w:r>
          </w:p>
        </w:tc>
      </w:tr>
      <w:tr w:rsidR="006C6293" w:rsidRPr="00007373" w:rsidTr="006C6293">
        <w:trPr>
          <w:trHeight w:val="20"/>
          <w:jc w:val="center"/>
        </w:trPr>
        <w:tc>
          <w:tcPr>
            <w:tcW w:w="4527" w:type="dxa"/>
            <w:gridSpan w:val="2"/>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Наличие движимого имущества, не связанного с недвижимостью</w:t>
            </w:r>
          </w:p>
        </w:tc>
        <w:tc>
          <w:tcPr>
            <w:tcW w:w="4451" w:type="dxa"/>
            <w:shd w:val="clear" w:color="auto" w:fill="auto"/>
            <w:noWrap/>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Не оценивается</w:t>
            </w:r>
          </w:p>
        </w:tc>
        <w:tc>
          <w:tcPr>
            <w:tcW w:w="6707" w:type="dxa"/>
            <w:gridSpan w:val="4"/>
            <w:shd w:val="clear" w:color="auto" w:fill="auto"/>
            <w:vAlign w:val="center"/>
            <w:hideMark/>
          </w:tcPr>
          <w:p w:rsidR="00007373" w:rsidRPr="00007373" w:rsidRDefault="00007373" w:rsidP="00007373">
            <w:pPr>
              <w:jc w:val="center"/>
              <w:rPr>
                <w:rFonts w:asciiTheme="majorHAnsi" w:hAnsiTheme="majorHAnsi"/>
                <w:sz w:val="16"/>
                <w:szCs w:val="16"/>
              </w:rPr>
            </w:pPr>
            <w:r w:rsidRPr="00007373">
              <w:rPr>
                <w:rFonts w:asciiTheme="majorHAnsi" w:hAnsiTheme="majorHAnsi"/>
                <w:sz w:val="16"/>
                <w:szCs w:val="16"/>
              </w:rPr>
              <w:t>Сведения о наличии в составе объекта движимого имущества в открытых источниках отсутствуют.</w:t>
            </w:r>
          </w:p>
        </w:tc>
      </w:tr>
    </w:tbl>
    <w:p w:rsidR="004608BE" w:rsidRPr="004608BE" w:rsidRDefault="004608BE" w:rsidP="004608BE">
      <w:pPr>
        <w:jc w:val="center"/>
        <w:rPr>
          <w:rFonts w:asciiTheme="majorHAnsi" w:hAnsiTheme="majorHAnsi"/>
          <w:b/>
          <w:bCs/>
          <w:sz w:val="20"/>
          <w:szCs w:val="20"/>
        </w:rPr>
      </w:pPr>
      <w:r w:rsidRPr="0001080D">
        <w:rPr>
          <w:rFonts w:asciiTheme="majorHAnsi" w:eastAsiaTheme="minorHAnsi" w:hAnsiTheme="majorHAnsi" w:cstheme="minorBidi"/>
          <w:b/>
          <w:bCs/>
          <w:sz w:val="20"/>
          <w:szCs w:val="22"/>
          <w:lang w:eastAsia="en-US"/>
        </w:rPr>
        <w:lastRenderedPageBreak/>
        <w:t>ПОДБОР АНАЛОГОВ ДЛЯ</w:t>
      </w:r>
      <w:r w:rsidRPr="004608BE">
        <w:rPr>
          <w:rFonts w:asciiTheme="majorHAnsi" w:hAnsiTheme="majorHAnsi"/>
          <w:b/>
          <w:bCs/>
          <w:sz w:val="20"/>
          <w:szCs w:val="20"/>
        </w:rPr>
        <w:t xml:space="preserve"> ЗЕМЕЛЬНОГО УЧАСТКА, ПЛОЩАДЬЮ </w:t>
      </w:r>
      <w:r>
        <w:rPr>
          <w:rFonts w:asciiTheme="majorHAnsi" w:hAnsiTheme="majorHAnsi"/>
          <w:b/>
          <w:bCs/>
          <w:sz w:val="20"/>
          <w:szCs w:val="20"/>
        </w:rPr>
        <w:t xml:space="preserve">83 276 </w:t>
      </w:r>
      <w:r w:rsidRPr="004608BE">
        <w:rPr>
          <w:rFonts w:asciiTheme="majorHAnsi" w:hAnsiTheme="majorHAnsi"/>
          <w:b/>
          <w:bCs/>
          <w:sz w:val="20"/>
          <w:szCs w:val="20"/>
        </w:rPr>
        <w:t>КВ.М.</w:t>
      </w:r>
    </w:p>
    <w:p w:rsidR="004608BE" w:rsidRPr="004608BE" w:rsidRDefault="004608BE" w:rsidP="004608BE">
      <w:pPr>
        <w:tabs>
          <w:tab w:val="left" w:pos="9996"/>
        </w:tabs>
        <w:rPr>
          <w:rFonts w:asciiTheme="majorHAnsi" w:hAnsiTheme="majorHAnsi"/>
          <w:sz w:val="20"/>
          <w:szCs w:val="20"/>
        </w:rPr>
      </w:pPr>
      <w:r>
        <w:rPr>
          <w:rFonts w:asciiTheme="majorHAnsi" w:hAnsiTheme="majorHAnsi"/>
          <w:sz w:val="20"/>
          <w:szCs w:val="20"/>
        </w:rPr>
        <w:tab/>
      </w:r>
    </w:p>
    <w:tbl>
      <w:tblPr>
        <w:tblW w:w="15462"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396"/>
        <w:gridCol w:w="3131"/>
        <w:gridCol w:w="4451"/>
        <w:gridCol w:w="2667"/>
        <w:gridCol w:w="1842"/>
        <w:gridCol w:w="1975"/>
      </w:tblGrid>
      <w:tr w:rsidR="004608BE" w:rsidRPr="004608BE" w:rsidTr="004608BE">
        <w:trPr>
          <w:trHeight w:val="20"/>
          <w:jc w:val="center"/>
        </w:trPr>
        <w:tc>
          <w:tcPr>
            <w:tcW w:w="15462" w:type="dxa"/>
            <w:gridSpan w:val="6"/>
            <w:shd w:val="clear" w:color="auto" w:fill="auto"/>
            <w:noWrap/>
            <w:vAlign w:val="center"/>
            <w:hideMark/>
          </w:tcPr>
          <w:p w:rsidR="004608BE" w:rsidRPr="004608BE" w:rsidRDefault="004608BE" w:rsidP="004608BE">
            <w:pPr>
              <w:jc w:val="center"/>
              <w:rPr>
                <w:rFonts w:asciiTheme="majorHAnsi" w:hAnsiTheme="majorHAnsi"/>
                <w:b/>
                <w:bCs/>
                <w:sz w:val="16"/>
                <w:szCs w:val="16"/>
              </w:rPr>
            </w:pPr>
            <w:r>
              <w:rPr>
                <w:rFonts w:asciiTheme="majorHAnsi" w:hAnsiTheme="majorHAnsi"/>
                <w:sz w:val="20"/>
                <w:szCs w:val="20"/>
              </w:rPr>
              <w:tab/>
            </w:r>
            <w:r w:rsidRPr="004608BE">
              <w:rPr>
                <w:rFonts w:asciiTheme="majorHAnsi" w:hAnsiTheme="majorHAnsi"/>
                <w:b/>
                <w:bCs/>
                <w:sz w:val="16"/>
                <w:szCs w:val="16"/>
              </w:rPr>
              <w:t>Выбор единицы сравнения и сравнительный анализ объекта оценки и каждого объекта-аналога по всем элементам сравнения</w:t>
            </w:r>
          </w:p>
        </w:tc>
      </w:tr>
      <w:tr w:rsidR="004608BE" w:rsidRPr="004608BE" w:rsidTr="004608BE">
        <w:trPr>
          <w:trHeight w:val="20"/>
          <w:jc w:val="center"/>
        </w:trPr>
        <w:tc>
          <w:tcPr>
            <w:tcW w:w="4527" w:type="dxa"/>
            <w:gridSpan w:val="2"/>
            <w:shd w:val="clear" w:color="auto" w:fill="auto"/>
            <w:vAlign w:val="center"/>
            <w:hideMark/>
          </w:tcPr>
          <w:p w:rsidR="004608BE" w:rsidRPr="004608BE" w:rsidRDefault="004608BE" w:rsidP="004608BE">
            <w:pPr>
              <w:jc w:val="center"/>
              <w:rPr>
                <w:rFonts w:asciiTheme="majorHAnsi" w:hAnsiTheme="majorHAnsi"/>
                <w:b/>
                <w:bCs/>
                <w:sz w:val="16"/>
                <w:szCs w:val="16"/>
              </w:rPr>
            </w:pPr>
            <w:r w:rsidRPr="004608BE">
              <w:rPr>
                <w:rFonts w:asciiTheme="majorHAnsi" w:hAnsiTheme="majorHAnsi"/>
                <w:b/>
                <w:bCs/>
                <w:sz w:val="16"/>
                <w:szCs w:val="16"/>
              </w:rPr>
              <w:t>Характеристика</w:t>
            </w:r>
          </w:p>
        </w:tc>
        <w:tc>
          <w:tcPr>
            <w:tcW w:w="4451" w:type="dxa"/>
            <w:shd w:val="clear" w:color="auto" w:fill="auto"/>
            <w:vAlign w:val="center"/>
            <w:hideMark/>
          </w:tcPr>
          <w:p w:rsidR="004608BE" w:rsidRPr="004608BE" w:rsidRDefault="004608BE" w:rsidP="004608BE">
            <w:pPr>
              <w:jc w:val="center"/>
              <w:rPr>
                <w:rFonts w:asciiTheme="majorHAnsi" w:hAnsiTheme="majorHAnsi"/>
                <w:b/>
                <w:bCs/>
                <w:sz w:val="16"/>
                <w:szCs w:val="16"/>
              </w:rPr>
            </w:pPr>
            <w:r w:rsidRPr="004608BE">
              <w:rPr>
                <w:rFonts w:asciiTheme="majorHAnsi" w:hAnsiTheme="majorHAnsi"/>
                <w:b/>
                <w:bCs/>
                <w:sz w:val="16"/>
                <w:szCs w:val="16"/>
              </w:rPr>
              <w:t>Объект оценки/аналоги</w:t>
            </w:r>
          </w:p>
        </w:tc>
        <w:tc>
          <w:tcPr>
            <w:tcW w:w="2667" w:type="dxa"/>
            <w:shd w:val="clear" w:color="auto" w:fill="auto"/>
            <w:vAlign w:val="center"/>
            <w:hideMark/>
          </w:tcPr>
          <w:p w:rsidR="004608BE" w:rsidRPr="004608BE" w:rsidRDefault="004608BE" w:rsidP="004608BE">
            <w:pPr>
              <w:jc w:val="center"/>
              <w:rPr>
                <w:rFonts w:asciiTheme="majorHAnsi" w:hAnsiTheme="majorHAnsi"/>
                <w:b/>
                <w:bCs/>
                <w:sz w:val="16"/>
                <w:szCs w:val="16"/>
              </w:rPr>
            </w:pPr>
            <w:r w:rsidRPr="004608BE">
              <w:rPr>
                <w:rFonts w:asciiTheme="majorHAnsi" w:hAnsiTheme="majorHAnsi"/>
                <w:b/>
                <w:bCs/>
                <w:sz w:val="16"/>
                <w:szCs w:val="16"/>
              </w:rPr>
              <w:t>Аналог №1</w:t>
            </w:r>
          </w:p>
        </w:tc>
        <w:tc>
          <w:tcPr>
            <w:tcW w:w="1842" w:type="dxa"/>
            <w:shd w:val="clear" w:color="auto" w:fill="auto"/>
            <w:vAlign w:val="center"/>
            <w:hideMark/>
          </w:tcPr>
          <w:p w:rsidR="004608BE" w:rsidRPr="004608BE" w:rsidRDefault="004608BE" w:rsidP="004608BE">
            <w:pPr>
              <w:jc w:val="center"/>
              <w:rPr>
                <w:rFonts w:asciiTheme="majorHAnsi" w:hAnsiTheme="majorHAnsi"/>
                <w:b/>
                <w:bCs/>
                <w:sz w:val="16"/>
                <w:szCs w:val="16"/>
              </w:rPr>
            </w:pPr>
            <w:r w:rsidRPr="004608BE">
              <w:rPr>
                <w:rFonts w:asciiTheme="majorHAnsi" w:hAnsiTheme="majorHAnsi"/>
                <w:b/>
                <w:bCs/>
                <w:sz w:val="16"/>
                <w:szCs w:val="16"/>
              </w:rPr>
              <w:t>Аналог №2</w:t>
            </w:r>
          </w:p>
        </w:tc>
        <w:tc>
          <w:tcPr>
            <w:tcW w:w="1975" w:type="dxa"/>
            <w:shd w:val="clear" w:color="auto" w:fill="auto"/>
            <w:vAlign w:val="center"/>
            <w:hideMark/>
          </w:tcPr>
          <w:p w:rsidR="004608BE" w:rsidRPr="004608BE" w:rsidRDefault="004608BE" w:rsidP="004608BE">
            <w:pPr>
              <w:jc w:val="center"/>
              <w:rPr>
                <w:rFonts w:asciiTheme="majorHAnsi" w:hAnsiTheme="majorHAnsi"/>
                <w:b/>
                <w:bCs/>
                <w:sz w:val="16"/>
                <w:szCs w:val="16"/>
              </w:rPr>
            </w:pPr>
            <w:r w:rsidRPr="004608BE">
              <w:rPr>
                <w:rFonts w:asciiTheme="majorHAnsi" w:hAnsiTheme="majorHAnsi"/>
                <w:b/>
                <w:bCs/>
                <w:sz w:val="16"/>
                <w:szCs w:val="16"/>
              </w:rPr>
              <w:t>Аналог №3</w:t>
            </w:r>
          </w:p>
        </w:tc>
      </w:tr>
      <w:tr w:rsidR="004608BE" w:rsidRPr="004608BE" w:rsidTr="004608BE">
        <w:trPr>
          <w:trHeight w:val="20"/>
          <w:jc w:val="center"/>
        </w:trPr>
        <w:tc>
          <w:tcPr>
            <w:tcW w:w="4527" w:type="dxa"/>
            <w:gridSpan w:val="2"/>
            <w:shd w:val="clear" w:color="auto" w:fill="auto"/>
            <w:vAlign w:val="center"/>
            <w:hideMark/>
          </w:tcPr>
          <w:p w:rsidR="004608BE" w:rsidRPr="004608BE" w:rsidRDefault="004608BE" w:rsidP="004608BE">
            <w:pPr>
              <w:jc w:val="center"/>
              <w:rPr>
                <w:rFonts w:asciiTheme="majorHAnsi" w:hAnsiTheme="majorHAnsi"/>
                <w:b/>
                <w:bCs/>
                <w:sz w:val="16"/>
                <w:szCs w:val="16"/>
              </w:rPr>
            </w:pPr>
            <w:r w:rsidRPr="004608BE">
              <w:rPr>
                <w:rFonts w:asciiTheme="majorHAnsi" w:hAnsiTheme="majorHAnsi"/>
                <w:b/>
                <w:bCs/>
                <w:sz w:val="16"/>
                <w:szCs w:val="16"/>
              </w:rPr>
              <w:t>Источник информации</w:t>
            </w:r>
          </w:p>
        </w:tc>
        <w:tc>
          <w:tcPr>
            <w:tcW w:w="4451" w:type="dxa"/>
            <w:shd w:val="clear" w:color="auto" w:fill="auto"/>
            <w:vAlign w:val="center"/>
            <w:hideMark/>
          </w:tcPr>
          <w:p w:rsidR="004608BE" w:rsidRPr="004608BE" w:rsidRDefault="004608BE" w:rsidP="004608BE">
            <w:pPr>
              <w:rPr>
                <w:rFonts w:asciiTheme="majorHAnsi" w:hAnsiTheme="majorHAnsi"/>
                <w:b/>
                <w:bCs/>
                <w:sz w:val="16"/>
                <w:szCs w:val="16"/>
              </w:rPr>
            </w:pPr>
            <w:r w:rsidRPr="004608BE">
              <w:rPr>
                <w:rFonts w:asciiTheme="majorHAnsi" w:hAnsiTheme="majorHAnsi"/>
                <w:b/>
                <w:bCs/>
                <w:sz w:val="16"/>
                <w:szCs w:val="16"/>
              </w:rPr>
              <w:t> </w:t>
            </w:r>
          </w:p>
        </w:tc>
        <w:tc>
          <w:tcPr>
            <w:tcW w:w="2667" w:type="dxa"/>
            <w:shd w:val="clear" w:color="auto" w:fill="auto"/>
            <w:vAlign w:val="center"/>
            <w:hideMark/>
          </w:tcPr>
          <w:p w:rsidR="004608BE" w:rsidRPr="004608BE" w:rsidRDefault="004608BE" w:rsidP="004608BE">
            <w:pPr>
              <w:rPr>
                <w:rFonts w:asciiTheme="majorHAnsi" w:hAnsiTheme="majorHAnsi"/>
                <w:b/>
                <w:bCs/>
                <w:sz w:val="16"/>
                <w:szCs w:val="16"/>
              </w:rPr>
            </w:pPr>
            <w:r w:rsidRPr="004608BE">
              <w:rPr>
                <w:rFonts w:asciiTheme="majorHAnsi" w:hAnsiTheme="majorHAnsi"/>
                <w:b/>
                <w:bCs/>
                <w:sz w:val="16"/>
                <w:szCs w:val="16"/>
              </w:rPr>
              <w:t> </w:t>
            </w:r>
          </w:p>
        </w:tc>
        <w:tc>
          <w:tcPr>
            <w:tcW w:w="1842" w:type="dxa"/>
            <w:shd w:val="clear" w:color="auto" w:fill="auto"/>
            <w:vAlign w:val="center"/>
            <w:hideMark/>
          </w:tcPr>
          <w:p w:rsidR="004608BE" w:rsidRPr="004608BE" w:rsidRDefault="004608BE" w:rsidP="004608BE">
            <w:pPr>
              <w:rPr>
                <w:rFonts w:asciiTheme="majorHAnsi" w:hAnsiTheme="majorHAnsi"/>
                <w:b/>
                <w:bCs/>
                <w:sz w:val="16"/>
                <w:szCs w:val="16"/>
              </w:rPr>
            </w:pPr>
            <w:r w:rsidRPr="004608BE">
              <w:rPr>
                <w:rFonts w:asciiTheme="majorHAnsi" w:hAnsiTheme="majorHAnsi"/>
                <w:b/>
                <w:bCs/>
                <w:sz w:val="16"/>
                <w:szCs w:val="16"/>
              </w:rPr>
              <w:t> </w:t>
            </w:r>
          </w:p>
        </w:tc>
        <w:tc>
          <w:tcPr>
            <w:tcW w:w="1975" w:type="dxa"/>
            <w:shd w:val="clear" w:color="auto" w:fill="auto"/>
            <w:vAlign w:val="center"/>
            <w:hideMark/>
          </w:tcPr>
          <w:p w:rsidR="004608BE" w:rsidRPr="004608BE" w:rsidRDefault="004608BE" w:rsidP="004608BE">
            <w:pPr>
              <w:rPr>
                <w:rFonts w:asciiTheme="majorHAnsi" w:hAnsiTheme="majorHAnsi"/>
                <w:b/>
                <w:bCs/>
                <w:sz w:val="16"/>
                <w:szCs w:val="16"/>
              </w:rPr>
            </w:pPr>
            <w:r w:rsidRPr="004608BE">
              <w:rPr>
                <w:rFonts w:asciiTheme="majorHAnsi" w:hAnsiTheme="majorHAnsi"/>
                <w:b/>
                <w:bCs/>
                <w:sz w:val="16"/>
                <w:szCs w:val="16"/>
              </w:rPr>
              <w:t> </w:t>
            </w:r>
          </w:p>
        </w:tc>
      </w:tr>
      <w:tr w:rsidR="004608BE" w:rsidRPr="004608BE" w:rsidTr="004608BE">
        <w:trPr>
          <w:trHeight w:val="20"/>
          <w:jc w:val="center"/>
        </w:trPr>
        <w:tc>
          <w:tcPr>
            <w:tcW w:w="1396" w:type="dxa"/>
            <w:vMerge w:val="restart"/>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Единица сравнения</w:t>
            </w:r>
          </w:p>
        </w:tc>
        <w:tc>
          <w:tcPr>
            <w:tcW w:w="313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 xml:space="preserve"> Цена предложения                    </w:t>
            </w:r>
          </w:p>
        </w:tc>
        <w:tc>
          <w:tcPr>
            <w:tcW w:w="445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 </w:t>
            </w:r>
          </w:p>
        </w:tc>
        <w:tc>
          <w:tcPr>
            <w:tcW w:w="2667" w:type="dxa"/>
            <w:shd w:val="clear" w:color="auto" w:fill="auto"/>
            <w:vAlign w:val="center"/>
            <w:hideMark/>
          </w:tcPr>
          <w:p w:rsidR="004608BE" w:rsidRPr="004608BE" w:rsidRDefault="004608BE" w:rsidP="004608BE">
            <w:pPr>
              <w:jc w:val="center"/>
              <w:rPr>
                <w:rFonts w:ascii="Cambria" w:hAnsi="Cambria"/>
                <w:color w:val="000000"/>
                <w:sz w:val="16"/>
                <w:szCs w:val="16"/>
              </w:rPr>
            </w:pPr>
            <w:r w:rsidRPr="004608BE">
              <w:rPr>
                <w:rFonts w:ascii="Cambria" w:hAnsi="Cambria"/>
                <w:color w:val="000000"/>
                <w:sz w:val="16"/>
                <w:szCs w:val="16"/>
              </w:rPr>
              <w:t>16 000 000,00</w:t>
            </w:r>
          </w:p>
        </w:tc>
        <w:tc>
          <w:tcPr>
            <w:tcW w:w="1842" w:type="dxa"/>
            <w:shd w:val="clear" w:color="auto" w:fill="auto"/>
            <w:vAlign w:val="center"/>
            <w:hideMark/>
          </w:tcPr>
          <w:p w:rsidR="004608BE" w:rsidRPr="004608BE" w:rsidRDefault="004608BE" w:rsidP="004608BE">
            <w:pPr>
              <w:jc w:val="center"/>
              <w:rPr>
                <w:rFonts w:ascii="Cambria" w:hAnsi="Cambria"/>
                <w:color w:val="000000"/>
                <w:sz w:val="16"/>
                <w:szCs w:val="16"/>
              </w:rPr>
            </w:pPr>
            <w:r w:rsidRPr="004608BE">
              <w:rPr>
                <w:rFonts w:ascii="Cambria" w:hAnsi="Cambria"/>
                <w:color w:val="000000"/>
                <w:sz w:val="16"/>
                <w:szCs w:val="16"/>
              </w:rPr>
              <w:t>20 427 250,00</w:t>
            </w:r>
          </w:p>
        </w:tc>
        <w:tc>
          <w:tcPr>
            <w:tcW w:w="1975" w:type="dxa"/>
            <w:shd w:val="clear" w:color="auto" w:fill="auto"/>
            <w:vAlign w:val="center"/>
            <w:hideMark/>
          </w:tcPr>
          <w:p w:rsidR="004608BE" w:rsidRPr="004608BE" w:rsidRDefault="004608BE" w:rsidP="004608BE">
            <w:pPr>
              <w:jc w:val="center"/>
              <w:rPr>
                <w:rFonts w:ascii="Cambria" w:hAnsi="Cambria"/>
                <w:color w:val="000000"/>
                <w:sz w:val="16"/>
                <w:szCs w:val="16"/>
              </w:rPr>
            </w:pPr>
            <w:r w:rsidRPr="004608BE">
              <w:rPr>
                <w:rFonts w:ascii="Cambria" w:hAnsi="Cambria"/>
                <w:color w:val="000000"/>
                <w:sz w:val="16"/>
                <w:szCs w:val="16"/>
              </w:rPr>
              <w:t>8 000 000,00</w:t>
            </w:r>
          </w:p>
        </w:tc>
      </w:tr>
      <w:tr w:rsidR="004608BE" w:rsidRPr="004608BE" w:rsidTr="004608BE">
        <w:trPr>
          <w:trHeight w:val="20"/>
          <w:jc w:val="center"/>
        </w:trPr>
        <w:tc>
          <w:tcPr>
            <w:tcW w:w="1396" w:type="dxa"/>
            <w:vMerge/>
            <w:shd w:val="clear" w:color="auto" w:fill="auto"/>
            <w:vAlign w:val="center"/>
            <w:hideMark/>
          </w:tcPr>
          <w:p w:rsidR="004608BE" w:rsidRPr="004608BE" w:rsidRDefault="004608BE" w:rsidP="004608BE">
            <w:pPr>
              <w:rPr>
                <w:rFonts w:asciiTheme="majorHAnsi" w:hAnsiTheme="majorHAnsi"/>
                <w:sz w:val="16"/>
                <w:szCs w:val="16"/>
              </w:rPr>
            </w:pPr>
          </w:p>
        </w:tc>
        <w:tc>
          <w:tcPr>
            <w:tcW w:w="313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Общая площадь</w:t>
            </w:r>
          </w:p>
        </w:tc>
        <w:tc>
          <w:tcPr>
            <w:tcW w:w="4451" w:type="dxa"/>
            <w:shd w:val="clear" w:color="auto" w:fill="auto"/>
            <w:vAlign w:val="center"/>
            <w:hideMark/>
          </w:tcPr>
          <w:p w:rsidR="004608BE" w:rsidRPr="004608BE" w:rsidRDefault="004608BE" w:rsidP="004608BE">
            <w:pPr>
              <w:jc w:val="center"/>
              <w:rPr>
                <w:rFonts w:asciiTheme="majorHAnsi" w:hAnsiTheme="majorHAnsi"/>
                <w:sz w:val="16"/>
                <w:szCs w:val="16"/>
              </w:rPr>
            </w:pPr>
            <w:r>
              <w:rPr>
                <w:rFonts w:asciiTheme="majorHAnsi" w:hAnsiTheme="majorHAnsi"/>
                <w:sz w:val="16"/>
                <w:szCs w:val="16"/>
              </w:rPr>
              <w:t>83 276</w:t>
            </w:r>
          </w:p>
        </w:tc>
        <w:tc>
          <w:tcPr>
            <w:tcW w:w="2667" w:type="dxa"/>
            <w:shd w:val="clear" w:color="auto" w:fill="auto"/>
            <w:vAlign w:val="center"/>
            <w:hideMark/>
          </w:tcPr>
          <w:p w:rsidR="004608BE" w:rsidRPr="004608BE" w:rsidRDefault="004608BE" w:rsidP="004608BE">
            <w:pPr>
              <w:jc w:val="center"/>
              <w:rPr>
                <w:rFonts w:ascii="Cambria" w:hAnsi="Cambria"/>
                <w:color w:val="000000"/>
                <w:sz w:val="16"/>
                <w:szCs w:val="16"/>
              </w:rPr>
            </w:pPr>
            <w:r w:rsidRPr="004608BE">
              <w:rPr>
                <w:rFonts w:ascii="Cambria" w:hAnsi="Cambria"/>
                <w:color w:val="000000"/>
                <w:sz w:val="16"/>
                <w:szCs w:val="16"/>
              </w:rPr>
              <w:t>70 000</w:t>
            </w:r>
          </w:p>
        </w:tc>
        <w:tc>
          <w:tcPr>
            <w:tcW w:w="1842" w:type="dxa"/>
            <w:shd w:val="clear" w:color="auto" w:fill="auto"/>
            <w:vAlign w:val="center"/>
            <w:hideMark/>
          </w:tcPr>
          <w:p w:rsidR="004608BE" w:rsidRPr="004608BE" w:rsidRDefault="004608BE" w:rsidP="004608BE">
            <w:pPr>
              <w:jc w:val="center"/>
              <w:rPr>
                <w:rFonts w:ascii="Cambria" w:hAnsi="Cambria"/>
                <w:color w:val="000000"/>
                <w:sz w:val="16"/>
                <w:szCs w:val="16"/>
              </w:rPr>
            </w:pPr>
            <w:r w:rsidRPr="004608BE">
              <w:rPr>
                <w:rFonts w:ascii="Cambria" w:hAnsi="Cambria"/>
                <w:color w:val="000000"/>
                <w:sz w:val="16"/>
                <w:szCs w:val="16"/>
              </w:rPr>
              <w:t>81 709</w:t>
            </w:r>
          </w:p>
        </w:tc>
        <w:tc>
          <w:tcPr>
            <w:tcW w:w="1975" w:type="dxa"/>
            <w:shd w:val="clear" w:color="auto" w:fill="auto"/>
            <w:vAlign w:val="center"/>
            <w:hideMark/>
          </w:tcPr>
          <w:p w:rsidR="004608BE" w:rsidRPr="004608BE" w:rsidRDefault="004608BE" w:rsidP="004608BE">
            <w:pPr>
              <w:jc w:val="center"/>
              <w:rPr>
                <w:rFonts w:ascii="Cambria" w:hAnsi="Cambria"/>
                <w:color w:val="000000"/>
                <w:sz w:val="16"/>
                <w:szCs w:val="16"/>
              </w:rPr>
            </w:pPr>
            <w:r w:rsidRPr="004608BE">
              <w:rPr>
                <w:rFonts w:ascii="Cambria" w:hAnsi="Cambria"/>
                <w:color w:val="000000"/>
                <w:sz w:val="16"/>
                <w:szCs w:val="16"/>
              </w:rPr>
              <w:t>35 000</w:t>
            </w:r>
          </w:p>
        </w:tc>
      </w:tr>
      <w:tr w:rsidR="004608BE" w:rsidRPr="004608BE" w:rsidTr="004608BE">
        <w:trPr>
          <w:trHeight w:val="20"/>
          <w:jc w:val="center"/>
        </w:trPr>
        <w:tc>
          <w:tcPr>
            <w:tcW w:w="1396" w:type="dxa"/>
            <w:vMerge/>
            <w:shd w:val="clear" w:color="auto" w:fill="auto"/>
            <w:vAlign w:val="center"/>
            <w:hideMark/>
          </w:tcPr>
          <w:p w:rsidR="004608BE" w:rsidRPr="004608BE" w:rsidRDefault="004608BE" w:rsidP="004608BE">
            <w:pPr>
              <w:rPr>
                <w:rFonts w:asciiTheme="majorHAnsi" w:hAnsiTheme="majorHAnsi"/>
                <w:sz w:val="16"/>
                <w:szCs w:val="16"/>
              </w:rPr>
            </w:pPr>
          </w:p>
        </w:tc>
        <w:tc>
          <w:tcPr>
            <w:tcW w:w="313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Цена за ед. площади</w:t>
            </w:r>
          </w:p>
        </w:tc>
        <w:tc>
          <w:tcPr>
            <w:tcW w:w="445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 </w:t>
            </w:r>
          </w:p>
        </w:tc>
        <w:tc>
          <w:tcPr>
            <w:tcW w:w="2667" w:type="dxa"/>
            <w:shd w:val="clear" w:color="000000" w:fill="FFFFFF"/>
            <w:vAlign w:val="center"/>
            <w:hideMark/>
          </w:tcPr>
          <w:p w:rsidR="004608BE" w:rsidRPr="004608BE" w:rsidRDefault="004608BE" w:rsidP="004608BE">
            <w:pPr>
              <w:jc w:val="center"/>
              <w:rPr>
                <w:rFonts w:ascii="Cambria" w:hAnsi="Cambria"/>
                <w:color w:val="000000"/>
                <w:sz w:val="16"/>
                <w:szCs w:val="16"/>
              </w:rPr>
            </w:pPr>
            <w:r w:rsidRPr="004608BE">
              <w:rPr>
                <w:rFonts w:ascii="Cambria" w:hAnsi="Cambria"/>
                <w:color w:val="000000"/>
                <w:sz w:val="16"/>
                <w:szCs w:val="16"/>
              </w:rPr>
              <w:t>228,57</w:t>
            </w:r>
          </w:p>
        </w:tc>
        <w:tc>
          <w:tcPr>
            <w:tcW w:w="1842" w:type="dxa"/>
            <w:shd w:val="clear" w:color="000000" w:fill="FFFFFF"/>
            <w:vAlign w:val="center"/>
            <w:hideMark/>
          </w:tcPr>
          <w:p w:rsidR="004608BE" w:rsidRPr="004608BE" w:rsidRDefault="004608BE" w:rsidP="004608BE">
            <w:pPr>
              <w:jc w:val="center"/>
              <w:rPr>
                <w:rFonts w:ascii="Cambria" w:hAnsi="Cambria"/>
                <w:color w:val="000000"/>
                <w:sz w:val="16"/>
                <w:szCs w:val="16"/>
              </w:rPr>
            </w:pPr>
            <w:r w:rsidRPr="004608BE">
              <w:rPr>
                <w:rFonts w:ascii="Cambria" w:hAnsi="Cambria"/>
                <w:color w:val="000000"/>
                <w:sz w:val="16"/>
                <w:szCs w:val="16"/>
              </w:rPr>
              <w:t>250,00</w:t>
            </w:r>
          </w:p>
        </w:tc>
        <w:tc>
          <w:tcPr>
            <w:tcW w:w="1975" w:type="dxa"/>
            <w:shd w:val="clear" w:color="000000" w:fill="FFFFFF"/>
            <w:vAlign w:val="center"/>
            <w:hideMark/>
          </w:tcPr>
          <w:p w:rsidR="004608BE" w:rsidRPr="004608BE" w:rsidRDefault="004608BE" w:rsidP="004608BE">
            <w:pPr>
              <w:jc w:val="center"/>
              <w:rPr>
                <w:rFonts w:ascii="Cambria" w:hAnsi="Cambria"/>
                <w:color w:val="000000"/>
                <w:sz w:val="16"/>
                <w:szCs w:val="16"/>
              </w:rPr>
            </w:pPr>
            <w:r w:rsidRPr="004608BE">
              <w:rPr>
                <w:rFonts w:ascii="Cambria" w:hAnsi="Cambria"/>
                <w:color w:val="000000"/>
                <w:sz w:val="16"/>
                <w:szCs w:val="16"/>
              </w:rPr>
              <w:t>228,57</w:t>
            </w:r>
          </w:p>
        </w:tc>
      </w:tr>
      <w:tr w:rsidR="004608BE" w:rsidRPr="004608BE" w:rsidTr="004608BE">
        <w:trPr>
          <w:trHeight w:val="20"/>
          <w:jc w:val="center"/>
        </w:trPr>
        <w:tc>
          <w:tcPr>
            <w:tcW w:w="4527" w:type="dxa"/>
            <w:gridSpan w:val="2"/>
            <w:shd w:val="clear" w:color="auto" w:fill="auto"/>
            <w:vAlign w:val="center"/>
            <w:hideMark/>
          </w:tcPr>
          <w:p w:rsidR="004608BE" w:rsidRPr="004608BE" w:rsidRDefault="004608BE" w:rsidP="004608BE">
            <w:pPr>
              <w:jc w:val="center"/>
              <w:rPr>
                <w:rFonts w:asciiTheme="majorHAnsi" w:hAnsiTheme="majorHAnsi"/>
                <w:b/>
                <w:bCs/>
                <w:sz w:val="16"/>
                <w:szCs w:val="16"/>
              </w:rPr>
            </w:pPr>
            <w:r w:rsidRPr="004608BE">
              <w:rPr>
                <w:rFonts w:asciiTheme="majorHAnsi" w:hAnsiTheme="majorHAnsi"/>
                <w:b/>
                <w:bCs/>
                <w:sz w:val="16"/>
                <w:szCs w:val="16"/>
              </w:rPr>
              <w:t>Элементы сравнения</w:t>
            </w:r>
          </w:p>
        </w:tc>
        <w:tc>
          <w:tcPr>
            <w:tcW w:w="4451" w:type="dxa"/>
            <w:shd w:val="clear" w:color="auto" w:fill="auto"/>
            <w:vAlign w:val="center"/>
            <w:hideMark/>
          </w:tcPr>
          <w:p w:rsidR="004608BE" w:rsidRPr="004608BE" w:rsidRDefault="004608BE" w:rsidP="004608BE">
            <w:pPr>
              <w:rPr>
                <w:rFonts w:asciiTheme="majorHAnsi" w:hAnsiTheme="majorHAnsi"/>
                <w:b/>
                <w:bCs/>
                <w:sz w:val="16"/>
                <w:szCs w:val="16"/>
              </w:rPr>
            </w:pPr>
            <w:r w:rsidRPr="004608BE">
              <w:rPr>
                <w:rFonts w:asciiTheme="majorHAnsi" w:hAnsiTheme="majorHAnsi"/>
                <w:b/>
                <w:bCs/>
                <w:sz w:val="16"/>
                <w:szCs w:val="16"/>
              </w:rPr>
              <w:t> </w:t>
            </w:r>
          </w:p>
        </w:tc>
        <w:tc>
          <w:tcPr>
            <w:tcW w:w="2667" w:type="dxa"/>
            <w:shd w:val="clear" w:color="auto" w:fill="auto"/>
            <w:vAlign w:val="center"/>
            <w:hideMark/>
          </w:tcPr>
          <w:p w:rsidR="004608BE" w:rsidRPr="004608BE" w:rsidRDefault="004608BE" w:rsidP="004608BE">
            <w:pPr>
              <w:rPr>
                <w:rFonts w:asciiTheme="majorHAnsi" w:hAnsiTheme="majorHAnsi"/>
                <w:b/>
                <w:bCs/>
                <w:sz w:val="16"/>
                <w:szCs w:val="16"/>
              </w:rPr>
            </w:pPr>
            <w:r w:rsidRPr="004608BE">
              <w:rPr>
                <w:rFonts w:asciiTheme="majorHAnsi" w:hAnsiTheme="majorHAnsi"/>
                <w:b/>
                <w:bCs/>
                <w:sz w:val="16"/>
                <w:szCs w:val="16"/>
              </w:rPr>
              <w:t> </w:t>
            </w:r>
          </w:p>
        </w:tc>
        <w:tc>
          <w:tcPr>
            <w:tcW w:w="1842" w:type="dxa"/>
            <w:shd w:val="clear" w:color="auto" w:fill="auto"/>
            <w:vAlign w:val="center"/>
            <w:hideMark/>
          </w:tcPr>
          <w:p w:rsidR="004608BE" w:rsidRPr="004608BE" w:rsidRDefault="004608BE" w:rsidP="004608BE">
            <w:pPr>
              <w:rPr>
                <w:rFonts w:asciiTheme="majorHAnsi" w:hAnsiTheme="majorHAnsi"/>
                <w:b/>
                <w:bCs/>
                <w:sz w:val="16"/>
                <w:szCs w:val="16"/>
              </w:rPr>
            </w:pPr>
            <w:r w:rsidRPr="004608BE">
              <w:rPr>
                <w:rFonts w:asciiTheme="majorHAnsi" w:hAnsiTheme="majorHAnsi"/>
                <w:b/>
                <w:bCs/>
                <w:sz w:val="16"/>
                <w:szCs w:val="16"/>
              </w:rPr>
              <w:t> </w:t>
            </w:r>
          </w:p>
        </w:tc>
        <w:tc>
          <w:tcPr>
            <w:tcW w:w="1975" w:type="dxa"/>
            <w:shd w:val="clear" w:color="auto" w:fill="auto"/>
            <w:vAlign w:val="center"/>
            <w:hideMark/>
          </w:tcPr>
          <w:p w:rsidR="004608BE" w:rsidRPr="004608BE" w:rsidRDefault="004608BE" w:rsidP="004608BE">
            <w:pPr>
              <w:rPr>
                <w:rFonts w:asciiTheme="majorHAnsi" w:hAnsiTheme="majorHAnsi"/>
                <w:b/>
                <w:bCs/>
                <w:sz w:val="16"/>
                <w:szCs w:val="16"/>
              </w:rPr>
            </w:pPr>
            <w:r w:rsidRPr="004608BE">
              <w:rPr>
                <w:rFonts w:asciiTheme="majorHAnsi" w:hAnsiTheme="majorHAnsi"/>
                <w:b/>
                <w:bCs/>
                <w:sz w:val="16"/>
                <w:szCs w:val="16"/>
              </w:rPr>
              <w:t> </w:t>
            </w:r>
          </w:p>
        </w:tc>
      </w:tr>
      <w:tr w:rsidR="004608BE" w:rsidRPr="004608BE" w:rsidTr="004608BE">
        <w:trPr>
          <w:trHeight w:val="20"/>
          <w:jc w:val="center"/>
        </w:trPr>
        <w:tc>
          <w:tcPr>
            <w:tcW w:w="4527" w:type="dxa"/>
            <w:gridSpan w:val="2"/>
            <w:shd w:val="clear" w:color="auto" w:fill="auto"/>
            <w:vAlign w:val="center"/>
            <w:hideMark/>
          </w:tcPr>
          <w:p w:rsidR="004608BE" w:rsidRPr="004608BE" w:rsidRDefault="004608BE" w:rsidP="004608BE">
            <w:pPr>
              <w:jc w:val="center"/>
              <w:rPr>
                <w:rFonts w:asciiTheme="majorHAnsi" w:hAnsiTheme="majorHAnsi"/>
                <w:b/>
                <w:bCs/>
                <w:sz w:val="16"/>
                <w:szCs w:val="16"/>
              </w:rPr>
            </w:pPr>
            <w:r w:rsidRPr="004608BE">
              <w:rPr>
                <w:rFonts w:asciiTheme="majorHAnsi" w:hAnsiTheme="majorHAnsi"/>
                <w:b/>
                <w:bCs/>
                <w:sz w:val="16"/>
                <w:szCs w:val="16"/>
              </w:rPr>
              <w:t>Дата продажи, предложения (оценки)</w:t>
            </w:r>
          </w:p>
        </w:tc>
        <w:tc>
          <w:tcPr>
            <w:tcW w:w="445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21.08.2017</w:t>
            </w:r>
          </w:p>
        </w:tc>
        <w:tc>
          <w:tcPr>
            <w:tcW w:w="6484" w:type="dxa"/>
            <w:gridSpan w:val="3"/>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Оценщик не использовал сведения о событиях произошедших после даты оценки (предложения ).</w:t>
            </w:r>
          </w:p>
        </w:tc>
      </w:tr>
      <w:tr w:rsidR="004608BE" w:rsidRPr="004608BE" w:rsidTr="004608BE">
        <w:trPr>
          <w:trHeight w:val="20"/>
          <w:jc w:val="center"/>
        </w:trPr>
        <w:tc>
          <w:tcPr>
            <w:tcW w:w="4527" w:type="dxa"/>
            <w:gridSpan w:val="2"/>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Передаваемые имущественные права</w:t>
            </w:r>
          </w:p>
        </w:tc>
        <w:tc>
          <w:tcPr>
            <w:tcW w:w="445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 xml:space="preserve">Право бессрочного пользования </w:t>
            </w:r>
          </w:p>
        </w:tc>
        <w:tc>
          <w:tcPr>
            <w:tcW w:w="6484" w:type="dxa"/>
            <w:gridSpan w:val="3"/>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В объявлениях предусмотрено предложения о прямой продаже. Сведений о передаче других прав, кроме права собственности отсутствуют.</w:t>
            </w:r>
          </w:p>
        </w:tc>
      </w:tr>
      <w:tr w:rsidR="004608BE" w:rsidRPr="004608BE" w:rsidTr="004608BE">
        <w:trPr>
          <w:trHeight w:val="20"/>
          <w:jc w:val="center"/>
        </w:trPr>
        <w:tc>
          <w:tcPr>
            <w:tcW w:w="4527" w:type="dxa"/>
            <w:gridSpan w:val="2"/>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 xml:space="preserve"> Ограничения (обременения) передаваемых  прав</w:t>
            </w:r>
          </w:p>
        </w:tc>
        <w:tc>
          <w:tcPr>
            <w:tcW w:w="445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Право бессрочного пользования в условиях конкурентного рынка можно расценивать как ограничение (корректировка не применялась, т.к в настоящем Отчете стоимость з.уч. рассчитана условно, в общей стоимости ЕОН не фигурирует)</w:t>
            </w:r>
          </w:p>
        </w:tc>
        <w:tc>
          <w:tcPr>
            <w:tcW w:w="6484" w:type="dxa"/>
            <w:gridSpan w:val="3"/>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Сведения в открытых источниках отсутствуют. Не оказывают существенного влияния на результаты оценки.</w:t>
            </w:r>
          </w:p>
        </w:tc>
      </w:tr>
      <w:tr w:rsidR="004608BE" w:rsidRPr="004608BE" w:rsidTr="004608BE">
        <w:trPr>
          <w:trHeight w:val="20"/>
          <w:jc w:val="center"/>
        </w:trPr>
        <w:tc>
          <w:tcPr>
            <w:tcW w:w="4527" w:type="dxa"/>
            <w:gridSpan w:val="2"/>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 xml:space="preserve">Условия финансирования состоявшейся или предполагаемой сделки (вид оплаты, условия кредитования, иные условия) </w:t>
            </w:r>
          </w:p>
        </w:tc>
        <w:tc>
          <w:tcPr>
            <w:tcW w:w="445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 xml:space="preserve">В соответствии с предполагаемым использованием результатов оценки рыночная стоимость предполагает, что платеж за объект оценки выражен в денежной форме </w:t>
            </w:r>
          </w:p>
        </w:tc>
        <w:tc>
          <w:tcPr>
            <w:tcW w:w="6484" w:type="dxa"/>
            <w:gridSpan w:val="3"/>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Предполагается, что платеж за объект оценки выражен в денежной форме, других предложений по условиям оплаты не публикуется.</w:t>
            </w:r>
          </w:p>
        </w:tc>
      </w:tr>
      <w:tr w:rsidR="004608BE" w:rsidRPr="004608BE" w:rsidTr="004608BE">
        <w:trPr>
          <w:trHeight w:val="20"/>
          <w:jc w:val="center"/>
        </w:trPr>
        <w:tc>
          <w:tcPr>
            <w:tcW w:w="4527" w:type="dxa"/>
            <w:gridSpan w:val="2"/>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 xml:space="preserve">Условия продажи (нетипичные для рынка условия, сделка между аффилированными лицами, иные условия) </w:t>
            </w:r>
          </w:p>
        </w:tc>
        <w:tc>
          <w:tcPr>
            <w:tcW w:w="445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 xml:space="preserve">Отсутствуют </w:t>
            </w:r>
          </w:p>
        </w:tc>
        <w:tc>
          <w:tcPr>
            <w:tcW w:w="6484" w:type="dxa"/>
            <w:gridSpan w:val="3"/>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Сведения в открытых источниках отсутствуют. Не оказывают существенного влияния на результаты оценки.</w:t>
            </w:r>
          </w:p>
        </w:tc>
      </w:tr>
      <w:tr w:rsidR="004608BE" w:rsidRPr="004608BE" w:rsidTr="004608BE">
        <w:trPr>
          <w:trHeight w:val="20"/>
          <w:jc w:val="center"/>
        </w:trPr>
        <w:tc>
          <w:tcPr>
            <w:tcW w:w="4527" w:type="dxa"/>
            <w:gridSpan w:val="2"/>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 xml:space="preserve">Условия рынка (изменения цен за период между датами сделки и оценки, скидки к ценам предложений, иные условия)   </w:t>
            </w:r>
          </w:p>
        </w:tc>
        <w:tc>
          <w:tcPr>
            <w:tcW w:w="10935" w:type="dxa"/>
            <w:gridSpan w:val="4"/>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В Отчете использованы сведения об объектах аналогах с учетом условия, что со времени предложения к реализации до даты оценки изменений цен на рынке, которые могут повлиять на результаты оценки не произошло, скидки к ценам предложений могут применяться в рамках уторговывания, типичного для данного сегмента рынка, сведения об иных условий рынка, способных повлиять на результаты оценки в источниках информации по предложениям реализации объектов аналогов не имеется</w:t>
            </w:r>
          </w:p>
        </w:tc>
      </w:tr>
      <w:tr w:rsidR="004608BE" w:rsidRPr="004608BE" w:rsidTr="004608BE">
        <w:trPr>
          <w:trHeight w:val="20"/>
          <w:jc w:val="center"/>
        </w:trPr>
        <w:tc>
          <w:tcPr>
            <w:tcW w:w="4527" w:type="dxa"/>
            <w:gridSpan w:val="2"/>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 xml:space="preserve">Вид использования (зонирование), разрешенное использование земельного участка </w:t>
            </w:r>
          </w:p>
        </w:tc>
        <w:tc>
          <w:tcPr>
            <w:tcW w:w="4451" w:type="dxa"/>
            <w:shd w:val="clear" w:color="auto" w:fill="auto"/>
            <w:vAlign w:val="center"/>
            <w:hideMark/>
          </w:tcPr>
          <w:p w:rsidR="004608BE" w:rsidRPr="004608BE" w:rsidRDefault="004608BE" w:rsidP="004608BE">
            <w:pPr>
              <w:jc w:val="center"/>
              <w:rPr>
                <w:rFonts w:ascii="Cambria" w:hAnsi="Cambria"/>
                <w:color w:val="000000"/>
                <w:sz w:val="16"/>
                <w:szCs w:val="16"/>
              </w:rPr>
            </w:pPr>
            <w:r w:rsidRPr="004608BE">
              <w:rPr>
                <w:rFonts w:ascii="Cambria" w:hAnsi="Cambria"/>
                <w:color w:val="000000"/>
                <w:sz w:val="16"/>
                <w:szCs w:val="16"/>
              </w:rPr>
              <w:t>Земли населенных пунктов</w:t>
            </w:r>
          </w:p>
        </w:tc>
        <w:tc>
          <w:tcPr>
            <w:tcW w:w="2667" w:type="dxa"/>
            <w:shd w:val="clear" w:color="auto" w:fill="auto"/>
            <w:vAlign w:val="center"/>
            <w:hideMark/>
          </w:tcPr>
          <w:p w:rsidR="004608BE" w:rsidRPr="004608BE" w:rsidRDefault="004608BE" w:rsidP="004608BE">
            <w:pPr>
              <w:jc w:val="center"/>
              <w:rPr>
                <w:rFonts w:ascii="Cambria" w:hAnsi="Cambria"/>
                <w:color w:val="000000"/>
                <w:sz w:val="16"/>
                <w:szCs w:val="16"/>
              </w:rPr>
            </w:pPr>
            <w:r w:rsidRPr="004608BE">
              <w:rPr>
                <w:rFonts w:ascii="Cambria" w:hAnsi="Cambria"/>
                <w:color w:val="000000"/>
                <w:sz w:val="16"/>
                <w:szCs w:val="16"/>
              </w:rPr>
              <w:t>Земли населенных пунктов</w:t>
            </w:r>
          </w:p>
        </w:tc>
        <w:tc>
          <w:tcPr>
            <w:tcW w:w="1842" w:type="dxa"/>
            <w:shd w:val="clear" w:color="auto" w:fill="auto"/>
            <w:vAlign w:val="center"/>
            <w:hideMark/>
          </w:tcPr>
          <w:p w:rsidR="004608BE" w:rsidRPr="004608BE" w:rsidRDefault="004608BE" w:rsidP="004608BE">
            <w:pPr>
              <w:jc w:val="center"/>
              <w:rPr>
                <w:rFonts w:ascii="Cambria" w:hAnsi="Cambria"/>
                <w:color w:val="000000"/>
                <w:sz w:val="16"/>
                <w:szCs w:val="16"/>
              </w:rPr>
            </w:pPr>
            <w:r w:rsidRPr="004608BE">
              <w:rPr>
                <w:rFonts w:ascii="Cambria" w:hAnsi="Cambria"/>
                <w:color w:val="000000"/>
                <w:sz w:val="16"/>
                <w:szCs w:val="16"/>
              </w:rPr>
              <w:t>Земли населенных пунктов</w:t>
            </w:r>
          </w:p>
        </w:tc>
        <w:tc>
          <w:tcPr>
            <w:tcW w:w="1975" w:type="dxa"/>
            <w:shd w:val="clear" w:color="auto" w:fill="auto"/>
            <w:vAlign w:val="center"/>
            <w:hideMark/>
          </w:tcPr>
          <w:p w:rsidR="004608BE" w:rsidRPr="004608BE" w:rsidRDefault="004608BE" w:rsidP="004608BE">
            <w:pPr>
              <w:jc w:val="center"/>
              <w:rPr>
                <w:rFonts w:ascii="Cambria" w:hAnsi="Cambria"/>
                <w:color w:val="000000"/>
                <w:sz w:val="16"/>
                <w:szCs w:val="16"/>
              </w:rPr>
            </w:pPr>
            <w:r w:rsidRPr="004608BE">
              <w:rPr>
                <w:rFonts w:ascii="Cambria" w:hAnsi="Cambria"/>
                <w:color w:val="000000"/>
                <w:sz w:val="16"/>
                <w:szCs w:val="16"/>
              </w:rPr>
              <w:t>Земли населенных пунктов</w:t>
            </w:r>
          </w:p>
        </w:tc>
      </w:tr>
      <w:tr w:rsidR="004608BE" w:rsidRPr="004608BE" w:rsidTr="004608BE">
        <w:trPr>
          <w:trHeight w:val="20"/>
          <w:jc w:val="center"/>
        </w:trPr>
        <w:tc>
          <w:tcPr>
            <w:tcW w:w="4527" w:type="dxa"/>
            <w:gridSpan w:val="2"/>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Местоположение объекта</w:t>
            </w:r>
          </w:p>
        </w:tc>
        <w:tc>
          <w:tcPr>
            <w:tcW w:w="4451" w:type="dxa"/>
            <w:shd w:val="clear" w:color="auto" w:fill="auto"/>
            <w:vAlign w:val="center"/>
            <w:hideMark/>
          </w:tcPr>
          <w:p w:rsidR="004608BE" w:rsidRPr="004608BE" w:rsidRDefault="004608BE" w:rsidP="004608BE">
            <w:pPr>
              <w:jc w:val="center"/>
              <w:rPr>
                <w:rFonts w:ascii="Cambria" w:hAnsi="Cambria"/>
                <w:color w:val="000000"/>
                <w:sz w:val="16"/>
                <w:szCs w:val="16"/>
              </w:rPr>
            </w:pPr>
            <w:r w:rsidRPr="004608BE">
              <w:rPr>
                <w:rFonts w:ascii="Cambria" w:hAnsi="Cambria"/>
                <w:color w:val="000000"/>
                <w:sz w:val="16"/>
                <w:szCs w:val="16"/>
              </w:rPr>
              <w:t>Белгородская обл. г. Белгород, ул Сумская, 168</w:t>
            </w:r>
          </w:p>
        </w:tc>
        <w:tc>
          <w:tcPr>
            <w:tcW w:w="2667"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Белгородская обл. г. Белгород, Западный р-н, Таврово,2</w:t>
            </w:r>
          </w:p>
        </w:tc>
        <w:tc>
          <w:tcPr>
            <w:tcW w:w="1842"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Белгородская обл. г. Белгород, Дубовое 1</w:t>
            </w:r>
          </w:p>
        </w:tc>
        <w:tc>
          <w:tcPr>
            <w:tcW w:w="1975"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Белгородская обл. г. Белгород, Западный р-н, Улитка</w:t>
            </w:r>
          </w:p>
        </w:tc>
      </w:tr>
      <w:tr w:rsidR="004608BE" w:rsidRPr="004608BE" w:rsidTr="004608BE">
        <w:trPr>
          <w:trHeight w:val="20"/>
          <w:jc w:val="center"/>
        </w:trPr>
        <w:tc>
          <w:tcPr>
            <w:tcW w:w="4527" w:type="dxa"/>
            <w:gridSpan w:val="2"/>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Степень соответствия местоположения оцениваемого объекта месту расположения аналога</w:t>
            </w:r>
          </w:p>
        </w:tc>
        <w:tc>
          <w:tcPr>
            <w:tcW w:w="4451" w:type="dxa"/>
            <w:shd w:val="clear" w:color="auto" w:fill="auto"/>
            <w:vAlign w:val="center"/>
            <w:hideMark/>
          </w:tcPr>
          <w:p w:rsidR="004608BE" w:rsidRPr="004608BE" w:rsidRDefault="004608BE" w:rsidP="004608BE">
            <w:pPr>
              <w:rPr>
                <w:rFonts w:asciiTheme="majorHAnsi" w:hAnsiTheme="majorHAnsi"/>
                <w:sz w:val="16"/>
                <w:szCs w:val="16"/>
              </w:rPr>
            </w:pPr>
            <w:r w:rsidRPr="004608BE">
              <w:rPr>
                <w:rFonts w:asciiTheme="majorHAnsi" w:hAnsiTheme="majorHAnsi"/>
                <w:sz w:val="16"/>
                <w:szCs w:val="16"/>
              </w:rPr>
              <w:t> </w:t>
            </w:r>
          </w:p>
        </w:tc>
        <w:tc>
          <w:tcPr>
            <w:tcW w:w="2667" w:type="dxa"/>
            <w:shd w:val="clear" w:color="auto" w:fill="auto"/>
            <w:vAlign w:val="center"/>
            <w:hideMark/>
          </w:tcPr>
          <w:p w:rsidR="004608BE" w:rsidRPr="004608BE" w:rsidRDefault="004608BE" w:rsidP="004608BE">
            <w:pPr>
              <w:rPr>
                <w:rFonts w:asciiTheme="majorHAnsi" w:hAnsiTheme="majorHAnsi"/>
                <w:sz w:val="16"/>
                <w:szCs w:val="16"/>
              </w:rPr>
            </w:pPr>
            <w:r w:rsidRPr="004608BE">
              <w:rPr>
                <w:rFonts w:asciiTheme="majorHAnsi" w:hAnsiTheme="majorHAnsi"/>
                <w:sz w:val="16"/>
                <w:szCs w:val="16"/>
              </w:rPr>
              <w:t> </w:t>
            </w:r>
          </w:p>
        </w:tc>
        <w:tc>
          <w:tcPr>
            <w:tcW w:w="1842" w:type="dxa"/>
            <w:shd w:val="clear" w:color="auto" w:fill="auto"/>
            <w:vAlign w:val="center"/>
            <w:hideMark/>
          </w:tcPr>
          <w:p w:rsidR="004608BE" w:rsidRPr="004608BE" w:rsidRDefault="004608BE" w:rsidP="004608BE">
            <w:pPr>
              <w:rPr>
                <w:rFonts w:asciiTheme="majorHAnsi" w:hAnsiTheme="majorHAnsi"/>
                <w:sz w:val="16"/>
                <w:szCs w:val="16"/>
              </w:rPr>
            </w:pPr>
            <w:r w:rsidRPr="004608BE">
              <w:rPr>
                <w:rFonts w:asciiTheme="majorHAnsi" w:hAnsiTheme="majorHAnsi"/>
                <w:sz w:val="16"/>
                <w:szCs w:val="16"/>
              </w:rPr>
              <w:t> </w:t>
            </w:r>
          </w:p>
        </w:tc>
        <w:tc>
          <w:tcPr>
            <w:tcW w:w="1975" w:type="dxa"/>
            <w:shd w:val="clear" w:color="auto" w:fill="auto"/>
            <w:vAlign w:val="center"/>
            <w:hideMark/>
          </w:tcPr>
          <w:p w:rsidR="004608BE" w:rsidRPr="004608BE" w:rsidRDefault="004608BE" w:rsidP="004608BE">
            <w:pPr>
              <w:rPr>
                <w:rFonts w:asciiTheme="majorHAnsi" w:hAnsiTheme="majorHAnsi"/>
                <w:sz w:val="16"/>
                <w:szCs w:val="16"/>
              </w:rPr>
            </w:pPr>
            <w:r w:rsidRPr="004608BE">
              <w:rPr>
                <w:rFonts w:asciiTheme="majorHAnsi" w:hAnsiTheme="majorHAnsi"/>
                <w:sz w:val="16"/>
                <w:szCs w:val="16"/>
              </w:rPr>
              <w:t> </w:t>
            </w:r>
          </w:p>
        </w:tc>
      </w:tr>
      <w:tr w:rsidR="004608BE" w:rsidRPr="004608BE" w:rsidTr="004608BE">
        <w:trPr>
          <w:trHeight w:val="20"/>
          <w:jc w:val="center"/>
        </w:trPr>
        <w:tc>
          <w:tcPr>
            <w:tcW w:w="1396" w:type="dxa"/>
            <w:vMerge w:val="restart"/>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Физические характеристики объекта</w:t>
            </w:r>
          </w:p>
        </w:tc>
        <w:tc>
          <w:tcPr>
            <w:tcW w:w="313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Свойства земельного участка, состояние объектов капитального строительства</w:t>
            </w:r>
          </w:p>
        </w:tc>
        <w:tc>
          <w:tcPr>
            <w:tcW w:w="10935" w:type="dxa"/>
            <w:gridSpan w:val="4"/>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ЗУ характерные для местности расположения объекта оценки и аналогов, незначительные различия в рельефе и характеристиках не оказывают существенного влияния на результаты оценки.</w:t>
            </w:r>
          </w:p>
        </w:tc>
      </w:tr>
      <w:tr w:rsidR="004608BE" w:rsidRPr="004608BE" w:rsidTr="004608BE">
        <w:trPr>
          <w:trHeight w:val="20"/>
          <w:jc w:val="center"/>
        </w:trPr>
        <w:tc>
          <w:tcPr>
            <w:tcW w:w="1396" w:type="dxa"/>
            <w:vMerge/>
            <w:shd w:val="clear" w:color="auto" w:fill="auto"/>
            <w:vAlign w:val="center"/>
            <w:hideMark/>
          </w:tcPr>
          <w:p w:rsidR="004608BE" w:rsidRPr="004608BE" w:rsidRDefault="004608BE" w:rsidP="004608BE">
            <w:pPr>
              <w:rPr>
                <w:rFonts w:asciiTheme="majorHAnsi" w:hAnsiTheme="majorHAnsi"/>
                <w:sz w:val="16"/>
                <w:szCs w:val="16"/>
              </w:rPr>
            </w:pPr>
          </w:p>
        </w:tc>
        <w:tc>
          <w:tcPr>
            <w:tcW w:w="313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Соотношение площади земельного участка и площади его застройки</w:t>
            </w:r>
          </w:p>
        </w:tc>
        <w:tc>
          <w:tcPr>
            <w:tcW w:w="10935" w:type="dxa"/>
            <w:gridSpan w:val="4"/>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Оценивается как условно незастроенный.</w:t>
            </w:r>
          </w:p>
        </w:tc>
      </w:tr>
      <w:tr w:rsidR="004608BE" w:rsidRPr="004608BE" w:rsidTr="004608BE">
        <w:trPr>
          <w:trHeight w:val="20"/>
          <w:jc w:val="center"/>
        </w:trPr>
        <w:tc>
          <w:tcPr>
            <w:tcW w:w="1396" w:type="dxa"/>
            <w:vMerge/>
            <w:shd w:val="clear" w:color="auto" w:fill="auto"/>
            <w:vAlign w:val="center"/>
            <w:hideMark/>
          </w:tcPr>
          <w:p w:rsidR="004608BE" w:rsidRPr="004608BE" w:rsidRDefault="004608BE" w:rsidP="004608BE">
            <w:pPr>
              <w:rPr>
                <w:rFonts w:asciiTheme="majorHAnsi" w:hAnsiTheme="majorHAnsi"/>
                <w:sz w:val="16"/>
                <w:szCs w:val="16"/>
              </w:rPr>
            </w:pPr>
          </w:p>
        </w:tc>
        <w:tc>
          <w:tcPr>
            <w:tcW w:w="313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Иные характеристики</w:t>
            </w:r>
          </w:p>
        </w:tc>
        <w:tc>
          <w:tcPr>
            <w:tcW w:w="10935" w:type="dxa"/>
            <w:gridSpan w:val="4"/>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Сведения отсутствуют, не оказывают существенного влияния на результаты оценки.</w:t>
            </w:r>
          </w:p>
        </w:tc>
      </w:tr>
      <w:tr w:rsidR="004608BE" w:rsidRPr="004608BE" w:rsidTr="004608BE">
        <w:trPr>
          <w:trHeight w:val="20"/>
          <w:jc w:val="center"/>
        </w:trPr>
        <w:tc>
          <w:tcPr>
            <w:tcW w:w="1396" w:type="dxa"/>
            <w:vMerge w:val="restart"/>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 xml:space="preserve">Экономические характеристики </w:t>
            </w:r>
          </w:p>
        </w:tc>
        <w:tc>
          <w:tcPr>
            <w:tcW w:w="313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уровень операционных расходов</w:t>
            </w:r>
          </w:p>
        </w:tc>
        <w:tc>
          <w:tcPr>
            <w:tcW w:w="10935" w:type="dxa"/>
            <w:gridSpan w:val="4"/>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Типичный для аналогичных объектов, составляет от 0,5 до 3%% эффективного валового дохода от использования недвижимости.</w:t>
            </w:r>
          </w:p>
        </w:tc>
      </w:tr>
      <w:tr w:rsidR="004608BE" w:rsidRPr="004608BE" w:rsidTr="004608BE">
        <w:trPr>
          <w:trHeight w:val="20"/>
          <w:jc w:val="center"/>
        </w:trPr>
        <w:tc>
          <w:tcPr>
            <w:tcW w:w="1396" w:type="dxa"/>
            <w:vMerge/>
            <w:shd w:val="clear" w:color="auto" w:fill="auto"/>
            <w:vAlign w:val="center"/>
            <w:hideMark/>
          </w:tcPr>
          <w:p w:rsidR="004608BE" w:rsidRPr="004608BE" w:rsidRDefault="004608BE" w:rsidP="004608BE">
            <w:pPr>
              <w:rPr>
                <w:rFonts w:asciiTheme="majorHAnsi" w:hAnsiTheme="majorHAnsi"/>
                <w:sz w:val="16"/>
                <w:szCs w:val="16"/>
              </w:rPr>
            </w:pPr>
          </w:p>
        </w:tc>
        <w:tc>
          <w:tcPr>
            <w:tcW w:w="313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условия аренды, состав арендаторов</w:t>
            </w:r>
          </w:p>
        </w:tc>
        <w:tc>
          <w:tcPr>
            <w:tcW w:w="445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Не используются на правах аренды</w:t>
            </w:r>
          </w:p>
        </w:tc>
        <w:tc>
          <w:tcPr>
            <w:tcW w:w="6484" w:type="dxa"/>
            <w:gridSpan w:val="3"/>
            <w:shd w:val="clear" w:color="auto" w:fill="auto"/>
            <w:vAlign w:val="center"/>
            <w:hideMark/>
          </w:tcPr>
          <w:p w:rsidR="004608BE" w:rsidRPr="004608BE" w:rsidRDefault="004608BE" w:rsidP="004608BE">
            <w:pPr>
              <w:rPr>
                <w:rFonts w:asciiTheme="majorHAnsi" w:hAnsiTheme="majorHAnsi"/>
                <w:sz w:val="16"/>
                <w:szCs w:val="16"/>
              </w:rPr>
            </w:pPr>
            <w:r w:rsidRPr="004608BE">
              <w:rPr>
                <w:rFonts w:asciiTheme="majorHAnsi" w:hAnsiTheme="majorHAnsi"/>
                <w:sz w:val="16"/>
                <w:szCs w:val="16"/>
              </w:rPr>
              <w:t>Сведения отсутствуют. Не оказывают существенного влияния на результаты оценки.</w:t>
            </w:r>
          </w:p>
        </w:tc>
      </w:tr>
      <w:tr w:rsidR="004608BE" w:rsidRPr="004608BE" w:rsidTr="004608BE">
        <w:trPr>
          <w:trHeight w:val="20"/>
          <w:jc w:val="center"/>
        </w:trPr>
        <w:tc>
          <w:tcPr>
            <w:tcW w:w="1396" w:type="dxa"/>
            <w:vMerge/>
            <w:shd w:val="clear" w:color="auto" w:fill="auto"/>
            <w:vAlign w:val="center"/>
            <w:hideMark/>
          </w:tcPr>
          <w:p w:rsidR="004608BE" w:rsidRPr="004608BE" w:rsidRDefault="004608BE" w:rsidP="004608BE">
            <w:pPr>
              <w:rPr>
                <w:rFonts w:asciiTheme="majorHAnsi" w:hAnsiTheme="majorHAnsi"/>
                <w:sz w:val="16"/>
                <w:szCs w:val="16"/>
              </w:rPr>
            </w:pPr>
          </w:p>
        </w:tc>
        <w:tc>
          <w:tcPr>
            <w:tcW w:w="3131" w:type="dxa"/>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Иные характеристики</w:t>
            </w:r>
          </w:p>
        </w:tc>
        <w:tc>
          <w:tcPr>
            <w:tcW w:w="10935" w:type="dxa"/>
            <w:gridSpan w:val="4"/>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Сведения отсутствуют</w:t>
            </w:r>
          </w:p>
        </w:tc>
      </w:tr>
      <w:tr w:rsidR="004608BE" w:rsidRPr="004608BE" w:rsidTr="004608BE">
        <w:trPr>
          <w:trHeight w:val="20"/>
          <w:jc w:val="center"/>
        </w:trPr>
        <w:tc>
          <w:tcPr>
            <w:tcW w:w="4527" w:type="dxa"/>
            <w:gridSpan w:val="2"/>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Наличие движимого имущества, не связанного с недвижимостью</w:t>
            </w:r>
          </w:p>
        </w:tc>
        <w:tc>
          <w:tcPr>
            <w:tcW w:w="4451" w:type="dxa"/>
            <w:shd w:val="clear" w:color="auto" w:fill="auto"/>
            <w:noWrap/>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Не оценивается</w:t>
            </w:r>
          </w:p>
        </w:tc>
        <w:tc>
          <w:tcPr>
            <w:tcW w:w="6484" w:type="dxa"/>
            <w:gridSpan w:val="3"/>
            <w:shd w:val="clear" w:color="auto" w:fill="auto"/>
            <w:vAlign w:val="center"/>
            <w:hideMark/>
          </w:tcPr>
          <w:p w:rsidR="004608BE" w:rsidRPr="004608BE" w:rsidRDefault="004608BE" w:rsidP="004608BE">
            <w:pPr>
              <w:jc w:val="center"/>
              <w:rPr>
                <w:rFonts w:asciiTheme="majorHAnsi" w:hAnsiTheme="majorHAnsi"/>
                <w:sz w:val="16"/>
                <w:szCs w:val="16"/>
              </w:rPr>
            </w:pPr>
            <w:r w:rsidRPr="004608BE">
              <w:rPr>
                <w:rFonts w:asciiTheme="majorHAnsi" w:hAnsiTheme="majorHAnsi"/>
                <w:sz w:val="16"/>
                <w:szCs w:val="16"/>
              </w:rPr>
              <w:t>Сведения о наличии в составе объекта движимого имущества в открытых источниках отсутствуют.</w:t>
            </w:r>
          </w:p>
        </w:tc>
      </w:tr>
    </w:tbl>
    <w:p w:rsidR="004608BE" w:rsidRDefault="004608BE" w:rsidP="00D461C3">
      <w:pPr>
        <w:tabs>
          <w:tab w:val="center" w:pos="4677"/>
          <w:tab w:val="right" w:pos="9355"/>
        </w:tabs>
        <w:spacing w:before="120" w:after="120" w:line="276" w:lineRule="auto"/>
        <w:jc w:val="center"/>
        <w:rPr>
          <w:rFonts w:asciiTheme="majorHAnsi" w:eastAsiaTheme="minorHAnsi" w:hAnsiTheme="majorHAnsi" w:cstheme="minorBidi"/>
          <w:b/>
          <w:sz w:val="20"/>
          <w:szCs w:val="23"/>
          <w:lang w:eastAsia="en-US"/>
        </w:rPr>
        <w:sectPr w:rsidR="004608BE" w:rsidSect="004608BE">
          <w:pgSz w:w="16838" w:h="11906" w:orient="landscape" w:code="9"/>
          <w:pgMar w:top="851" w:right="567" w:bottom="1134" w:left="567"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5275DD" w:rsidRPr="005275DD" w:rsidRDefault="005275DD" w:rsidP="005275DD">
      <w:pPr>
        <w:spacing w:before="120"/>
        <w:ind w:firstLine="709"/>
        <w:jc w:val="center"/>
        <w:rPr>
          <w:rFonts w:asciiTheme="majorHAnsi" w:hAnsiTheme="majorHAnsi"/>
          <w:sz w:val="20"/>
          <w:szCs w:val="20"/>
          <w:lang w:eastAsia="ar-SA"/>
        </w:rPr>
      </w:pPr>
      <w:r w:rsidRPr="005275DD">
        <w:rPr>
          <w:rFonts w:asciiTheme="majorHAnsi" w:eastAsiaTheme="minorHAnsi" w:hAnsiTheme="majorHAnsi" w:cstheme="minorBidi"/>
          <w:b/>
          <w:sz w:val="20"/>
          <w:szCs w:val="23"/>
          <w:lang w:eastAsia="en-US"/>
        </w:rPr>
        <w:lastRenderedPageBreak/>
        <w:t>Расчет рыночной стоимости земельных участков сравнительным подходом:</w:t>
      </w:r>
      <w:r w:rsidRPr="005275DD">
        <w:rPr>
          <w:rFonts w:asciiTheme="majorHAnsi" w:hAnsiTheme="majorHAnsi"/>
          <w:sz w:val="20"/>
          <w:szCs w:val="20"/>
          <w:lang w:eastAsia="ar-SA"/>
        </w:rPr>
        <w:t xml:space="preserve"> </w:t>
      </w:r>
    </w:p>
    <w:p w:rsidR="005275DD" w:rsidRPr="005275DD" w:rsidRDefault="005275DD" w:rsidP="005275DD">
      <w:pPr>
        <w:spacing w:before="120" w:after="120"/>
        <w:jc w:val="center"/>
        <w:rPr>
          <w:rFonts w:asciiTheme="majorHAnsi" w:eastAsiaTheme="minorHAnsi" w:hAnsiTheme="majorHAnsi" w:cstheme="minorBidi"/>
          <w:b/>
          <w:bCs/>
          <w:sz w:val="20"/>
          <w:szCs w:val="22"/>
          <w:lang w:eastAsia="en-US"/>
        </w:rPr>
      </w:pPr>
      <w:r w:rsidRPr="005275DD">
        <w:rPr>
          <w:rFonts w:asciiTheme="majorHAnsi" w:eastAsiaTheme="minorHAnsi" w:hAnsiTheme="majorHAnsi" w:cstheme="minorBidi"/>
          <w:b/>
          <w:bCs/>
          <w:sz w:val="20"/>
          <w:szCs w:val="22"/>
          <w:lang w:eastAsia="en-US"/>
        </w:rPr>
        <w:t xml:space="preserve">ЗЕМЕЛЬНЫЙ УЧАСТОК, ПЛОЩАДЬЮ </w:t>
      </w:r>
      <w:r>
        <w:rPr>
          <w:rFonts w:asciiTheme="majorHAnsi" w:eastAsiaTheme="minorHAnsi" w:hAnsiTheme="majorHAnsi" w:cstheme="minorBidi"/>
          <w:b/>
          <w:bCs/>
          <w:sz w:val="20"/>
          <w:szCs w:val="22"/>
          <w:lang w:eastAsia="en-US"/>
        </w:rPr>
        <w:t xml:space="preserve">101 370 </w:t>
      </w:r>
      <w:r w:rsidRPr="005275DD">
        <w:rPr>
          <w:rFonts w:asciiTheme="majorHAnsi" w:eastAsiaTheme="minorHAnsi" w:hAnsiTheme="majorHAnsi" w:cstheme="minorBidi"/>
          <w:b/>
          <w:bCs/>
          <w:sz w:val="20"/>
          <w:szCs w:val="22"/>
          <w:lang w:eastAsia="en-US"/>
        </w:rPr>
        <w:t xml:space="preserve">КВ.М. </w:t>
      </w:r>
    </w:p>
    <w:tbl>
      <w:tblPr>
        <w:tblW w:w="10269"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265"/>
        <w:gridCol w:w="2187"/>
        <w:gridCol w:w="2013"/>
        <w:gridCol w:w="1789"/>
        <w:gridCol w:w="2015"/>
      </w:tblGrid>
      <w:tr w:rsidR="005275DD" w:rsidRPr="005275DD" w:rsidTr="005275DD">
        <w:trPr>
          <w:trHeight w:val="33"/>
          <w:jc w:val="center"/>
        </w:trPr>
        <w:tc>
          <w:tcPr>
            <w:tcW w:w="10269" w:type="dxa"/>
            <w:gridSpan w:val="5"/>
            <w:shd w:val="clear" w:color="auto" w:fill="F2F2F2" w:themeFill="background1" w:themeFillShade="F2"/>
            <w:vAlign w:val="center"/>
            <w:hideMark/>
          </w:tcPr>
          <w:p w:rsidR="005275DD" w:rsidRPr="005275DD" w:rsidRDefault="005275DD" w:rsidP="005275DD">
            <w:pPr>
              <w:ind w:left="-80" w:right="-112"/>
              <w:jc w:val="center"/>
              <w:rPr>
                <w:rFonts w:asciiTheme="majorHAnsi" w:hAnsiTheme="majorHAnsi"/>
                <w:sz w:val="18"/>
                <w:szCs w:val="18"/>
              </w:rPr>
            </w:pPr>
            <w:r w:rsidRPr="005275DD">
              <w:rPr>
                <w:rFonts w:asciiTheme="majorHAnsi" w:hAnsiTheme="majorHAnsi"/>
                <w:b/>
                <w:bCs/>
                <w:sz w:val="18"/>
                <w:szCs w:val="18"/>
              </w:rPr>
              <w:t>Скорректированые значения единицы сравнения для объектов-аналогов по каждому элементу сравнения в зависимости от соотношения характеристик объекта оценки и объекта-аналога по данному элементу сравнения, согласованные результаты корректирования значений единиц сравнения по выбранным объектам-аналогам</w:t>
            </w:r>
          </w:p>
        </w:tc>
      </w:tr>
      <w:tr w:rsidR="005275DD" w:rsidRPr="005275DD" w:rsidTr="005275DD">
        <w:trPr>
          <w:trHeight w:val="33"/>
          <w:jc w:val="center"/>
        </w:trPr>
        <w:tc>
          <w:tcPr>
            <w:tcW w:w="2265" w:type="dxa"/>
            <w:shd w:val="clear" w:color="auto" w:fill="F2F2F2" w:themeFill="background1" w:themeFillShade="F2"/>
            <w:vAlign w:val="center"/>
            <w:hideMark/>
          </w:tcPr>
          <w:p w:rsidR="005275DD" w:rsidRPr="005275DD" w:rsidRDefault="005275DD" w:rsidP="005275DD">
            <w:pPr>
              <w:jc w:val="center"/>
              <w:rPr>
                <w:rFonts w:asciiTheme="majorHAnsi" w:hAnsiTheme="majorHAnsi"/>
                <w:b/>
                <w:bCs/>
                <w:sz w:val="18"/>
                <w:szCs w:val="18"/>
              </w:rPr>
            </w:pPr>
            <w:r w:rsidRPr="005275DD">
              <w:rPr>
                <w:rFonts w:asciiTheme="majorHAnsi" w:hAnsiTheme="majorHAnsi"/>
                <w:b/>
                <w:bCs/>
                <w:sz w:val="18"/>
                <w:szCs w:val="18"/>
              </w:rPr>
              <w:t>Характеристика</w:t>
            </w:r>
          </w:p>
        </w:tc>
        <w:tc>
          <w:tcPr>
            <w:tcW w:w="2187" w:type="dxa"/>
            <w:shd w:val="clear" w:color="auto" w:fill="F2F2F2" w:themeFill="background1" w:themeFillShade="F2"/>
            <w:vAlign w:val="center"/>
            <w:hideMark/>
          </w:tcPr>
          <w:p w:rsidR="005275DD" w:rsidRPr="005275DD" w:rsidRDefault="005275DD" w:rsidP="005275DD">
            <w:pPr>
              <w:jc w:val="center"/>
              <w:rPr>
                <w:rFonts w:asciiTheme="majorHAnsi" w:hAnsiTheme="majorHAnsi"/>
                <w:b/>
                <w:bCs/>
                <w:sz w:val="18"/>
                <w:szCs w:val="18"/>
              </w:rPr>
            </w:pPr>
            <w:r w:rsidRPr="005275DD">
              <w:rPr>
                <w:rFonts w:asciiTheme="majorHAnsi" w:hAnsiTheme="majorHAnsi"/>
                <w:b/>
                <w:bCs/>
                <w:sz w:val="18"/>
                <w:szCs w:val="18"/>
              </w:rPr>
              <w:t> </w:t>
            </w:r>
          </w:p>
        </w:tc>
        <w:tc>
          <w:tcPr>
            <w:tcW w:w="2013" w:type="dxa"/>
            <w:shd w:val="clear" w:color="auto" w:fill="F2F2F2" w:themeFill="background1" w:themeFillShade="F2"/>
            <w:vAlign w:val="center"/>
            <w:hideMark/>
          </w:tcPr>
          <w:p w:rsidR="005275DD" w:rsidRPr="005275DD" w:rsidRDefault="005275DD" w:rsidP="005275DD">
            <w:pPr>
              <w:jc w:val="center"/>
              <w:rPr>
                <w:rFonts w:asciiTheme="majorHAnsi" w:hAnsiTheme="majorHAnsi"/>
                <w:b/>
                <w:bCs/>
                <w:sz w:val="18"/>
                <w:szCs w:val="18"/>
              </w:rPr>
            </w:pPr>
            <w:r w:rsidRPr="005275DD">
              <w:rPr>
                <w:rFonts w:asciiTheme="majorHAnsi" w:hAnsiTheme="majorHAnsi"/>
                <w:b/>
                <w:bCs/>
                <w:sz w:val="18"/>
                <w:szCs w:val="18"/>
              </w:rPr>
              <w:t>Аналог № 1</w:t>
            </w:r>
          </w:p>
        </w:tc>
        <w:tc>
          <w:tcPr>
            <w:tcW w:w="1789" w:type="dxa"/>
            <w:shd w:val="clear" w:color="auto" w:fill="F2F2F2" w:themeFill="background1" w:themeFillShade="F2"/>
            <w:vAlign w:val="center"/>
            <w:hideMark/>
          </w:tcPr>
          <w:p w:rsidR="005275DD" w:rsidRPr="005275DD" w:rsidRDefault="005275DD" w:rsidP="005275DD">
            <w:pPr>
              <w:jc w:val="center"/>
              <w:rPr>
                <w:rFonts w:asciiTheme="majorHAnsi" w:hAnsiTheme="majorHAnsi"/>
                <w:b/>
                <w:bCs/>
                <w:sz w:val="18"/>
                <w:szCs w:val="18"/>
              </w:rPr>
            </w:pPr>
            <w:r w:rsidRPr="005275DD">
              <w:rPr>
                <w:rFonts w:asciiTheme="majorHAnsi" w:hAnsiTheme="majorHAnsi"/>
                <w:b/>
                <w:bCs/>
                <w:sz w:val="18"/>
                <w:szCs w:val="18"/>
              </w:rPr>
              <w:t>Аналог № 2</w:t>
            </w:r>
          </w:p>
        </w:tc>
        <w:tc>
          <w:tcPr>
            <w:tcW w:w="2015" w:type="dxa"/>
            <w:shd w:val="clear" w:color="auto" w:fill="F2F2F2" w:themeFill="background1" w:themeFillShade="F2"/>
            <w:vAlign w:val="center"/>
            <w:hideMark/>
          </w:tcPr>
          <w:p w:rsidR="005275DD" w:rsidRPr="005275DD" w:rsidRDefault="005275DD" w:rsidP="005275DD">
            <w:pPr>
              <w:jc w:val="center"/>
              <w:rPr>
                <w:rFonts w:asciiTheme="majorHAnsi" w:hAnsiTheme="majorHAnsi"/>
                <w:b/>
                <w:bCs/>
                <w:sz w:val="18"/>
                <w:szCs w:val="18"/>
              </w:rPr>
            </w:pPr>
            <w:r w:rsidRPr="005275DD">
              <w:rPr>
                <w:rFonts w:asciiTheme="majorHAnsi" w:hAnsiTheme="majorHAnsi"/>
                <w:b/>
                <w:bCs/>
                <w:sz w:val="18"/>
                <w:szCs w:val="18"/>
              </w:rPr>
              <w:t>Аналог № 3</w:t>
            </w:r>
          </w:p>
        </w:tc>
      </w:tr>
      <w:tr w:rsidR="005275DD" w:rsidRPr="005275DD" w:rsidTr="005275DD">
        <w:trPr>
          <w:trHeight w:val="33"/>
          <w:jc w:val="center"/>
        </w:trPr>
        <w:tc>
          <w:tcPr>
            <w:tcW w:w="2265" w:type="dxa"/>
            <w:shd w:val="clear" w:color="auto" w:fill="auto"/>
            <w:vAlign w:val="center"/>
            <w:hideMark/>
          </w:tcPr>
          <w:p w:rsidR="005275DD" w:rsidRPr="005275DD" w:rsidRDefault="005275DD" w:rsidP="005275DD">
            <w:pPr>
              <w:jc w:val="center"/>
              <w:rPr>
                <w:rFonts w:asciiTheme="majorHAnsi" w:hAnsiTheme="majorHAnsi"/>
                <w:b/>
                <w:color w:val="000000"/>
                <w:sz w:val="18"/>
                <w:szCs w:val="18"/>
              </w:rPr>
            </w:pPr>
            <w:r w:rsidRPr="005275DD">
              <w:rPr>
                <w:rFonts w:asciiTheme="majorHAnsi" w:hAnsiTheme="majorHAnsi"/>
                <w:b/>
                <w:color w:val="000000"/>
                <w:sz w:val="18"/>
                <w:szCs w:val="18"/>
              </w:rPr>
              <w:t>Цена за ед. площади</w:t>
            </w:r>
          </w:p>
        </w:tc>
        <w:tc>
          <w:tcPr>
            <w:tcW w:w="2187" w:type="dxa"/>
            <w:shd w:val="clear" w:color="auto" w:fill="auto"/>
            <w:vAlign w:val="center"/>
            <w:hideMark/>
          </w:tcPr>
          <w:p w:rsidR="005275DD" w:rsidRPr="005275DD" w:rsidRDefault="005275DD" w:rsidP="005275DD">
            <w:pPr>
              <w:jc w:val="center"/>
              <w:rPr>
                <w:rFonts w:ascii="Cambria" w:hAnsi="Cambria"/>
                <w:color w:val="000000"/>
                <w:sz w:val="18"/>
                <w:szCs w:val="18"/>
              </w:rPr>
            </w:pPr>
          </w:p>
        </w:tc>
        <w:tc>
          <w:tcPr>
            <w:tcW w:w="201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228,57</w:t>
            </w:r>
          </w:p>
        </w:tc>
        <w:tc>
          <w:tcPr>
            <w:tcW w:w="178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250,00</w:t>
            </w:r>
          </w:p>
        </w:tc>
        <w:tc>
          <w:tcPr>
            <w:tcW w:w="2015"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228,57</w:t>
            </w:r>
          </w:p>
        </w:tc>
      </w:tr>
      <w:tr w:rsidR="005275DD" w:rsidRPr="005275DD" w:rsidTr="005275DD">
        <w:trPr>
          <w:trHeight w:val="33"/>
          <w:jc w:val="center"/>
        </w:trPr>
        <w:tc>
          <w:tcPr>
            <w:tcW w:w="2265"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Корректировка на уторговывание</w:t>
            </w:r>
          </w:p>
        </w:tc>
        <w:tc>
          <w:tcPr>
            <w:tcW w:w="2187" w:type="dxa"/>
            <w:shd w:val="clear" w:color="auto" w:fill="auto"/>
            <w:vAlign w:val="center"/>
            <w:hideMark/>
          </w:tcPr>
          <w:p w:rsidR="005275DD" w:rsidRPr="005275DD" w:rsidRDefault="005275DD" w:rsidP="005275DD">
            <w:pPr>
              <w:jc w:val="center"/>
              <w:rPr>
                <w:rFonts w:ascii="Cambria" w:hAnsi="Cambria"/>
                <w:sz w:val="18"/>
                <w:szCs w:val="18"/>
              </w:rPr>
            </w:pPr>
          </w:p>
        </w:tc>
        <w:tc>
          <w:tcPr>
            <w:tcW w:w="2013" w:type="dxa"/>
            <w:shd w:val="clear" w:color="auto" w:fill="auto"/>
            <w:vAlign w:val="center"/>
            <w:hideMark/>
          </w:tcPr>
          <w:p w:rsidR="005275DD" w:rsidRPr="005275DD" w:rsidRDefault="005275DD" w:rsidP="005275DD">
            <w:pPr>
              <w:jc w:val="center"/>
              <w:rPr>
                <w:rFonts w:ascii="Cambria" w:hAnsi="Cambria"/>
                <w:sz w:val="18"/>
                <w:szCs w:val="18"/>
              </w:rPr>
            </w:pPr>
            <w:r w:rsidRPr="005275DD">
              <w:rPr>
                <w:rFonts w:ascii="Cambria" w:hAnsi="Cambria"/>
                <w:sz w:val="18"/>
                <w:szCs w:val="18"/>
              </w:rPr>
              <w:t>18,6%</w:t>
            </w:r>
          </w:p>
        </w:tc>
        <w:tc>
          <w:tcPr>
            <w:tcW w:w="1789" w:type="dxa"/>
            <w:shd w:val="clear" w:color="auto" w:fill="auto"/>
            <w:vAlign w:val="center"/>
            <w:hideMark/>
          </w:tcPr>
          <w:p w:rsidR="005275DD" w:rsidRPr="005275DD" w:rsidRDefault="005275DD" w:rsidP="005275DD">
            <w:pPr>
              <w:jc w:val="center"/>
              <w:rPr>
                <w:rFonts w:ascii="Cambria" w:hAnsi="Cambria"/>
                <w:sz w:val="18"/>
                <w:szCs w:val="18"/>
              </w:rPr>
            </w:pPr>
            <w:r w:rsidRPr="005275DD">
              <w:rPr>
                <w:rFonts w:ascii="Cambria" w:hAnsi="Cambria"/>
                <w:sz w:val="18"/>
                <w:szCs w:val="18"/>
              </w:rPr>
              <w:t>18,6%</w:t>
            </w:r>
          </w:p>
        </w:tc>
        <w:tc>
          <w:tcPr>
            <w:tcW w:w="2015" w:type="dxa"/>
            <w:shd w:val="clear" w:color="auto" w:fill="auto"/>
            <w:vAlign w:val="center"/>
            <w:hideMark/>
          </w:tcPr>
          <w:p w:rsidR="005275DD" w:rsidRPr="005275DD" w:rsidRDefault="005275DD" w:rsidP="005275DD">
            <w:pPr>
              <w:jc w:val="center"/>
              <w:rPr>
                <w:rFonts w:ascii="Cambria" w:hAnsi="Cambria"/>
                <w:sz w:val="18"/>
                <w:szCs w:val="18"/>
              </w:rPr>
            </w:pPr>
            <w:r w:rsidRPr="005275DD">
              <w:rPr>
                <w:rFonts w:ascii="Cambria" w:hAnsi="Cambria"/>
                <w:sz w:val="18"/>
                <w:szCs w:val="18"/>
              </w:rPr>
              <w:t>18,6%</w:t>
            </w:r>
          </w:p>
        </w:tc>
      </w:tr>
      <w:tr w:rsidR="005275DD" w:rsidRPr="005275DD" w:rsidTr="005275DD">
        <w:trPr>
          <w:trHeight w:val="33"/>
          <w:jc w:val="center"/>
        </w:trPr>
        <w:tc>
          <w:tcPr>
            <w:tcW w:w="2265"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Скорректированная цена</w:t>
            </w:r>
          </w:p>
        </w:tc>
        <w:tc>
          <w:tcPr>
            <w:tcW w:w="2187" w:type="dxa"/>
            <w:shd w:val="clear" w:color="auto" w:fill="auto"/>
            <w:vAlign w:val="center"/>
            <w:hideMark/>
          </w:tcPr>
          <w:p w:rsidR="005275DD" w:rsidRPr="005275DD" w:rsidRDefault="005275DD" w:rsidP="005275DD">
            <w:pPr>
              <w:jc w:val="center"/>
              <w:rPr>
                <w:rFonts w:ascii="Cambria" w:hAnsi="Cambria"/>
                <w:sz w:val="18"/>
                <w:szCs w:val="18"/>
              </w:rPr>
            </w:pPr>
          </w:p>
        </w:tc>
        <w:tc>
          <w:tcPr>
            <w:tcW w:w="201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186,06</w:t>
            </w:r>
          </w:p>
        </w:tc>
        <w:tc>
          <w:tcPr>
            <w:tcW w:w="178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203,5</w:t>
            </w:r>
          </w:p>
        </w:tc>
        <w:tc>
          <w:tcPr>
            <w:tcW w:w="2015"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186,06</w:t>
            </w:r>
          </w:p>
        </w:tc>
      </w:tr>
      <w:tr w:rsidR="005275DD" w:rsidRPr="005275DD" w:rsidTr="005275DD">
        <w:trPr>
          <w:trHeight w:val="33"/>
          <w:jc w:val="center"/>
        </w:trPr>
        <w:tc>
          <w:tcPr>
            <w:tcW w:w="2265"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Площадь, кв.м.</w:t>
            </w:r>
          </w:p>
        </w:tc>
        <w:tc>
          <w:tcPr>
            <w:tcW w:w="2187" w:type="dxa"/>
            <w:shd w:val="clear" w:color="auto" w:fill="auto"/>
            <w:vAlign w:val="center"/>
            <w:hideMark/>
          </w:tcPr>
          <w:p w:rsidR="005275DD" w:rsidRPr="005275DD" w:rsidRDefault="005275DD" w:rsidP="005275DD">
            <w:pPr>
              <w:jc w:val="center"/>
              <w:rPr>
                <w:rFonts w:ascii="Cambria" w:hAnsi="Cambria"/>
                <w:sz w:val="18"/>
                <w:szCs w:val="18"/>
              </w:rPr>
            </w:pPr>
            <w:r w:rsidRPr="005275DD">
              <w:rPr>
                <w:rFonts w:ascii="Cambria" w:hAnsi="Cambria"/>
                <w:sz w:val="18"/>
                <w:szCs w:val="18"/>
              </w:rPr>
              <w:t>101 370,00</w:t>
            </w:r>
          </w:p>
        </w:tc>
        <w:tc>
          <w:tcPr>
            <w:tcW w:w="201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70 000</w:t>
            </w:r>
          </w:p>
        </w:tc>
        <w:tc>
          <w:tcPr>
            <w:tcW w:w="178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81 709</w:t>
            </w:r>
          </w:p>
        </w:tc>
        <w:tc>
          <w:tcPr>
            <w:tcW w:w="2015"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35 000</w:t>
            </w:r>
          </w:p>
        </w:tc>
      </w:tr>
      <w:tr w:rsidR="005275DD" w:rsidRPr="005275DD" w:rsidTr="005275DD">
        <w:trPr>
          <w:trHeight w:val="33"/>
          <w:jc w:val="center"/>
        </w:trPr>
        <w:tc>
          <w:tcPr>
            <w:tcW w:w="2265"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Корректировка на площадь</w:t>
            </w:r>
          </w:p>
        </w:tc>
        <w:tc>
          <w:tcPr>
            <w:tcW w:w="2187" w:type="dxa"/>
            <w:shd w:val="clear" w:color="auto" w:fill="auto"/>
            <w:vAlign w:val="center"/>
            <w:hideMark/>
          </w:tcPr>
          <w:p w:rsidR="005275DD" w:rsidRPr="005275DD" w:rsidRDefault="005275DD" w:rsidP="005275DD">
            <w:pPr>
              <w:jc w:val="center"/>
              <w:rPr>
                <w:rFonts w:ascii="Cambria" w:hAnsi="Cambria"/>
                <w:sz w:val="18"/>
                <w:szCs w:val="18"/>
              </w:rPr>
            </w:pPr>
          </w:p>
        </w:tc>
        <w:tc>
          <w:tcPr>
            <w:tcW w:w="201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0,97</w:t>
            </w:r>
          </w:p>
        </w:tc>
        <w:tc>
          <w:tcPr>
            <w:tcW w:w="178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1,01</w:t>
            </w:r>
          </w:p>
        </w:tc>
        <w:tc>
          <w:tcPr>
            <w:tcW w:w="2015"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0,91</w:t>
            </w:r>
          </w:p>
        </w:tc>
      </w:tr>
      <w:tr w:rsidR="005275DD" w:rsidRPr="005275DD" w:rsidTr="005275DD">
        <w:trPr>
          <w:trHeight w:val="33"/>
          <w:jc w:val="center"/>
        </w:trPr>
        <w:tc>
          <w:tcPr>
            <w:tcW w:w="2265"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Скорректированная цена</w:t>
            </w:r>
          </w:p>
        </w:tc>
        <w:tc>
          <w:tcPr>
            <w:tcW w:w="2187" w:type="dxa"/>
            <w:shd w:val="clear" w:color="auto" w:fill="auto"/>
            <w:vAlign w:val="center"/>
            <w:hideMark/>
          </w:tcPr>
          <w:p w:rsidR="005275DD" w:rsidRPr="005275DD" w:rsidRDefault="005275DD" w:rsidP="005275DD">
            <w:pPr>
              <w:jc w:val="center"/>
              <w:rPr>
                <w:rFonts w:ascii="Cambria" w:hAnsi="Cambria"/>
                <w:sz w:val="18"/>
                <w:szCs w:val="18"/>
              </w:rPr>
            </w:pPr>
          </w:p>
        </w:tc>
        <w:tc>
          <w:tcPr>
            <w:tcW w:w="201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180,08</w:t>
            </w:r>
          </w:p>
        </w:tc>
        <w:tc>
          <w:tcPr>
            <w:tcW w:w="178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206,32</w:t>
            </w:r>
          </w:p>
        </w:tc>
        <w:tc>
          <w:tcPr>
            <w:tcW w:w="2015"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168,89</w:t>
            </w:r>
          </w:p>
        </w:tc>
      </w:tr>
      <w:tr w:rsidR="005275DD" w:rsidRPr="005275DD" w:rsidTr="005275DD">
        <w:trPr>
          <w:trHeight w:val="33"/>
          <w:jc w:val="center"/>
        </w:trPr>
        <w:tc>
          <w:tcPr>
            <w:tcW w:w="2265"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Месторасположение</w:t>
            </w:r>
          </w:p>
        </w:tc>
        <w:tc>
          <w:tcPr>
            <w:tcW w:w="2187" w:type="dxa"/>
            <w:shd w:val="clear" w:color="auto" w:fill="auto"/>
            <w:vAlign w:val="center"/>
            <w:hideMark/>
          </w:tcPr>
          <w:p w:rsidR="005275DD" w:rsidRPr="00007373" w:rsidRDefault="005275DD" w:rsidP="005275DD">
            <w:pPr>
              <w:jc w:val="center"/>
              <w:rPr>
                <w:rFonts w:ascii="Cambria" w:hAnsi="Cambria"/>
                <w:color w:val="000000"/>
                <w:sz w:val="18"/>
                <w:szCs w:val="18"/>
              </w:rPr>
            </w:pPr>
            <w:r w:rsidRPr="005275DD">
              <w:rPr>
                <w:rFonts w:ascii="Cambria" w:hAnsi="Cambria"/>
                <w:color w:val="000000"/>
                <w:sz w:val="18"/>
                <w:szCs w:val="18"/>
              </w:rPr>
              <w:t>Белгородская обл. г. Белгород, ул Сумская, 168</w:t>
            </w:r>
          </w:p>
        </w:tc>
        <w:tc>
          <w:tcPr>
            <w:tcW w:w="2013" w:type="dxa"/>
            <w:shd w:val="clear" w:color="auto" w:fill="auto"/>
            <w:vAlign w:val="center"/>
            <w:hideMark/>
          </w:tcPr>
          <w:p w:rsidR="005275DD" w:rsidRPr="005275DD" w:rsidRDefault="005275DD" w:rsidP="005275DD">
            <w:pPr>
              <w:jc w:val="center"/>
              <w:rPr>
                <w:rFonts w:asciiTheme="majorHAnsi" w:hAnsiTheme="majorHAnsi"/>
                <w:sz w:val="18"/>
                <w:szCs w:val="18"/>
              </w:rPr>
            </w:pPr>
            <w:r w:rsidRPr="005275DD">
              <w:rPr>
                <w:rFonts w:asciiTheme="majorHAnsi" w:hAnsiTheme="majorHAnsi"/>
                <w:sz w:val="18"/>
                <w:szCs w:val="18"/>
              </w:rPr>
              <w:t>Белгородская обл. г. Белгород, Западный р-н, Таврово,2</w:t>
            </w:r>
          </w:p>
        </w:tc>
        <w:tc>
          <w:tcPr>
            <w:tcW w:w="1789" w:type="dxa"/>
            <w:shd w:val="clear" w:color="auto" w:fill="auto"/>
            <w:vAlign w:val="center"/>
            <w:hideMark/>
          </w:tcPr>
          <w:p w:rsidR="005275DD" w:rsidRPr="005275DD" w:rsidRDefault="005275DD" w:rsidP="005275DD">
            <w:pPr>
              <w:jc w:val="center"/>
              <w:rPr>
                <w:rFonts w:asciiTheme="majorHAnsi" w:hAnsiTheme="majorHAnsi"/>
                <w:sz w:val="18"/>
                <w:szCs w:val="18"/>
              </w:rPr>
            </w:pPr>
            <w:r w:rsidRPr="005275DD">
              <w:rPr>
                <w:rFonts w:asciiTheme="majorHAnsi" w:hAnsiTheme="majorHAnsi"/>
                <w:sz w:val="18"/>
                <w:szCs w:val="18"/>
              </w:rPr>
              <w:t>Белгородская обл. г. Белгород, Дубовое 1</w:t>
            </w:r>
          </w:p>
        </w:tc>
        <w:tc>
          <w:tcPr>
            <w:tcW w:w="2015" w:type="dxa"/>
            <w:shd w:val="clear" w:color="auto" w:fill="auto"/>
            <w:vAlign w:val="center"/>
            <w:hideMark/>
          </w:tcPr>
          <w:p w:rsidR="005275DD" w:rsidRPr="005275DD" w:rsidRDefault="005275DD" w:rsidP="005275DD">
            <w:pPr>
              <w:jc w:val="center"/>
              <w:rPr>
                <w:rFonts w:asciiTheme="majorHAnsi" w:hAnsiTheme="majorHAnsi"/>
                <w:sz w:val="18"/>
                <w:szCs w:val="18"/>
              </w:rPr>
            </w:pPr>
            <w:r w:rsidRPr="005275DD">
              <w:rPr>
                <w:rFonts w:asciiTheme="majorHAnsi" w:hAnsiTheme="majorHAnsi"/>
                <w:sz w:val="18"/>
                <w:szCs w:val="18"/>
              </w:rPr>
              <w:t>Белгородская обл. г. Белгород, Западный р-н, Улитка</w:t>
            </w:r>
          </w:p>
        </w:tc>
      </w:tr>
      <w:tr w:rsidR="005275DD" w:rsidRPr="005275DD" w:rsidTr="005275DD">
        <w:trPr>
          <w:trHeight w:val="33"/>
          <w:jc w:val="center"/>
        </w:trPr>
        <w:tc>
          <w:tcPr>
            <w:tcW w:w="2265"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Территориальный коэффициент</w:t>
            </w:r>
          </w:p>
        </w:tc>
        <w:tc>
          <w:tcPr>
            <w:tcW w:w="2187" w:type="dxa"/>
            <w:shd w:val="clear" w:color="auto" w:fill="auto"/>
            <w:vAlign w:val="center"/>
            <w:hideMark/>
          </w:tcPr>
          <w:p w:rsidR="005275DD" w:rsidRPr="005275DD" w:rsidRDefault="005275DD" w:rsidP="005275DD">
            <w:pPr>
              <w:jc w:val="center"/>
              <w:rPr>
                <w:rFonts w:ascii="Cambria" w:hAnsi="Cambria"/>
                <w:sz w:val="18"/>
                <w:szCs w:val="18"/>
              </w:rPr>
            </w:pPr>
            <w:r w:rsidRPr="005275DD">
              <w:rPr>
                <w:rFonts w:ascii="Cambria" w:hAnsi="Cambria"/>
                <w:sz w:val="18"/>
                <w:szCs w:val="18"/>
              </w:rPr>
              <w:t>1</w:t>
            </w:r>
          </w:p>
        </w:tc>
        <w:tc>
          <w:tcPr>
            <w:tcW w:w="201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w:t>
            </w:r>
          </w:p>
        </w:tc>
        <w:tc>
          <w:tcPr>
            <w:tcW w:w="178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w:t>
            </w:r>
          </w:p>
        </w:tc>
        <w:tc>
          <w:tcPr>
            <w:tcW w:w="2015"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w:t>
            </w:r>
          </w:p>
        </w:tc>
      </w:tr>
      <w:tr w:rsidR="005275DD" w:rsidRPr="005275DD" w:rsidTr="005275DD">
        <w:trPr>
          <w:trHeight w:val="33"/>
          <w:jc w:val="center"/>
        </w:trPr>
        <w:tc>
          <w:tcPr>
            <w:tcW w:w="2265"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Корректировка</w:t>
            </w:r>
          </w:p>
        </w:tc>
        <w:tc>
          <w:tcPr>
            <w:tcW w:w="2187" w:type="dxa"/>
            <w:shd w:val="clear" w:color="auto" w:fill="auto"/>
            <w:vAlign w:val="center"/>
            <w:hideMark/>
          </w:tcPr>
          <w:p w:rsidR="005275DD" w:rsidRPr="005275DD" w:rsidRDefault="005275DD" w:rsidP="005275DD">
            <w:pPr>
              <w:jc w:val="center"/>
              <w:rPr>
                <w:rFonts w:ascii="Cambria" w:hAnsi="Cambria"/>
                <w:sz w:val="18"/>
                <w:szCs w:val="18"/>
              </w:rPr>
            </w:pPr>
          </w:p>
        </w:tc>
        <w:tc>
          <w:tcPr>
            <w:tcW w:w="201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1,00</w:t>
            </w:r>
          </w:p>
        </w:tc>
        <w:tc>
          <w:tcPr>
            <w:tcW w:w="178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1,00</w:t>
            </w:r>
          </w:p>
        </w:tc>
        <w:tc>
          <w:tcPr>
            <w:tcW w:w="2015"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1,00</w:t>
            </w:r>
          </w:p>
        </w:tc>
      </w:tr>
      <w:tr w:rsidR="005275DD" w:rsidRPr="005275DD" w:rsidTr="005275DD">
        <w:trPr>
          <w:trHeight w:val="33"/>
          <w:jc w:val="center"/>
        </w:trPr>
        <w:tc>
          <w:tcPr>
            <w:tcW w:w="2265"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Скорректированная цена</w:t>
            </w:r>
          </w:p>
        </w:tc>
        <w:tc>
          <w:tcPr>
            <w:tcW w:w="2187" w:type="dxa"/>
            <w:shd w:val="clear" w:color="auto" w:fill="auto"/>
            <w:vAlign w:val="center"/>
            <w:hideMark/>
          </w:tcPr>
          <w:p w:rsidR="005275DD" w:rsidRPr="005275DD" w:rsidRDefault="005275DD" w:rsidP="005275DD">
            <w:pPr>
              <w:jc w:val="center"/>
              <w:rPr>
                <w:rFonts w:ascii="Cambria" w:hAnsi="Cambria"/>
                <w:sz w:val="18"/>
                <w:szCs w:val="18"/>
              </w:rPr>
            </w:pPr>
          </w:p>
        </w:tc>
        <w:tc>
          <w:tcPr>
            <w:tcW w:w="201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180,08</w:t>
            </w:r>
          </w:p>
        </w:tc>
        <w:tc>
          <w:tcPr>
            <w:tcW w:w="178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206,32</w:t>
            </w:r>
          </w:p>
        </w:tc>
        <w:tc>
          <w:tcPr>
            <w:tcW w:w="2015"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168,89</w:t>
            </w:r>
          </w:p>
        </w:tc>
      </w:tr>
      <w:tr w:rsidR="005275DD" w:rsidRPr="005275DD" w:rsidTr="005275DD">
        <w:trPr>
          <w:trHeight w:val="33"/>
          <w:jc w:val="center"/>
        </w:trPr>
        <w:tc>
          <w:tcPr>
            <w:tcW w:w="2265"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Имущественные права</w:t>
            </w:r>
          </w:p>
        </w:tc>
        <w:tc>
          <w:tcPr>
            <w:tcW w:w="2187" w:type="dxa"/>
            <w:shd w:val="clear" w:color="auto" w:fill="auto"/>
            <w:vAlign w:val="center"/>
            <w:hideMark/>
          </w:tcPr>
          <w:p w:rsidR="005275DD" w:rsidRPr="005275DD" w:rsidRDefault="005275DD" w:rsidP="005275DD">
            <w:pPr>
              <w:jc w:val="center"/>
              <w:rPr>
                <w:rFonts w:ascii="Cambria" w:hAnsi="Cambria"/>
                <w:color w:val="000000"/>
                <w:sz w:val="18"/>
                <w:szCs w:val="18"/>
              </w:rPr>
            </w:pPr>
            <w:r>
              <w:rPr>
                <w:rFonts w:ascii="Cambria" w:hAnsi="Cambria"/>
                <w:color w:val="000000"/>
                <w:sz w:val="18"/>
                <w:szCs w:val="18"/>
              </w:rPr>
              <w:t>Бессрочное пользование</w:t>
            </w:r>
          </w:p>
        </w:tc>
        <w:tc>
          <w:tcPr>
            <w:tcW w:w="201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Собственность</w:t>
            </w:r>
          </w:p>
        </w:tc>
        <w:tc>
          <w:tcPr>
            <w:tcW w:w="178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Собственность</w:t>
            </w:r>
          </w:p>
        </w:tc>
        <w:tc>
          <w:tcPr>
            <w:tcW w:w="2015"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Собственность</w:t>
            </w:r>
          </w:p>
        </w:tc>
      </w:tr>
      <w:tr w:rsidR="005275DD" w:rsidRPr="005275DD" w:rsidTr="005275DD">
        <w:trPr>
          <w:trHeight w:val="33"/>
          <w:jc w:val="center"/>
        </w:trPr>
        <w:tc>
          <w:tcPr>
            <w:tcW w:w="2265"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Корректировка</w:t>
            </w:r>
          </w:p>
        </w:tc>
        <w:tc>
          <w:tcPr>
            <w:tcW w:w="2187" w:type="dxa"/>
            <w:shd w:val="clear" w:color="auto" w:fill="auto"/>
            <w:vAlign w:val="center"/>
            <w:hideMark/>
          </w:tcPr>
          <w:p w:rsidR="005275DD" w:rsidRPr="005275DD" w:rsidRDefault="005275DD" w:rsidP="005275DD">
            <w:pPr>
              <w:jc w:val="center"/>
              <w:rPr>
                <w:rFonts w:ascii="Cambria" w:hAnsi="Cambria"/>
                <w:sz w:val="18"/>
                <w:szCs w:val="18"/>
              </w:rPr>
            </w:pPr>
          </w:p>
        </w:tc>
        <w:tc>
          <w:tcPr>
            <w:tcW w:w="201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1,00</w:t>
            </w:r>
          </w:p>
        </w:tc>
        <w:tc>
          <w:tcPr>
            <w:tcW w:w="178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1,00</w:t>
            </w:r>
          </w:p>
        </w:tc>
        <w:tc>
          <w:tcPr>
            <w:tcW w:w="2015"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1,00</w:t>
            </w:r>
          </w:p>
        </w:tc>
      </w:tr>
      <w:tr w:rsidR="005275DD" w:rsidRPr="005275DD" w:rsidTr="005275DD">
        <w:trPr>
          <w:trHeight w:val="33"/>
          <w:jc w:val="center"/>
        </w:trPr>
        <w:tc>
          <w:tcPr>
            <w:tcW w:w="2265"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Скорректированная цена</w:t>
            </w:r>
          </w:p>
        </w:tc>
        <w:tc>
          <w:tcPr>
            <w:tcW w:w="2187" w:type="dxa"/>
            <w:shd w:val="clear" w:color="auto" w:fill="auto"/>
            <w:vAlign w:val="center"/>
            <w:hideMark/>
          </w:tcPr>
          <w:p w:rsidR="005275DD" w:rsidRPr="005275DD" w:rsidRDefault="005275DD" w:rsidP="005275DD">
            <w:pPr>
              <w:jc w:val="center"/>
              <w:rPr>
                <w:rFonts w:ascii="Cambria" w:hAnsi="Cambria"/>
                <w:sz w:val="18"/>
                <w:szCs w:val="18"/>
              </w:rPr>
            </w:pPr>
          </w:p>
        </w:tc>
        <w:tc>
          <w:tcPr>
            <w:tcW w:w="201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180,08</w:t>
            </w:r>
          </w:p>
        </w:tc>
        <w:tc>
          <w:tcPr>
            <w:tcW w:w="178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206,32</w:t>
            </w:r>
          </w:p>
        </w:tc>
        <w:tc>
          <w:tcPr>
            <w:tcW w:w="2015"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168,89</w:t>
            </w:r>
          </w:p>
        </w:tc>
      </w:tr>
      <w:tr w:rsidR="005275DD" w:rsidRPr="005275DD" w:rsidTr="005275DD">
        <w:trPr>
          <w:trHeight w:val="33"/>
          <w:jc w:val="center"/>
        </w:trPr>
        <w:tc>
          <w:tcPr>
            <w:tcW w:w="2265"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Средняя арифметическая величина, руб./кв.м.</w:t>
            </w:r>
          </w:p>
        </w:tc>
        <w:tc>
          <w:tcPr>
            <w:tcW w:w="2187" w:type="dxa"/>
            <w:shd w:val="clear" w:color="auto" w:fill="auto"/>
            <w:vAlign w:val="center"/>
            <w:hideMark/>
          </w:tcPr>
          <w:p w:rsidR="005275DD" w:rsidRPr="005275DD" w:rsidRDefault="005275DD" w:rsidP="005275DD">
            <w:pPr>
              <w:jc w:val="center"/>
              <w:rPr>
                <w:rFonts w:ascii="Cambria" w:hAnsi="Cambria"/>
                <w:b/>
                <w:bCs/>
                <w:sz w:val="18"/>
                <w:szCs w:val="18"/>
              </w:rPr>
            </w:pPr>
            <w:bookmarkStart w:id="79" w:name="RANGE!C42"/>
            <w:r w:rsidRPr="005275DD">
              <w:rPr>
                <w:rFonts w:ascii="Cambria" w:hAnsi="Cambria"/>
                <w:b/>
                <w:bCs/>
                <w:sz w:val="18"/>
                <w:szCs w:val="18"/>
              </w:rPr>
              <w:t>196,01</w:t>
            </w:r>
            <w:bookmarkEnd w:id="79"/>
          </w:p>
        </w:tc>
        <w:tc>
          <w:tcPr>
            <w:tcW w:w="2013" w:type="dxa"/>
            <w:shd w:val="clear" w:color="auto" w:fill="auto"/>
            <w:vAlign w:val="center"/>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w:t>
            </w:r>
          </w:p>
        </w:tc>
        <w:tc>
          <w:tcPr>
            <w:tcW w:w="1789" w:type="dxa"/>
            <w:shd w:val="clear" w:color="auto" w:fill="auto"/>
            <w:vAlign w:val="center"/>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2</w:t>
            </w:r>
          </w:p>
        </w:tc>
        <w:tc>
          <w:tcPr>
            <w:tcW w:w="2015" w:type="dxa"/>
            <w:shd w:val="clear" w:color="auto" w:fill="auto"/>
            <w:vAlign w:val="center"/>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3</w:t>
            </w:r>
          </w:p>
        </w:tc>
      </w:tr>
      <w:tr w:rsidR="005275DD" w:rsidRPr="005275DD" w:rsidTr="005275DD">
        <w:trPr>
          <w:trHeight w:val="33"/>
          <w:jc w:val="center"/>
        </w:trPr>
        <w:tc>
          <w:tcPr>
            <w:tcW w:w="2265" w:type="dxa"/>
            <w:shd w:val="clear" w:color="auto" w:fill="auto"/>
            <w:vAlign w:val="center"/>
            <w:hideMark/>
          </w:tcPr>
          <w:p w:rsidR="005275DD" w:rsidRPr="005275DD" w:rsidRDefault="005275DD" w:rsidP="005275DD">
            <w:pPr>
              <w:jc w:val="center"/>
              <w:rPr>
                <w:rFonts w:asciiTheme="majorHAnsi" w:hAnsiTheme="majorHAnsi"/>
                <w:b/>
                <w:color w:val="000000"/>
                <w:sz w:val="18"/>
                <w:szCs w:val="18"/>
              </w:rPr>
            </w:pPr>
            <w:r w:rsidRPr="005275DD">
              <w:rPr>
                <w:rFonts w:asciiTheme="majorHAnsi" w:hAnsiTheme="majorHAnsi"/>
                <w:b/>
                <w:color w:val="000000"/>
                <w:sz w:val="18"/>
                <w:szCs w:val="18"/>
              </w:rPr>
              <w:t>Стоимость зу, руб.</w:t>
            </w:r>
          </w:p>
        </w:tc>
        <w:tc>
          <w:tcPr>
            <w:tcW w:w="2187" w:type="dxa"/>
            <w:shd w:val="clear" w:color="auto" w:fill="auto"/>
            <w:vAlign w:val="center"/>
            <w:hideMark/>
          </w:tcPr>
          <w:p w:rsidR="005275DD" w:rsidRPr="005275DD" w:rsidRDefault="005275DD" w:rsidP="005275DD">
            <w:pPr>
              <w:jc w:val="center"/>
              <w:rPr>
                <w:rFonts w:ascii="Cambria" w:hAnsi="Cambria"/>
                <w:b/>
                <w:bCs/>
                <w:sz w:val="18"/>
                <w:szCs w:val="18"/>
              </w:rPr>
            </w:pPr>
            <w:r w:rsidRPr="005275DD">
              <w:rPr>
                <w:rFonts w:ascii="Cambria" w:hAnsi="Cambria"/>
                <w:b/>
                <w:bCs/>
                <w:sz w:val="18"/>
                <w:szCs w:val="18"/>
              </w:rPr>
              <w:t>19 869 534,00</w:t>
            </w:r>
          </w:p>
        </w:tc>
        <w:tc>
          <w:tcPr>
            <w:tcW w:w="2013" w:type="dxa"/>
            <w:shd w:val="clear" w:color="auto" w:fill="auto"/>
            <w:vAlign w:val="center"/>
            <w:hideMark/>
          </w:tcPr>
          <w:p w:rsidR="005275DD" w:rsidRPr="005275DD" w:rsidRDefault="005275DD" w:rsidP="005275DD">
            <w:pPr>
              <w:jc w:val="center"/>
              <w:rPr>
                <w:rFonts w:ascii="Cambria" w:hAnsi="Cambria"/>
                <w:color w:val="000000"/>
                <w:sz w:val="18"/>
                <w:szCs w:val="18"/>
              </w:rPr>
            </w:pPr>
          </w:p>
        </w:tc>
        <w:tc>
          <w:tcPr>
            <w:tcW w:w="1789" w:type="dxa"/>
            <w:shd w:val="clear" w:color="auto" w:fill="auto"/>
            <w:vAlign w:val="center"/>
            <w:hideMark/>
          </w:tcPr>
          <w:p w:rsidR="005275DD" w:rsidRPr="005275DD" w:rsidRDefault="005275DD" w:rsidP="005275DD">
            <w:pPr>
              <w:jc w:val="center"/>
              <w:rPr>
                <w:rFonts w:ascii="Cambria" w:hAnsi="Cambria"/>
                <w:color w:val="000000"/>
                <w:sz w:val="18"/>
                <w:szCs w:val="18"/>
              </w:rPr>
            </w:pPr>
          </w:p>
        </w:tc>
        <w:tc>
          <w:tcPr>
            <w:tcW w:w="2015" w:type="dxa"/>
            <w:shd w:val="clear" w:color="auto" w:fill="auto"/>
            <w:vAlign w:val="center"/>
            <w:hideMark/>
          </w:tcPr>
          <w:p w:rsidR="005275DD" w:rsidRPr="005275DD" w:rsidRDefault="005275DD" w:rsidP="005275DD">
            <w:pPr>
              <w:jc w:val="center"/>
              <w:rPr>
                <w:rFonts w:ascii="Cambria" w:hAnsi="Cambria"/>
                <w:color w:val="000000"/>
                <w:sz w:val="18"/>
                <w:szCs w:val="18"/>
              </w:rPr>
            </w:pPr>
          </w:p>
        </w:tc>
      </w:tr>
    </w:tbl>
    <w:p w:rsidR="004608BE" w:rsidRDefault="005275DD" w:rsidP="00D461C3">
      <w:pPr>
        <w:tabs>
          <w:tab w:val="center" w:pos="4677"/>
          <w:tab w:val="right" w:pos="9355"/>
        </w:tabs>
        <w:spacing w:before="120" w:after="120" w:line="276" w:lineRule="auto"/>
        <w:jc w:val="center"/>
        <w:rPr>
          <w:rFonts w:asciiTheme="majorHAnsi" w:eastAsiaTheme="minorHAnsi" w:hAnsiTheme="majorHAnsi" w:cstheme="minorBidi"/>
          <w:b/>
          <w:sz w:val="20"/>
          <w:szCs w:val="23"/>
          <w:lang w:eastAsia="en-US"/>
        </w:rPr>
      </w:pPr>
      <w:r w:rsidRPr="005275DD">
        <w:rPr>
          <w:rFonts w:asciiTheme="majorHAnsi" w:eastAsiaTheme="minorHAnsi" w:hAnsiTheme="majorHAnsi" w:cstheme="minorBidi"/>
          <w:b/>
          <w:bCs/>
          <w:sz w:val="20"/>
          <w:szCs w:val="22"/>
          <w:lang w:eastAsia="en-US"/>
        </w:rPr>
        <w:t xml:space="preserve">ЗЕМЕЛЬНЫЙ УЧАСТОК, ПЛОЩАДЬЮ </w:t>
      </w:r>
      <w:r>
        <w:rPr>
          <w:rFonts w:asciiTheme="majorHAnsi" w:hAnsiTheme="majorHAnsi"/>
          <w:b/>
          <w:bCs/>
          <w:sz w:val="20"/>
          <w:szCs w:val="20"/>
        </w:rPr>
        <w:t xml:space="preserve">83 276 </w:t>
      </w:r>
      <w:r w:rsidRPr="005275DD">
        <w:rPr>
          <w:rFonts w:asciiTheme="majorHAnsi" w:eastAsiaTheme="minorHAnsi" w:hAnsiTheme="majorHAnsi" w:cstheme="minorBidi"/>
          <w:b/>
          <w:bCs/>
          <w:sz w:val="20"/>
          <w:szCs w:val="22"/>
          <w:lang w:eastAsia="en-US"/>
        </w:rPr>
        <w:t xml:space="preserve">КВ.М.  </w:t>
      </w:r>
    </w:p>
    <w:tbl>
      <w:tblPr>
        <w:tblW w:w="10097"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332"/>
        <w:gridCol w:w="2292"/>
        <w:gridCol w:w="1953"/>
        <w:gridCol w:w="1591"/>
        <w:gridCol w:w="1929"/>
      </w:tblGrid>
      <w:tr w:rsidR="005275DD" w:rsidRPr="005275DD" w:rsidTr="005275DD">
        <w:trPr>
          <w:trHeight w:val="33"/>
          <w:jc w:val="center"/>
        </w:trPr>
        <w:tc>
          <w:tcPr>
            <w:tcW w:w="10097" w:type="dxa"/>
            <w:gridSpan w:val="5"/>
            <w:shd w:val="clear" w:color="auto" w:fill="F2F2F2" w:themeFill="background1" w:themeFillShade="F2"/>
            <w:vAlign w:val="center"/>
            <w:hideMark/>
          </w:tcPr>
          <w:p w:rsidR="005275DD" w:rsidRPr="005275DD" w:rsidRDefault="005275DD" w:rsidP="005275DD">
            <w:pPr>
              <w:ind w:left="-80" w:right="-112"/>
              <w:jc w:val="center"/>
              <w:rPr>
                <w:rFonts w:asciiTheme="majorHAnsi" w:hAnsiTheme="majorHAnsi"/>
                <w:sz w:val="18"/>
                <w:szCs w:val="18"/>
              </w:rPr>
            </w:pPr>
            <w:r w:rsidRPr="005275DD">
              <w:rPr>
                <w:rFonts w:asciiTheme="majorHAnsi" w:hAnsiTheme="majorHAnsi"/>
                <w:b/>
                <w:bCs/>
                <w:sz w:val="18"/>
                <w:szCs w:val="18"/>
              </w:rPr>
              <w:t>Скорректированые значения единицы сравнения для объектов-аналогов по каждому элементу сравнения в зависимости от соотношения характеристик объекта оценки и объекта-аналога по данному элементу сравнения, согласованные результаты корректирования значений единиц сравнения по выбранным объектам-аналогам</w:t>
            </w:r>
          </w:p>
        </w:tc>
      </w:tr>
      <w:tr w:rsidR="005275DD" w:rsidRPr="005275DD" w:rsidTr="005275DD">
        <w:trPr>
          <w:trHeight w:val="33"/>
          <w:jc w:val="center"/>
        </w:trPr>
        <w:tc>
          <w:tcPr>
            <w:tcW w:w="2332" w:type="dxa"/>
            <w:shd w:val="clear" w:color="auto" w:fill="F2F2F2" w:themeFill="background1" w:themeFillShade="F2"/>
            <w:vAlign w:val="center"/>
            <w:hideMark/>
          </w:tcPr>
          <w:p w:rsidR="005275DD" w:rsidRPr="005275DD" w:rsidRDefault="005275DD" w:rsidP="005275DD">
            <w:pPr>
              <w:jc w:val="center"/>
              <w:rPr>
                <w:rFonts w:asciiTheme="majorHAnsi" w:hAnsiTheme="majorHAnsi"/>
                <w:b/>
                <w:bCs/>
                <w:sz w:val="18"/>
                <w:szCs w:val="18"/>
              </w:rPr>
            </w:pPr>
            <w:r w:rsidRPr="005275DD">
              <w:rPr>
                <w:rFonts w:asciiTheme="majorHAnsi" w:hAnsiTheme="majorHAnsi"/>
                <w:b/>
                <w:bCs/>
                <w:sz w:val="18"/>
                <w:szCs w:val="18"/>
              </w:rPr>
              <w:t>Характеристика</w:t>
            </w:r>
          </w:p>
        </w:tc>
        <w:tc>
          <w:tcPr>
            <w:tcW w:w="2292" w:type="dxa"/>
            <w:shd w:val="clear" w:color="auto" w:fill="F2F2F2" w:themeFill="background1" w:themeFillShade="F2"/>
            <w:vAlign w:val="center"/>
            <w:hideMark/>
          </w:tcPr>
          <w:p w:rsidR="005275DD" w:rsidRPr="005275DD" w:rsidRDefault="005275DD" w:rsidP="005275DD">
            <w:pPr>
              <w:jc w:val="center"/>
              <w:rPr>
                <w:rFonts w:asciiTheme="majorHAnsi" w:hAnsiTheme="majorHAnsi"/>
                <w:b/>
                <w:bCs/>
                <w:sz w:val="18"/>
                <w:szCs w:val="18"/>
              </w:rPr>
            </w:pPr>
            <w:r w:rsidRPr="005275DD">
              <w:rPr>
                <w:rFonts w:asciiTheme="majorHAnsi" w:hAnsiTheme="majorHAnsi"/>
                <w:b/>
                <w:bCs/>
                <w:sz w:val="18"/>
                <w:szCs w:val="18"/>
              </w:rPr>
              <w:t> </w:t>
            </w:r>
          </w:p>
        </w:tc>
        <w:tc>
          <w:tcPr>
            <w:tcW w:w="1953" w:type="dxa"/>
            <w:shd w:val="clear" w:color="auto" w:fill="F2F2F2" w:themeFill="background1" w:themeFillShade="F2"/>
            <w:vAlign w:val="center"/>
            <w:hideMark/>
          </w:tcPr>
          <w:p w:rsidR="005275DD" w:rsidRPr="005275DD" w:rsidRDefault="005275DD" w:rsidP="005275DD">
            <w:pPr>
              <w:jc w:val="center"/>
              <w:rPr>
                <w:rFonts w:asciiTheme="majorHAnsi" w:hAnsiTheme="majorHAnsi"/>
                <w:b/>
                <w:bCs/>
                <w:sz w:val="18"/>
                <w:szCs w:val="18"/>
              </w:rPr>
            </w:pPr>
            <w:r w:rsidRPr="005275DD">
              <w:rPr>
                <w:rFonts w:asciiTheme="majorHAnsi" w:hAnsiTheme="majorHAnsi"/>
                <w:b/>
                <w:bCs/>
                <w:sz w:val="18"/>
                <w:szCs w:val="18"/>
              </w:rPr>
              <w:t>Аналог № 1</w:t>
            </w:r>
          </w:p>
        </w:tc>
        <w:tc>
          <w:tcPr>
            <w:tcW w:w="1591" w:type="dxa"/>
            <w:shd w:val="clear" w:color="auto" w:fill="F2F2F2" w:themeFill="background1" w:themeFillShade="F2"/>
            <w:vAlign w:val="center"/>
            <w:hideMark/>
          </w:tcPr>
          <w:p w:rsidR="005275DD" w:rsidRPr="005275DD" w:rsidRDefault="005275DD" w:rsidP="005275DD">
            <w:pPr>
              <w:jc w:val="center"/>
              <w:rPr>
                <w:rFonts w:asciiTheme="majorHAnsi" w:hAnsiTheme="majorHAnsi"/>
                <w:b/>
                <w:bCs/>
                <w:sz w:val="18"/>
                <w:szCs w:val="18"/>
              </w:rPr>
            </w:pPr>
            <w:r w:rsidRPr="005275DD">
              <w:rPr>
                <w:rFonts w:asciiTheme="majorHAnsi" w:hAnsiTheme="majorHAnsi"/>
                <w:b/>
                <w:bCs/>
                <w:sz w:val="18"/>
                <w:szCs w:val="18"/>
              </w:rPr>
              <w:t>Аналог № 2</w:t>
            </w:r>
          </w:p>
        </w:tc>
        <w:tc>
          <w:tcPr>
            <w:tcW w:w="1929" w:type="dxa"/>
            <w:shd w:val="clear" w:color="auto" w:fill="F2F2F2" w:themeFill="background1" w:themeFillShade="F2"/>
            <w:vAlign w:val="center"/>
            <w:hideMark/>
          </w:tcPr>
          <w:p w:rsidR="005275DD" w:rsidRPr="005275DD" w:rsidRDefault="005275DD" w:rsidP="005275DD">
            <w:pPr>
              <w:jc w:val="center"/>
              <w:rPr>
                <w:rFonts w:asciiTheme="majorHAnsi" w:hAnsiTheme="majorHAnsi"/>
                <w:b/>
                <w:bCs/>
                <w:sz w:val="18"/>
                <w:szCs w:val="18"/>
              </w:rPr>
            </w:pPr>
            <w:r w:rsidRPr="005275DD">
              <w:rPr>
                <w:rFonts w:asciiTheme="majorHAnsi" w:hAnsiTheme="majorHAnsi"/>
                <w:b/>
                <w:bCs/>
                <w:sz w:val="18"/>
                <w:szCs w:val="18"/>
              </w:rPr>
              <w:t>Аналог № 3</w:t>
            </w:r>
          </w:p>
        </w:tc>
      </w:tr>
      <w:tr w:rsidR="005275DD" w:rsidRPr="005275DD" w:rsidTr="005275DD">
        <w:trPr>
          <w:trHeight w:val="33"/>
          <w:jc w:val="center"/>
        </w:trPr>
        <w:tc>
          <w:tcPr>
            <w:tcW w:w="2332" w:type="dxa"/>
            <w:shd w:val="clear" w:color="auto" w:fill="auto"/>
            <w:vAlign w:val="center"/>
            <w:hideMark/>
          </w:tcPr>
          <w:p w:rsidR="005275DD" w:rsidRPr="005275DD" w:rsidRDefault="005275DD" w:rsidP="005275DD">
            <w:pPr>
              <w:jc w:val="center"/>
              <w:rPr>
                <w:rFonts w:asciiTheme="majorHAnsi" w:hAnsiTheme="majorHAnsi"/>
                <w:b/>
                <w:color w:val="000000"/>
                <w:sz w:val="18"/>
                <w:szCs w:val="18"/>
              </w:rPr>
            </w:pPr>
            <w:r w:rsidRPr="005275DD">
              <w:rPr>
                <w:rFonts w:asciiTheme="majorHAnsi" w:hAnsiTheme="majorHAnsi"/>
                <w:b/>
                <w:color w:val="000000"/>
                <w:sz w:val="18"/>
                <w:szCs w:val="18"/>
              </w:rPr>
              <w:t>Цена за ед. площади</w:t>
            </w:r>
          </w:p>
        </w:tc>
        <w:tc>
          <w:tcPr>
            <w:tcW w:w="2292" w:type="dxa"/>
            <w:shd w:val="clear" w:color="auto" w:fill="auto"/>
            <w:vAlign w:val="center"/>
            <w:hideMark/>
          </w:tcPr>
          <w:p w:rsidR="005275DD" w:rsidRPr="005275DD" w:rsidRDefault="005275DD" w:rsidP="005275DD">
            <w:pPr>
              <w:jc w:val="center"/>
              <w:rPr>
                <w:rFonts w:ascii="Cambria" w:hAnsi="Cambria"/>
                <w:color w:val="000000"/>
                <w:sz w:val="18"/>
                <w:szCs w:val="18"/>
              </w:rPr>
            </w:pPr>
          </w:p>
        </w:tc>
        <w:tc>
          <w:tcPr>
            <w:tcW w:w="195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228,57</w:t>
            </w:r>
          </w:p>
        </w:tc>
        <w:tc>
          <w:tcPr>
            <w:tcW w:w="1591"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250,00</w:t>
            </w:r>
          </w:p>
        </w:tc>
        <w:tc>
          <w:tcPr>
            <w:tcW w:w="192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228,57</w:t>
            </w:r>
          </w:p>
        </w:tc>
      </w:tr>
      <w:tr w:rsidR="005275DD" w:rsidRPr="005275DD" w:rsidTr="005275DD">
        <w:trPr>
          <w:trHeight w:val="33"/>
          <w:jc w:val="center"/>
        </w:trPr>
        <w:tc>
          <w:tcPr>
            <w:tcW w:w="2332"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Корректировка на уторговывание</w:t>
            </w:r>
          </w:p>
        </w:tc>
        <w:tc>
          <w:tcPr>
            <w:tcW w:w="2292" w:type="dxa"/>
            <w:shd w:val="clear" w:color="auto" w:fill="auto"/>
            <w:vAlign w:val="center"/>
            <w:hideMark/>
          </w:tcPr>
          <w:p w:rsidR="005275DD" w:rsidRPr="005275DD" w:rsidRDefault="005275DD" w:rsidP="005275DD">
            <w:pPr>
              <w:jc w:val="center"/>
              <w:rPr>
                <w:rFonts w:ascii="Cambria" w:hAnsi="Cambria"/>
                <w:sz w:val="18"/>
                <w:szCs w:val="18"/>
              </w:rPr>
            </w:pPr>
          </w:p>
        </w:tc>
        <w:tc>
          <w:tcPr>
            <w:tcW w:w="1953" w:type="dxa"/>
            <w:shd w:val="clear" w:color="auto" w:fill="auto"/>
            <w:vAlign w:val="center"/>
            <w:hideMark/>
          </w:tcPr>
          <w:p w:rsidR="005275DD" w:rsidRPr="005275DD" w:rsidRDefault="005275DD" w:rsidP="005275DD">
            <w:pPr>
              <w:jc w:val="center"/>
              <w:rPr>
                <w:rFonts w:ascii="Cambria" w:hAnsi="Cambria"/>
                <w:sz w:val="18"/>
                <w:szCs w:val="18"/>
              </w:rPr>
            </w:pPr>
            <w:r w:rsidRPr="005275DD">
              <w:rPr>
                <w:rFonts w:ascii="Cambria" w:hAnsi="Cambria"/>
                <w:sz w:val="18"/>
                <w:szCs w:val="18"/>
              </w:rPr>
              <w:t>18,6%</w:t>
            </w:r>
          </w:p>
        </w:tc>
        <w:tc>
          <w:tcPr>
            <w:tcW w:w="1591" w:type="dxa"/>
            <w:shd w:val="clear" w:color="auto" w:fill="auto"/>
            <w:vAlign w:val="center"/>
            <w:hideMark/>
          </w:tcPr>
          <w:p w:rsidR="005275DD" w:rsidRPr="005275DD" w:rsidRDefault="005275DD" w:rsidP="005275DD">
            <w:pPr>
              <w:jc w:val="center"/>
              <w:rPr>
                <w:rFonts w:ascii="Cambria" w:hAnsi="Cambria"/>
                <w:sz w:val="18"/>
                <w:szCs w:val="18"/>
              </w:rPr>
            </w:pPr>
            <w:r w:rsidRPr="005275DD">
              <w:rPr>
                <w:rFonts w:ascii="Cambria" w:hAnsi="Cambria"/>
                <w:sz w:val="18"/>
                <w:szCs w:val="18"/>
              </w:rPr>
              <w:t>18,6%</w:t>
            </w:r>
          </w:p>
        </w:tc>
        <w:tc>
          <w:tcPr>
            <w:tcW w:w="1929" w:type="dxa"/>
            <w:shd w:val="clear" w:color="auto" w:fill="auto"/>
            <w:vAlign w:val="center"/>
            <w:hideMark/>
          </w:tcPr>
          <w:p w:rsidR="005275DD" w:rsidRPr="005275DD" w:rsidRDefault="005275DD" w:rsidP="005275DD">
            <w:pPr>
              <w:jc w:val="center"/>
              <w:rPr>
                <w:rFonts w:ascii="Cambria" w:hAnsi="Cambria"/>
                <w:sz w:val="18"/>
                <w:szCs w:val="18"/>
              </w:rPr>
            </w:pPr>
            <w:r w:rsidRPr="005275DD">
              <w:rPr>
                <w:rFonts w:ascii="Cambria" w:hAnsi="Cambria"/>
                <w:sz w:val="18"/>
                <w:szCs w:val="18"/>
              </w:rPr>
              <w:t>18,6%</w:t>
            </w:r>
          </w:p>
        </w:tc>
      </w:tr>
      <w:tr w:rsidR="005275DD" w:rsidRPr="005275DD" w:rsidTr="005275DD">
        <w:trPr>
          <w:trHeight w:val="33"/>
          <w:jc w:val="center"/>
        </w:trPr>
        <w:tc>
          <w:tcPr>
            <w:tcW w:w="2332"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Скорректированная цена</w:t>
            </w:r>
          </w:p>
        </w:tc>
        <w:tc>
          <w:tcPr>
            <w:tcW w:w="2292" w:type="dxa"/>
            <w:shd w:val="clear" w:color="auto" w:fill="auto"/>
            <w:vAlign w:val="center"/>
            <w:hideMark/>
          </w:tcPr>
          <w:p w:rsidR="005275DD" w:rsidRPr="005275DD" w:rsidRDefault="005275DD" w:rsidP="005275DD">
            <w:pPr>
              <w:jc w:val="center"/>
              <w:rPr>
                <w:rFonts w:ascii="Cambria" w:hAnsi="Cambria"/>
                <w:sz w:val="18"/>
                <w:szCs w:val="18"/>
              </w:rPr>
            </w:pPr>
          </w:p>
        </w:tc>
        <w:tc>
          <w:tcPr>
            <w:tcW w:w="195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186,06</w:t>
            </w:r>
          </w:p>
        </w:tc>
        <w:tc>
          <w:tcPr>
            <w:tcW w:w="1591"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203,5</w:t>
            </w:r>
          </w:p>
        </w:tc>
        <w:tc>
          <w:tcPr>
            <w:tcW w:w="192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186,06</w:t>
            </w:r>
          </w:p>
        </w:tc>
      </w:tr>
      <w:tr w:rsidR="005275DD" w:rsidRPr="005275DD" w:rsidTr="005275DD">
        <w:trPr>
          <w:trHeight w:val="33"/>
          <w:jc w:val="center"/>
        </w:trPr>
        <w:tc>
          <w:tcPr>
            <w:tcW w:w="2332"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Площадь, кв.м.</w:t>
            </w:r>
          </w:p>
        </w:tc>
        <w:tc>
          <w:tcPr>
            <w:tcW w:w="2292" w:type="dxa"/>
            <w:shd w:val="clear" w:color="auto" w:fill="auto"/>
            <w:vAlign w:val="center"/>
            <w:hideMark/>
          </w:tcPr>
          <w:p w:rsidR="005275DD" w:rsidRPr="005275DD" w:rsidRDefault="005275DD" w:rsidP="005275DD">
            <w:pPr>
              <w:jc w:val="center"/>
              <w:rPr>
                <w:rFonts w:ascii="Cambria" w:hAnsi="Cambria"/>
                <w:sz w:val="18"/>
                <w:szCs w:val="18"/>
              </w:rPr>
            </w:pPr>
            <w:r w:rsidRPr="005275DD">
              <w:rPr>
                <w:rFonts w:ascii="Cambria" w:hAnsi="Cambria"/>
                <w:sz w:val="18"/>
                <w:szCs w:val="18"/>
              </w:rPr>
              <w:t>83 276,00</w:t>
            </w:r>
          </w:p>
        </w:tc>
        <w:tc>
          <w:tcPr>
            <w:tcW w:w="195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70 000</w:t>
            </w:r>
          </w:p>
        </w:tc>
        <w:tc>
          <w:tcPr>
            <w:tcW w:w="1591"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81 709</w:t>
            </w:r>
          </w:p>
        </w:tc>
        <w:tc>
          <w:tcPr>
            <w:tcW w:w="192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35 000</w:t>
            </w:r>
          </w:p>
        </w:tc>
      </w:tr>
      <w:tr w:rsidR="005275DD" w:rsidRPr="005275DD" w:rsidTr="005275DD">
        <w:trPr>
          <w:trHeight w:val="33"/>
          <w:jc w:val="center"/>
        </w:trPr>
        <w:tc>
          <w:tcPr>
            <w:tcW w:w="2332"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Корректировка на площадь</w:t>
            </w:r>
          </w:p>
        </w:tc>
        <w:tc>
          <w:tcPr>
            <w:tcW w:w="2292" w:type="dxa"/>
            <w:shd w:val="clear" w:color="auto" w:fill="auto"/>
            <w:vAlign w:val="center"/>
            <w:hideMark/>
          </w:tcPr>
          <w:p w:rsidR="005275DD" w:rsidRPr="005275DD" w:rsidRDefault="005275DD" w:rsidP="005275DD">
            <w:pPr>
              <w:jc w:val="center"/>
              <w:rPr>
                <w:rFonts w:ascii="Cambria" w:hAnsi="Cambria"/>
                <w:sz w:val="18"/>
                <w:szCs w:val="18"/>
              </w:rPr>
            </w:pPr>
          </w:p>
        </w:tc>
        <w:tc>
          <w:tcPr>
            <w:tcW w:w="195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0,98</w:t>
            </w:r>
          </w:p>
        </w:tc>
        <w:tc>
          <w:tcPr>
            <w:tcW w:w="1591"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1,00</w:t>
            </w:r>
          </w:p>
        </w:tc>
        <w:tc>
          <w:tcPr>
            <w:tcW w:w="192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0,92</w:t>
            </w:r>
          </w:p>
        </w:tc>
      </w:tr>
      <w:tr w:rsidR="005275DD" w:rsidRPr="005275DD" w:rsidTr="005275DD">
        <w:trPr>
          <w:trHeight w:val="33"/>
          <w:jc w:val="center"/>
        </w:trPr>
        <w:tc>
          <w:tcPr>
            <w:tcW w:w="2332"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Скорректированная цена</w:t>
            </w:r>
          </w:p>
        </w:tc>
        <w:tc>
          <w:tcPr>
            <w:tcW w:w="2292" w:type="dxa"/>
            <w:shd w:val="clear" w:color="auto" w:fill="auto"/>
            <w:vAlign w:val="center"/>
            <w:hideMark/>
          </w:tcPr>
          <w:p w:rsidR="005275DD" w:rsidRPr="005275DD" w:rsidRDefault="005275DD" w:rsidP="005275DD">
            <w:pPr>
              <w:jc w:val="center"/>
              <w:rPr>
                <w:rFonts w:ascii="Cambria" w:hAnsi="Cambria"/>
                <w:sz w:val="18"/>
                <w:szCs w:val="18"/>
              </w:rPr>
            </w:pPr>
          </w:p>
        </w:tc>
        <w:tc>
          <w:tcPr>
            <w:tcW w:w="195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183,21</w:t>
            </w:r>
          </w:p>
        </w:tc>
        <w:tc>
          <w:tcPr>
            <w:tcW w:w="1591"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203,16</w:t>
            </w:r>
          </w:p>
        </w:tc>
        <w:tc>
          <w:tcPr>
            <w:tcW w:w="192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171,83</w:t>
            </w:r>
          </w:p>
        </w:tc>
      </w:tr>
      <w:tr w:rsidR="005275DD" w:rsidRPr="005275DD" w:rsidTr="005275DD">
        <w:trPr>
          <w:trHeight w:val="33"/>
          <w:jc w:val="center"/>
        </w:trPr>
        <w:tc>
          <w:tcPr>
            <w:tcW w:w="2332"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Месторасположение</w:t>
            </w:r>
          </w:p>
        </w:tc>
        <w:tc>
          <w:tcPr>
            <w:tcW w:w="2292"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Белгородская обл. г. Белгород, ул Сумская, 168</w:t>
            </w:r>
          </w:p>
        </w:tc>
        <w:tc>
          <w:tcPr>
            <w:tcW w:w="1953" w:type="dxa"/>
            <w:shd w:val="clear" w:color="auto" w:fill="auto"/>
            <w:vAlign w:val="center"/>
            <w:hideMark/>
          </w:tcPr>
          <w:p w:rsidR="005275DD" w:rsidRPr="005275DD" w:rsidRDefault="005275DD" w:rsidP="005275DD">
            <w:pPr>
              <w:jc w:val="center"/>
              <w:rPr>
                <w:rFonts w:asciiTheme="majorHAnsi" w:hAnsiTheme="majorHAnsi"/>
                <w:sz w:val="18"/>
                <w:szCs w:val="18"/>
              </w:rPr>
            </w:pPr>
            <w:r w:rsidRPr="005275DD">
              <w:rPr>
                <w:rFonts w:asciiTheme="majorHAnsi" w:hAnsiTheme="majorHAnsi"/>
                <w:sz w:val="18"/>
                <w:szCs w:val="18"/>
              </w:rPr>
              <w:t>Белгородская обл. г. Белгород, Западный р-н, Таврово,2</w:t>
            </w:r>
          </w:p>
        </w:tc>
        <w:tc>
          <w:tcPr>
            <w:tcW w:w="1591" w:type="dxa"/>
            <w:shd w:val="clear" w:color="auto" w:fill="auto"/>
            <w:vAlign w:val="center"/>
            <w:hideMark/>
          </w:tcPr>
          <w:p w:rsidR="005275DD" w:rsidRPr="005275DD" w:rsidRDefault="005275DD" w:rsidP="005275DD">
            <w:pPr>
              <w:jc w:val="center"/>
              <w:rPr>
                <w:rFonts w:asciiTheme="majorHAnsi" w:hAnsiTheme="majorHAnsi"/>
                <w:sz w:val="18"/>
                <w:szCs w:val="18"/>
              </w:rPr>
            </w:pPr>
            <w:r w:rsidRPr="005275DD">
              <w:rPr>
                <w:rFonts w:asciiTheme="majorHAnsi" w:hAnsiTheme="majorHAnsi"/>
                <w:sz w:val="18"/>
                <w:szCs w:val="18"/>
              </w:rPr>
              <w:t>Белгородская обл. г. Белгород, Дубовое 1</w:t>
            </w:r>
          </w:p>
        </w:tc>
        <w:tc>
          <w:tcPr>
            <w:tcW w:w="1929" w:type="dxa"/>
            <w:shd w:val="clear" w:color="auto" w:fill="auto"/>
            <w:vAlign w:val="center"/>
            <w:hideMark/>
          </w:tcPr>
          <w:p w:rsidR="005275DD" w:rsidRPr="005275DD" w:rsidRDefault="005275DD" w:rsidP="005275DD">
            <w:pPr>
              <w:jc w:val="center"/>
              <w:rPr>
                <w:rFonts w:asciiTheme="majorHAnsi" w:hAnsiTheme="majorHAnsi"/>
                <w:sz w:val="18"/>
                <w:szCs w:val="18"/>
              </w:rPr>
            </w:pPr>
            <w:r w:rsidRPr="005275DD">
              <w:rPr>
                <w:rFonts w:asciiTheme="majorHAnsi" w:hAnsiTheme="majorHAnsi"/>
                <w:sz w:val="18"/>
                <w:szCs w:val="18"/>
              </w:rPr>
              <w:t>Белгородская обл. г. Белгород, Западный р-н, Улитка</w:t>
            </w:r>
          </w:p>
        </w:tc>
      </w:tr>
      <w:tr w:rsidR="005275DD" w:rsidRPr="005275DD" w:rsidTr="005275DD">
        <w:trPr>
          <w:trHeight w:val="33"/>
          <w:jc w:val="center"/>
        </w:trPr>
        <w:tc>
          <w:tcPr>
            <w:tcW w:w="2332"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Территориальный коэффициент</w:t>
            </w:r>
          </w:p>
        </w:tc>
        <w:tc>
          <w:tcPr>
            <w:tcW w:w="2292" w:type="dxa"/>
            <w:shd w:val="clear" w:color="auto" w:fill="auto"/>
            <w:vAlign w:val="center"/>
            <w:hideMark/>
          </w:tcPr>
          <w:p w:rsidR="005275DD" w:rsidRPr="005275DD" w:rsidRDefault="005275DD" w:rsidP="005275DD">
            <w:pPr>
              <w:jc w:val="center"/>
              <w:rPr>
                <w:rFonts w:ascii="Cambria" w:hAnsi="Cambria"/>
                <w:sz w:val="18"/>
                <w:szCs w:val="18"/>
              </w:rPr>
            </w:pPr>
            <w:r w:rsidRPr="005275DD">
              <w:rPr>
                <w:rFonts w:ascii="Cambria" w:hAnsi="Cambria"/>
                <w:sz w:val="18"/>
                <w:szCs w:val="18"/>
              </w:rPr>
              <w:t>1</w:t>
            </w:r>
          </w:p>
        </w:tc>
        <w:tc>
          <w:tcPr>
            <w:tcW w:w="195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w:t>
            </w:r>
          </w:p>
        </w:tc>
        <w:tc>
          <w:tcPr>
            <w:tcW w:w="1591"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w:t>
            </w:r>
          </w:p>
        </w:tc>
        <w:tc>
          <w:tcPr>
            <w:tcW w:w="192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w:t>
            </w:r>
          </w:p>
        </w:tc>
      </w:tr>
      <w:tr w:rsidR="005275DD" w:rsidRPr="005275DD" w:rsidTr="005275DD">
        <w:trPr>
          <w:trHeight w:val="33"/>
          <w:jc w:val="center"/>
        </w:trPr>
        <w:tc>
          <w:tcPr>
            <w:tcW w:w="2332"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Корректировка</w:t>
            </w:r>
          </w:p>
        </w:tc>
        <w:tc>
          <w:tcPr>
            <w:tcW w:w="2292" w:type="dxa"/>
            <w:shd w:val="clear" w:color="auto" w:fill="auto"/>
            <w:vAlign w:val="center"/>
            <w:hideMark/>
          </w:tcPr>
          <w:p w:rsidR="005275DD" w:rsidRPr="005275DD" w:rsidRDefault="005275DD" w:rsidP="005275DD">
            <w:pPr>
              <w:jc w:val="center"/>
              <w:rPr>
                <w:rFonts w:ascii="Cambria" w:hAnsi="Cambria"/>
                <w:sz w:val="18"/>
                <w:szCs w:val="18"/>
              </w:rPr>
            </w:pPr>
          </w:p>
        </w:tc>
        <w:tc>
          <w:tcPr>
            <w:tcW w:w="195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1,00</w:t>
            </w:r>
          </w:p>
        </w:tc>
        <w:tc>
          <w:tcPr>
            <w:tcW w:w="1591"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1,00</w:t>
            </w:r>
          </w:p>
        </w:tc>
        <w:tc>
          <w:tcPr>
            <w:tcW w:w="192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1,00</w:t>
            </w:r>
          </w:p>
        </w:tc>
      </w:tr>
      <w:tr w:rsidR="005275DD" w:rsidRPr="005275DD" w:rsidTr="005275DD">
        <w:trPr>
          <w:trHeight w:val="33"/>
          <w:jc w:val="center"/>
        </w:trPr>
        <w:tc>
          <w:tcPr>
            <w:tcW w:w="2332"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Скорректированная цена</w:t>
            </w:r>
          </w:p>
        </w:tc>
        <w:tc>
          <w:tcPr>
            <w:tcW w:w="2292" w:type="dxa"/>
            <w:shd w:val="clear" w:color="auto" w:fill="auto"/>
            <w:vAlign w:val="center"/>
            <w:hideMark/>
          </w:tcPr>
          <w:p w:rsidR="005275DD" w:rsidRPr="005275DD" w:rsidRDefault="005275DD" w:rsidP="005275DD">
            <w:pPr>
              <w:jc w:val="center"/>
              <w:rPr>
                <w:rFonts w:ascii="Cambria" w:hAnsi="Cambria"/>
                <w:sz w:val="18"/>
                <w:szCs w:val="18"/>
              </w:rPr>
            </w:pPr>
          </w:p>
        </w:tc>
        <w:tc>
          <w:tcPr>
            <w:tcW w:w="195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183,21</w:t>
            </w:r>
          </w:p>
        </w:tc>
        <w:tc>
          <w:tcPr>
            <w:tcW w:w="1591"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203,16</w:t>
            </w:r>
          </w:p>
        </w:tc>
        <w:tc>
          <w:tcPr>
            <w:tcW w:w="192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171,83</w:t>
            </w:r>
          </w:p>
        </w:tc>
      </w:tr>
      <w:tr w:rsidR="005275DD" w:rsidRPr="005275DD" w:rsidTr="005275DD">
        <w:trPr>
          <w:trHeight w:val="33"/>
          <w:jc w:val="center"/>
        </w:trPr>
        <w:tc>
          <w:tcPr>
            <w:tcW w:w="2332"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Имущественные права</w:t>
            </w:r>
          </w:p>
        </w:tc>
        <w:tc>
          <w:tcPr>
            <w:tcW w:w="2292" w:type="dxa"/>
            <w:shd w:val="clear" w:color="auto" w:fill="auto"/>
            <w:vAlign w:val="center"/>
            <w:hideMark/>
          </w:tcPr>
          <w:p w:rsidR="005275DD" w:rsidRPr="005275DD" w:rsidRDefault="005275DD" w:rsidP="005275DD">
            <w:pPr>
              <w:jc w:val="center"/>
              <w:rPr>
                <w:rFonts w:ascii="Cambria" w:hAnsi="Cambria"/>
                <w:color w:val="000000"/>
                <w:sz w:val="18"/>
                <w:szCs w:val="18"/>
              </w:rPr>
            </w:pPr>
            <w:r>
              <w:rPr>
                <w:rFonts w:ascii="Cambria" w:hAnsi="Cambria"/>
                <w:color w:val="000000"/>
                <w:sz w:val="18"/>
                <w:szCs w:val="18"/>
              </w:rPr>
              <w:t>Бессрочное пользование</w:t>
            </w:r>
          </w:p>
        </w:tc>
        <w:tc>
          <w:tcPr>
            <w:tcW w:w="195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Собственность</w:t>
            </w:r>
          </w:p>
        </w:tc>
        <w:tc>
          <w:tcPr>
            <w:tcW w:w="1591"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Собственность</w:t>
            </w:r>
          </w:p>
        </w:tc>
        <w:tc>
          <w:tcPr>
            <w:tcW w:w="192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Собственность</w:t>
            </w:r>
          </w:p>
        </w:tc>
      </w:tr>
      <w:tr w:rsidR="005275DD" w:rsidRPr="005275DD" w:rsidTr="005275DD">
        <w:trPr>
          <w:trHeight w:val="33"/>
          <w:jc w:val="center"/>
        </w:trPr>
        <w:tc>
          <w:tcPr>
            <w:tcW w:w="2332"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Корректировка</w:t>
            </w:r>
          </w:p>
        </w:tc>
        <w:tc>
          <w:tcPr>
            <w:tcW w:w="2292" w:type="dxa"/>
            <w:shd w:val="clear" w:color="auto" w:fill="auto"/>
            <w:vAlign w:val="center"/>
            <w:hideMark/>
          </w:tcPr>
          <w:p w:rsidR="005275DD" w:rsidRPr="005275DD" w:rsidRDefault="005275DD" w:rsidP="005275DD">
            <w:pPr>
              <w:jc w:val="center"/>
              <w:rPr>
                <w:rFonts w:ascii="Cambria" w:hAnsi="Cambria"/>
                <w:sz w:val="18"/>
                <w:szCs w:val="18"/>
              </w:rPr>
            </w:pPr>
          </w:p>
        </w:tc>
        <w:tc>
          <w:tcPr>
            <w:tcW w:w="195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1,00</w:t>
            </w:r>
          </w:p>
        </w:tc>
        <w:tc>
          <w:tcPr>
            <w:tcW w:w="1591"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1,00</w:t>
            </w:r>
          </w:p>
        </w:tc>
        <w:tc>
          <w:tcPr>
            <w:tcW w:w="192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1,00</w:t>
            </w:r>
          </w:p>
        </w:tc>
      </w:tr>
      <w:tr w:rsidR="005275DD" w:rsidRPr="005275DD" w:rsidTr="005275DD">
        <w:trPr>
          <w:trHeight w:val="33"/>
          <w:jc w:val="center"/>
        </w:trPr>
        <w:tc>
          <w:tcPr>
            <w:tcW w:w="2332"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Скорректированная цена</w:t>
            </w:r>
          </w:p>
        </w:tc>
        <w:tc>
          <w:tcPr>
            <w:tcW w:w="2292" w:type="dxa"/>
            <w:shd w:val="clear" w:color="auto" w:fill="auto"/>
            <w:vAlign w:val="center"/>
            <w:hideMark/>
          </w:tcPr>
          <w:p w:rsidR="005275DD" w:rsidRPr="005275DD" w:rsidRDefault="005275DD" w:rsidP="005275DD">
            <w:pPr>
              <w:jc w:val="center"/>
              <w:rPr>
                <w:rFonts w:ascii="Cambria" w:hAnsi="Cambria"/>
                <w:sz w:val="18"/>
                <w:szCs w:val="18"/>
              </w:rPr>
            </w:pPr>
          </w:p>
        </w:tc>
        <w:tc>
          <w:tcPr>
            <w:tcW w:w="1953"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183,21</w:t>
            </w:r>
          </w:p>
        </w:tc>
        <w:tc>
          <w:tcPr>
            <w:tcW w:w="1591"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203,16</w:t>
            </w:r>
          </w:p>
        </w:tc>
        <w:tc>
          <w:tcPr>
            <w:tcW w:w="1929" w:type="dxa"/>
            <w:shd w:val="clear" w:color="auto" w:fill="auto"/>
            <w:vAlign w:val="center"/>
            <w:hideMark/>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171,83</w:t>
            </w:r>
          </w:p>
        </w:tc>
      </w:tr>
      <w:tr w:rsidR="005275DD" w:rsidRPr="005275DD" w:rsidTr="005275DD">
        <w:trPr>
          <w:trHeight w:val="33"/>
          <w:jc w:val="center"/>
        </w:trPr>
        <w:tc>
          <w:tcPr>
            <w:tcW w:w="2332" w:type="dxa"/>
            <w:shd w:val="clear" w:color="auto" w:fill="auto"/>
            <w:vAlign w:val="center"/>
            <w:hideMark/>
          </w:tcPr>
          <w:p w:rsidR="005275DD" w:rsidRPr="005275DD" w:rsidRDefault="005275DD" w:rsidP="005275DD">
            <w:pPr>
              <w:jc w:val="center"/>
              <w:rPr>
                <w:rFonts w:asciiTheme="majorHAnsi" w:hAnsiTheme="majorHAnsi"/>
                <w:b/>
                <w:sz w:val="18"/>
                <w:szCs w:val="18"/>
              </w:rPr>
            </w:pPr>
            <w:r w:rsidRPr="005275DD">
              <w:rPr>
                <w:rFonts w:asciiTheme="majorHAnsi" w:hAnsiTheme="majorHAnsi"/>
                <w:b/>
                <w:sz w:val="18"/>
                <w:szCs w:val="18"/>
              </w:rPr>
              <w:t>Средняя арифметическая величина, руб./кв.м.</w:t>
            </w:r>
          </w:p>
        </w:tc>
        <w:tc>
          <w:tcPr>
            <w:tcW w:w="2292" w:type="dxa"/>
            <w:shd w:val="clear" w:color="auto" w:fill="auto"/>
            <w:vAlign w:val="center"/>
            <w:hideMark/>
          </w:tcPr>
          <w:p w:rsidR="005275DD" w:rsidRPr="005275DD" w:rsidRDefault="005275DD" w:rsidP="005275DD">
            <w:pPr>
              <w:jc w:val="center"/>
              <w:rPr>
                <w:rFonts w:ascii="Cambria" w:hAnsi="Cambria"/>
                <w:b/>
                <w:bCs/>
                <w:sz w:val="18"/>
                <w:szCs w:val="18"/>
              </w:rPr>
            </w:pPr>
            <w:r w:rsidRPr="005275DD">
              <w:rPr>
                <w:rFonts w:ascii="Cambria" w:hAnsi="Cambria"/>
                <w:b/>
                <w:bCs/>
                <w:sz w:val="18"/>
                <w:szCs w:val="18"/>
              </w:rPr>
              <w:t>186,07</w:t>
            </w:r>
          </w:p>
        </w:tc>
        <w:tc>
          <w:tcPr>
            <w:tcW w:w="1953" w:type="dxa"/>
            <w:shd w:val="clear" w:color="auto" w:fill="auto"/>
            <w:vAlign w:val="center"/>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1</w:t>
            </w:r>
          </w:p>
        </w:tc>
        <w:tc>
          <w:tcPr>
            <w:tcW w:w="1591" w:type="dxa"/>
            <w:shd w:val="clear" w:color="auto" w:fill="auto"/>
            <w:vAlign w:val="center"/>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2</w:t>
            </w:r>
          </w:p>
        </w:tc>
        <w:tc>
          <w:tcPr>
            <w:tcW w:w="1929" w:type="dxa"/>
            <w:shd w:val="clear" w:color="auto" w:fill="auto"/>
            <w:vAlign w:val="center"/>
          </w:tcPr>
          <w:p w:rsidR="005275DD" w:rsidRPr="005275DD" w:rsidRDefault="005275DD" w:rsidP="005275DD">
            <w:pPr>
              <w:jc w:val="center"/>
              <w:rPr>
                <w:rFonts w:ascii="Cambria" w:hAnsi="Cambria"/>
                <w:color w:val="000000"/>
                <w:sz w:val="18"/>
                <w:szCs w:val="18"/>
              </w:rPr>
            </w:pPr>
            <w:r w:rsidRPr="005275DD">
              <w:rPr>
                <w:rFonts w:ascii="Cambria" w:hAnsi="Cambria"/>
                <w:color w:val="000000"/>
                <w:sz w:val="18"/>
                <w:szCs w:val="18"/>
              </w:rPr>
              <w:t>3</w:t>
            </w:r>
          </w:p>
        </w:tc>
      </w:tr>
      <w:tr w:rsidR="005275DD" w:rsidRPr="005275DD" w:rsidTr="005275DD">
        <w:trPr>
          <w:trHeight w:val="33"/>
          <w:jc w:val="center"/>
        </w:trPr>
        <w:tc>
          <w:tcPr>
            <w:tcW w:w="2332" w:type="dxa"/>
            <w:shd w:val="clear" w:color="auto" w:fill="auto"/>
            <w:vAlign w:val="center"/>
            <w:hideMark/>
          </w:tcPr>
          <w:p w:rsidR="005275DD" w:rsidRPr="005275DD" w:rsidRDefault="005275DD" w:rsidP="005275DD">
            <w:pPr>
              <w:jc w:val="center"/>
              <w:rPr>
                <w:rFonts w:asciiTheme="majorHAnsi" w:hAnsiTheme="majorHAnsi"/>
                <w:b/>
                <w:color w:val="000000"/>
                <w:sz w:val="18"/>
                <w:szCs w:val="18"/>
              </w:rPr>
            </w:pPr>
            <w:r w:rsidRPr="005275DD">
              <w:rPr>
                <w:rFonts w:asciiTheme="majorHAnsi" w:hAnsiTheme="majorHAnsi"/>
                <w:b/>
                <w:color w:val="000000"/>
                <w:sz w:val="18"/>
                <w:szCs w:val="18"/>
              </w:rPr>
              <w:t>Стоимость зу, руб.</w:t>
            </w:r>
          </w:p>
        </w:tc>
        <w:tc>
          <w:tcPr>
            <w:tcW w:w="2292" w:type="dxa"/>
            <w:shd w:val="clear" w:color="auto" w:fill="auto"/>
            <w:vAlign w:val="center"/>
            <w:hideMark/>
          </w:tcPr>
          <w:p w:rsidR="005275DD" w:rsidRPr="005275DD" w:rsidRDefault="005275DD" w:rsidP="005275DD">
            <w:pPr>
              <w:jc w:val="center"/>
              <w:rPr>
                <w:rFonts w:ascii="Cambria" w:hAnsi="Cambria"/>
                <w:b/>
                <w:bCs/>
                <w:sz w:val="18"/>
                <w:szCs w:val="18"/>
              </w:rPr>
            </w:pPr>
            <w:r w:rsidRPr="005275DD">
              <w:rPr>
                <w:rFonts w:ascii="Cambria" w:hAnsi="Cambria"/>
                <w:b/>
                <w:bCs/>
                <w:sz w:val="18"/>
                <w:szCs w:val="18"/>
              </w:rPr>
              <w:t>15 495 165,00</w:t>
            </w:r>
          </w:p>
        </w:tc>
        <w:tc>
          <w:tcPr>
            <w:tcW w:w="1953" w:type="dxa"/>
            <w:shd w:val="clear" w:color="auto" w:fill="auto"/>
            <w:vAlign w:val="center"/>
            <w:hideMark/>
          </w:tcPr>
          <w:p w:rsidR="005275DD" w:rsidRPr="005275DD" w:rsidRDefault="005275DD" w:rsidP="005275DD">
            <w:pPr>
              <w:jc w:val="center"/>
              <w:rPr>
                <w:rFonts w:ascii="Cambria" w:hAnsi="Cambria"/>
                <w:color w:val="000000"/>
                <w:sz w:val="18"/>
                <w:szCs w:val="18"/>
              </w:rPr>
            </w:pPr>
          </w:p>
        </w:tc>
        <w:tc>
          <w:tcPr>
            <w:tcW w:w="1591" w:type="dxa"/>
            <w:shd w:val="clear" w:color="auto" w:fill="auto"/>
            <w:vAlign w:val="center"/>
            <w:hideMark/>
          </w:tcPr>
          <w:p w:rsidR="005275DD" w:rsidRPr="005275DD" w:rsidRDefault="005275DD" w:rsidP="005275DD">
            <w:pPr>
              <w:jc w:val="center"/>
              <w:rPr>
                <w:rFonts w:ascii="Cambria" w:hAnsi="Cambria"/>
                <w:color w:val="000000"/>
                <w:sz w:val="18"/>
                <w:szCs w:val="18"/>
              </w:rPr>
            </w:pPr>
          </w:p>
        </w:tc>
        <w:tc>
          <w:tcPr>
            <w:tcW w:w="1929" w:type="dxa"/>
            <w:shd w:val="clear" w:color="auto" w:fill="auto"/>
            <w:vAlign w:val="center"/>
            <w:hideMark/>
          </w:tcPr>
          <w:p w:rsidR="005275DD" w:rsidRPr="005275DD" w:rsidRDefault="005275DD" w:rsidP="005275DD">
            <w:pPr>
              <w:jc w:val="center"/>
              <w:rPr>
                <w:rFonts w:ascii="Cambria" w:hAnsi="Cambria"/>
                <w:color w:val="000000"/>
                <w:sz w:val="18"/>
                <w:szCs w:val="18"/>
              </w:rPr>
            </w:pPr>
          </w:p>
        </w:tc>
      </w:tr>
    </w:tbl>
    <w:p w:rsidR="00D461C3" w:rsidRPr="00D461C3" w:rsidRDefault="00D461C3" w:rsidP="00D461C3">
      <w:pPr>
        <w:tabs>
          <w:tab w:val="center" w:pos="4677"/>
          <w:tab w:val="right" w:pos="9355"/>
        </w:tabs>
        <w:spacing w:before="120" w:after="120" w:line="276" w:lineRule="auto"/>
        <w:jc w:val="center"/>
        <w:rPr>
          <w:rFonts w:asciiTheme="majorHAnsi" w:eastAsiaTheme="minorHAnsi" w:hAnsiTheme="majorHAnsi" w:cstheme="minorBidi"/>
          <w:b/>
          <w:sz w:val="20"/>
          <w:szCs w:val="23"/>
          <w:lang w:eastAsia="en-US"/>
        </w:rPr>
      </w:pPr>
      <w:r w:rsidRPr="00D461C3">
        <w:rPr>
          <w:rFonts w:asciiTheme="majorHAnsi" w:eastAsiaTheme="minorHAnsi" w:hAnsiTheme="majorHAnsi" w:cstheme="minorBidi"/>
          <w:b/>
          <w:sz w:val="20"/>
          <w:szCs w:val="23"/>
          <w:lang w:eastAsia="en-US"/>
        </w:rPr>
        <w:lastRenderedPageBreak/>
        <w:t>Использованные корректировки:</w:t>
      </w:r>
    </w:p>
    <w:p w:rsidR="00D461C3" w:rsidRPr="001148A3" w:rsidRDefault="00D461C3" w:rsidP="00D461C3">
      <w:pPr>
        <w:ind w:firstLine="709"/>
        <w:jc w:val="both"/>
        <w:rPr>
          <w:rFonts w:asciiTheme="majorHAnsi" w:eastAsia="Arial Unicode MS" w:hAnsiTheme="majorHAnsi" w:cstheme="minorBidi"/>
          <w:b/>
          <w:sz w:val="20"/>
          <w:szCs w:val="23"/>
          <w:lang w:eastAsia="en-US"/>
        </w:rPr>
      </w:pPr>
      <w:r w:rsidRPr="001148A3">
        <w:rPr>
          <w:rFonts w:asciiTheme="majorHAnsi" w:eastAsia="Arial Unicode MS" w:hAnsiTheme="majorHAnsi" w:cstheme="minorBidi"/>
          <w:b/>
          <w:sz w:val="20"/>
          <w:szCs w:val="23"/>
          <w:lang w:eastAsia="en-US"/>
        </w:rPr>
        <w:t xml:space="preserve">ПЕРЕДАВАЕМЫЕ ИМУЩЕСТВЕННЫЕ ПРАВА. </w:t>
      </w:r>
      <w:r w:rsidRPr="001148A3">
        <w:rPr>
          <w:rFonts w:asciiTheme="majorHAnsi" w:eastAsiaTheme="minorHAnsi" w:hAnsiTheme="majorHAnsi" w:cstheme="minorBidi"/>
          <w:sz w:val="20"/>
          <w:szCs w:val="20"/>
          <w:lang w:eastAsia="en-US"/>
        </w:rPr>
        <w:t xml:space="preserve">В настоящем отчете </w:t>
      </w:r>
      <w:r>
        <w:rPr>
          <w:rFonts w:asciiTheme="majorHAnsi" w:eastAsiaTheme="minorHAnsi" w:hAnsiTheme="majorHAnsi" w:cstheme="minorBidi"/>
          <w:sz w:val="20"/>
          <w:szCs w:val="20"/>
          <w:lang w:eastAsia="en-US"/>
        </w:rPr>
        <w:t>объект оценки</w:t>
      </w:r>
      <w:r w:rsidR="005275DD">
        <w:rPr>
          <w:rFonts w:asciiTheme="majorHAnsi" w:eastAsiaTheme="minorHAnsi" w:hAnsiTheme="majorHAnsi" w:cstheme="minorBidi"/>
          <w:sz w:val="20"/>
          <w:szCs w:val="20"/>
          <w:lang w:eastAsia="en-US"/>
        </w:rPr>
        <w:t xml:space="preserve"> в праве бессрочного пользования, </w:t>
      </w:r>
      <w:r>
        <w:rPr>
          <w:rFonts w:asciiTheme="majorHAnsi" w:eastAsiaTheme="minorHAnsi" w:hAnsiTheme="majorHAnsi" w:cstheme="minorBidi"/>
          <w:sz w:val="20"/>
          <w:szCs w:val="20"/>
          <w:lang w:eastAsia="en-US"/>
        </w:rPr>
        <w:t>аналоги находятся в собственности,</w:t>
      </w:r>
      <w:r w:rsidR="005275DD">
        <w:rPr>
          <w:rFonts w:asciiTheme="majorHAnsi" w:eastAsiaTheme="minorHAnsi" w:hAnsiTheme="majorHAnsi" w:cstheme="minorBidi"/>
          <w:sz w:val="20"/>
          <w:szCs w:val="20"/>
          <w:lang w:eastAsia="en-US"/>
        </w:rPr>
        <w:t xml:space="preserve"> </w:t>
      </w:r>
      <w:r w:rsidR="005275DD" w:rsidRPr="005275DD">
        <w:rPr>
          <w:rFonts w:asciiTheme="majorHAnsi" w:eastAsiaTheme="minorHAnsi" w:hAnsiTheme="majorHAnsi" w:cstheme="minorBidi"/>
          <w:sz w:val="20"/>
          <w:szCs w:val="20"/>
          <w:lang w:eastAsia="en-US"/>
        </w:rPr>
        <w:t>корректировка не применялась, т.к в настоящем Отчете стоимость з.уч. рассчитана условно, в общей стоимости ЕОН не фигурирует</w:t>
      </w:r>
      <w:r w:rsidR="00455EFF">
        <w:rPr>
          <w:rFonts w:asciiTheme="majorHAnsi" w:eastAsiaTheme="minorHAnsi" w:hAnsiTheme="majorHAnsi" w:cstheme="minorBidi"/>
          <w:sz w:val="20"/>
          <w:szCs w:val="20"/>
          <w:lang w:eastAsia="en-US"/>
        </w:rPr>
        <w:t>.</w:t>
      </w:r>
      <w:r w:rsidR="005275DD">
        <w:rPr>
          <w:rFonts w:asciiTheme="majorHAnsi" w:eastAsiaTheme="minorHAnsi" w:hAnsiTheme="majorHAnsi" w:cstheme="minorBidi"/>
          <w:sz w:val="20"/>
          <w:szCs w:val="20"/>
          <w:lang w:eastAsia="en-US"/>
        </w:rPr>
        <w:t xml:space="preserve"> </w:t>
      </w:r>
    </w:p>
    <w:p w:rsidR="00D461C3" w:rsidRPr="001148A3" w:rsidRDefault="00D461C3" w:rsidP="00D461C3">
      <w:pPr>
        <w:autoSpaceDE w:val="0"/>
        <w:autoSpaceDN w:val="0"/>
        <w:adjustRightInd w:val="0"/>
        <w:spacing w:before="5" w:line="240" w:lineRule="exact"/>
        <w:ind w:firstLine="709"/>
        <w:jc w:val="both"/>
        <w:rPr>
          <w:rFonts w:asciiTheme="majorHAnsi" w:eastAsia="Arial Unicode MS" w:hAnsiTheme="majorHAnsi" w:cstheme="minorBidi"/>
          <w:b/>
          <w:sz w:val="20"/>
          <w:szCs w:val="23"/>
          <w:lang w:eastAsia="en-US"/>
        </w:rPr>
      </w:pPr>
    </w:p>
    <w:p w:rsidR="00D461C3" w:rsidRPr="001148A3" w:rsidRDefault="00D461C3" w:rsidP="00D461C3">
      <w:pPr>
        <w:autoSpaceDE w:val="0"/>
        <w:autoSpaceDN w:val="0"/>
        <w:adjustRightInd w:val="0"/>
        <w:spacing w:before="5" w:line="240" w:lineRule="exact"/>
        <w:ind w:firstLine="709"/>
        <w:jc w:val="both"/>
        <w:rPr>
          <w:rFonts w:asciiTheme="majorHAnsi" w:eastAsia="Arial Unicode MS" w:hAnsiTheme="majorHAnsi" w:cstheme="minorBidi"/>
          <w:sz w:val="20"/>
          <w:szCs w:val="23"/>
          <w:lang w:eastAsia="en-US"/>
        </w:rPr>
      </w:pPr>
      <w:r w:rsidRPr="001148A3">
        <w:rPr>
          <w:rFonts w:asciiTheme="majorHAnsi" w:eastAsia="Arial Unicode MS" w:hAnsiTheme="majorHAnsi" w:cstheme="minorBidi"/>
          <w:b/>
          <w:sz w:val="20"/>
          <w:szCs w:val="23"/>
          <w:lang w:eastAsia="en-US"/>
        </w:rPr>
        <w:t xml:space="preserve">УСЛОВИЯ ФИНАНСИРОВАНИЯ. </w:t>
      </w:r>
      <w:r w:rsidRPr="001148A3">
        <w:rPr>
          <w:rFonts w:asciiTheme="majorHAnsi" w:eastAsia="Arial Unicode MS" w:hAnsiTheme="majorHAnsi" w:cstheme="minorBidi"/>
          <w:sz w:val="20"/>
          <w:szCs w:val="23"/>
          <w:lang w:eastAsia="en-US"/>
        </w:rPr>
        <w:t>Предусматривается оплата всех объектов денежны</w:t>
      </w:r>
      <w:r w:rsidRPr="001148A3">
        <w:rPr>
          <w:rFonts w:asciiTheme="majorHAnsi" w:eastAsia="Arial Unicode MS" w:hAnsiTheme="majorHAnsi" w:cstheme="minorBidi"/>
          <w:sz w:val="20"/>
          <w:szCs w:val="23"/>
          <w:lang w:eastAsia="en-US"/>
        </w:rPr>
        <w:softHyphen/>
        <w:t>ми средствами покупателей. Корректировка отсутствует.</w:t>
      </w:r>
    </w:p>
    <w:p w:rsidR="00D461C3" w:rsidRPr="001148A3" w:rsidRDefault="00D461C3" w:rsidP="00D461C3">
      <w:pPr>
        <w:autoSpaceDE w:val="0"/>
        <w:autoSpaceDN w:val="0"/>
        <w:adjustRightInd w:val="0"/>
        <w:spacing w:before="100" w:beforeAutospacing="1" w:line="240" w:lineRule="exact"/>
        <w:ind w:firstLine="709"/>
        <w:jc w:val="both"/>
        <w:rPr>
          <w:rFonts w:asciiTheme="majorHAnsi" w:eastAsia="Arial Unicode MS" w:hAnsiTheme="majorHAnsi" w:cstheme="minorBidi"/>
          <w:b/>
          <w:sz w:val="20"/>
          <w:szCs w:val="23"/>
          <w:lang w:eastAsia="en-US"/>
        </w:rPr>
      </w:pPr>
      <w:r w:rsidRPr="001148A3">
        <w:rPr>
          <w:rFonts w:asciiTheme="majorHAnsi" w:eastAsia="Arial Unicode MS" w:hAnsiTheme="majorHAnsi" w:cstheme="minorBidi"/>
          <w:b/>
          <w:sz w:val="20"/>
          <w:szCs w:val="23"/>
          <w:lang w:eastAsia="en-US"/>
        </w:rPr>
        <w:t xml:space="preserve">УСЛОВИЯ ПРОДАЖИ </w:t>
      </w:r>
      <w:r w:rsidRPr="001148A3">
        <w:rPr>
          <w:rFonts w:asciiTheme="majorHAnsi" w:eastAsia="Arial Unicode MS" w:hAnsiTheme="majorHAnsi" w:cstheme="minorBidi"/>
          <w:sz w:val="20"/>
          <w:szCs w:val="23"/>
          <w:lang w:eastAsia="en-US"/>
        </w:rPr>
        <w:t>типичные – корректировка отсутствует.</w:t>
      </w:r>
    </w:p>
    <w:p w:rsidR="00D461C3" w:rsidRPr="0016120D" w:rsidRDefault="00D461C3" w:rsidP="00D461C3">
      <w:pPr>
        <w:autoSpaceDE w:val="0"/>
        <w:autoSpaceDN w:val="0"/>
        <w:adjustRightInd w:val="0"/>
        <w:spacing w:before="100" w:beforeAutospacing="1" w:line="240" w:lineRule="exact"/>
        <w:ind w:firstLine="709"/>
        <w:rPr>
          <w:rFonts w:asciiTheme="majorHAnsi" w:eastAsia="Arial Unicode MS" w:hAnsiTheme="majorHAnsi" w:cstheme="minorBidi"/>
          <w:b/>
          <w:sz w:val="20"/>
          <w:szCs w:val="23"/>
          <w:lang w:eastAsia="en-US"/>
        </w:rPr>
      </w:pPr>
      <w:r w:rsidRPr="001148A3">
        <w:rPr>
          <w:rFonts w:asciiTheme="majorHAnsi" w:eastAsia="Arial Unicode MS" w:hAnsiTheme="majorHAnsi" w:cstheme="minorBidi"/>
          <w:b/>
          <w:sz w:val="20"/>
          <w:szCs w:val="23"/>
          <w:lang w:eastAsia="en-US"/>
        </w:rPr>
        <w:t>УСЛОВИЯ РЫНКА</w:t>
      </w:r>
      <w:r>
        <w:rPr>
          <w:rFonts w:asciiTheme="majorHAnsi" w:eastAsia="Arial Unicode MS" w:hAnsiTheme="majorHAnsi" w:cstheme="minorBidi"/>
          <w:b/>
          <w:sz w:val="20"/>
          <w:szCs w:val="23"/>
          <w:lang w:eastAsia="en-US"/>
        </w:rPr>
        <w:t xml:space="preserve">. </w:t>
      </w:r>
      <w:r w:rsidRPr="001148A3">
        <w:rPr>
          <w:rFonts w:asciiTheme="majorHAnsi" w:eastAsia="Arial Unicode MS" w:hAnsiTheme="majorHAnsi" w:cstheme="minorBidi"/>
          <w:b/>
          <w:sz w:val="20"/>
          <w:szCs w:val="23"/>
          <w:lang w:eastAsia="en-US"/>
        </w:rPr>
        <w:t xml:space="preserve">СКИДКИ К ЦЕНАМ ПРЕДЛОЖЕНИЙ. </w:t>
      </w:r>
      <w:r w:rsidRPr="001148A3">
        <w:rPr>
          <w:rFonts w:asciiTheme="majorHAnsi" w:eastAsiaTheme="minorHAnsi" w:hAnsiTheme="majorHAnsi" w:cstheme="minorBidi"/>
          <w:sz w:val="20"/>
          <w:szCs w:val="23"/>
          <w:lang w:eastAsia="en-US"/>
        </w:rPr>
        <w:t>Подобранные для объекта оценки аналоги –  выставленные с целью публичной оферты цены предложения. Как правило, продавец на рынке недвижимости и арендных ставок недвижимости, готов идти на уступки по цене, и реальная сделка происходит ниже цены предложения. Расчетным путем поправку на назначение цены не произвести.</w:t>
      </w:r>
    </w:p>
    <w:p w:rsidR="00D461C3" w:rsidRPr="001148A3" w:rsidRDefault="00D461C3" w:rsidP="00D461C3">
      <w:pPr>
        <w:ind w:firstLine="709"/>
        <w:jc w:val="both"/>
        <w:rPr>
          <w:rFonts w:asciiTheme="majorHAnsi" w:eastAsiaTheme="minorHAnsi" w:hAnsiTheme="majorHAnsi" w:cstheme="minorBidi"/>
          <w:sz w:val="20"/>
          <w:szCs w:val="23"/>
          <w:lang w:eastAsia="en-US"/>
        </w:rPr>
      </w:pPr>
      <w:r w:rsidRPr="001148A3">
        <w:rPr>
          <w:rFonts w:asciiTheme="majorHAnsi" w:eastAsiaTheme="minorHAnsi" w:hAnsiTheme="majorHAnsi" w:cstheme="minorBidi"/>
          <w:sz w:val="20"/>
          <w:szCs w:val="23"/>
          <w:lang w:eastAsia="en-US"/>
        </w:rPr>
        <w:t xml:space="preserve">Информация о ценах сделок с объектами недвижимости, о реальных, соответствующим рыночным условиям, в основном является закрытой и не разглашается третьим лицам. Как правило, информация об этих сделках недоступна, поэтому для проведения сравнительного анализа оценщик использует цены предложения на сравниваемые объекты и, существующие на рынке на дату оценки  предложения по объектам-аналогам. </w:t>
      </w:r>
    </w:p>
    <w:p w:rsidR="00D461C3" w:rsidRPr="001148A3" w:rsidRDefault="00D461C3" w:rsidP="00D461C3">
      <w:pPr>
        <w:ind w:firstLine="709"/>
        <w:jc w:val="both"/>
        <w:rPr>
          <w:rFonts w:asciiTheme="majorHAnsi" w:eastAsiaTheme="minorHAnsi" w:hAnsiTheme="majorHAnsi" w:cstheme="minorBidi"/>
          <w:sz w:val="20"/>
          <w:szCs w:val="23"/>
          <w:lang w:eastAsia="en-US"/>
        </w:rPr>
      </w:pPr>
      <w:r w:rsidRPr="001148A3">
        <w:rPr>
          <w:rFonts w:asciiTheme="majorHAnsi" w:eastAsiaTheme="minorHAnsi" w:hAnsiTheme="majorHAnsi" w:cstheme="minorBidi"/>
          <w:sz w:val="20"/>
          <w:szCs w:val="23"/>
          <w:lang w:eastAsia="en-US"/>
        </w:rPr>
        <w:t>С учетом сложившейся практики в оценке объектов недвижимости и тенденции развития рынков недвижимости в РФ применение цен предложения является неизбежным. Для использования таких цен требуется включать в расчеты дополнительную корректировку: «скидку на торг».</w:t>
      </w:r>
    </w:p>
    <w:p w:rsidR="00D461C3" w:rsidRDefault="00D461C3" w:rsidP="00D461C3">
      <w:pPr>
        <w:ind w:firstLine="709"/>
        <w:jc w:val="both"/>
        <w:rPr>
          <w:rFonts w:asciiTheme="majorHAnsi" w:eastAsiaTheme="minorHAnsi" w:hAnsiTheme="majorHAnsi" w:cstheme="minorBidi"/>
          <w:sz w:val="20"/>
          <w:szCs w:val="23"/>
          <w:lang w:eastAsia="en-US"/>
        </w:rPr>
      </w:pPr>
      <w:r w:rsidRPr="001148A3">
        <w:rPr>
          <w:rFonts w:asciiTheme="majorHAnsi" w:eastAsiaTheme="minorHAnsi" w:hAnsiTheme="majorHAnsi" w:cstheme="minorBidi"/>
          <w:sz w:val="20"/>
          <w:szCs w:val="23"/>
          <w:lang w:eastAsia="en-US"/>
        </w:rPr>
        <w:t xml:space="preserve">Наиболее оптимальным методом расчета такой скидки является изучение истории продаж ряда объектов и сопоставление цен сделок с ценами предложения. К сожалению, применение данного метода крайне ограничено: профессиональные участники рынка неохотно предоставляют необходимую информацию. </w:t>
      </w:r>
    </w:p>
    <w:p w:rsidR="00455EFF" w:rsidRPr="0096749E" w:rsidRDefault="0096749E" w:rsidP="00455EFF">
      <w:pPr>
        <w:jc w:val="both"/>
        <w:rPr>
          <w:rFonts w:asciiTheme="majorHAnsi" w:eastAsiaTheme="minorHAnsi" w:hAnsiTheme="majorHAnsi" w:cstheme="minorBidi"/>
          <w:sz w:val="20"/>
          <w:szCs w:val="20"/>
          <w:lang w:eastAsia="en-US"/>
        </w:rPr>
      </w:pPr>
      <w:r w:rsidRPr="0096749E">
        <w:rPr>
          <w:rFonts w:asciiTheme="majorHAnsi" w:eastAsiaTheme="minorHAnsi" w:hAnsiTheme="majorHAnsi" w:cstheme="minorBidi"/>
          <w:sz w:val="20"/>
          <w:szCs w:val="20"/>
          <w:lang w:eastAsia="en-US"/>
        </w:rPr>
        <w:t xml:space="preserve">В настоящем отчете применена корректировка согласно методике Лейфера Л.А., научного руководителя ЗАО "Приволжский Центр финансового консалтинга и оценки" , кандидата технических наук, Член-корреспондент Российской Академии Проблем Качества, Вице-президента РОО, руководитель Комитета по информационно-аналитическому обеспечению, Член Президиума Экспертного Совета РОО, Председателя Правления Нижегородского областного отделения Общероссийской общественной организации "Российское общество оценщиков", научного консультанта по программе профессиональной подготовки по оценочной деятельности при Нижегородском Государственном Университете им. Лобачевского Н.И. и </w:t>
      </w:r>
      <w:r w:rsidR="00455EFF">
        <w:rPr>
          <w:rFonts w:asciiTheme="majorHAnsi" w:eastAsiaTheme="minorHAnsi" w:hAnsiTheme="majorHAnsi" w:cstheme="minorBidi"/>
          <w:sz w:val="20"/>
          <w:szCs w:val="20"/>
          <w:lang w:eastAsia="en-US"/>
        </w:rPr>
        <w:t>составляет для земель населенных</w:t>
      </w:r>
      <w:r w:rsidR="00455EFF" w:rsidRPr="00455EFF">
        <w:rPr>
          <w:rFonts w:asciiTheme="majorHAnsi" w:eastAsiaTheme="minorHAnsi" w:hAnsiTheme="majorHAnsi" w:cstheme="minorBidi"/>
          <w:sz w:val="20"/>
          <w:szCs w:val="20"/>
          <w:lang w:eastAsia="en-US"/>
        </w:rPr>
        <w:t xml:space="preserve"> </w:t>
      </w:r>
      <w:r w:rsidR="00455EFF" w:rsidRPr="0096749E">
        <w:rPr>
          <w:rFonts w:asciiTheme="majorHAnsi" w:eastAsiaTheme="minorHAnsi" w:hAnsiTheme="majorHAnsi" w:cstheme="minorBidi"/>
          <w:sz w:val="20"/>
          <w:szCs w:val="20"/>
          <w:lang w:eastAsia="en-US"/>
        </w:rPr>
        <w:t>пункто</w:t>
      </w:r>
      <w:r w:rsidR="00455EFF">
        <w:rPr>
          <w:rFonts w:asciiTheme="majorHAnsi" w:eastAsiaTheme="minorHAnsi" w:hAnsiTheme="majorHAnsi" w:cstheme="minorBidi"/>
          <w:sz w:val="20"/>
          <w:szCs w:val="20"/>
          <w:lang w:eastAsia="en-US"/>
        </w:rPr>
        <w:t>в при неактивном рынке =</w:t>
      </w:r>
      <w:r w:rsidR="00455EFF" w:rsidRPr="0096749E">
        <w:rPr>
          <w:rFonts w:asciiTheme="majorHAnsi" w:eastAsiaTheme="minorHAnsi" w:hAnsiTheme="majorHAnsi" w:cstheme="minorBidi"/>
          <w:sz w:val="20"/>
          <w:szCs w:val="20"/>
          <w:lang w:eastAsia="en-US"/>
        </w:rPr>
        <w:t xml:space="preserve"> </w:t>
      </w:r>
      <w:r w:rsidR="00455EFF" w:rsidRPr="001148A3">
        <w:rPr>
          <w:rFonts w:asciiTheme="majorHAnsi" w:eastAsiaTheme="minorHAnsi" w:hAnsiTheme="majorHAnsi" w:cstheme="minorBidi"/>
          <w:sz w:val="20"/>
          <w:szCs w:val="20"/>
          <w:lang w:eastAsia="en-US"/>
        </w:rPr>
        <w:t xml:space="preserve"> </w:t>
      </w:r>
      <w:r w:rsidR="00455EFF" w:rsidRPr="0016120D">
        <w:rPr>
          <w:rFonts w:asciiTheme="majorHAnsi" w:eastAsiaTheme="minorHAnsi" w:hAnsiTheme="majorHAnsi" w:cstheme="minorBidi"/>
          <w:b/>
          <w:sz w:val="20"/>
          <w:szCs w:val="20"/>
          <w:lang w:eastAsia="en-US"/>
        </w:rPr>
        <w:t>1</w:t>
      </w:r>
      <w:r w:rsidR="00455EFF">
        <w:rPr>
          <w:rFonts w:asciiTheme="majorHAnsi" w:eastAsiaTheme="minorHAnsi" w:hAnsiTheme="majorHAnsi" w:cstheme="minorBidi"/>
          <w:b/>
          <w:sz w:val="20"/>
          <w:szCs w:val="20"/>
          <w:lang w:eastAsia="en-US"/>
        </w:rPr>
        <w:t>8,6</w:t>
      </w:r>
      <w:r w:rsidR="00455EFF" w:rsidRPr="0016120D">
        <w:rPr>
          <w:rFonts w:asciiTheme="majorHAnsi" w:eastAsiaTheme="minorHAnsi" w:hAnsiTheme="majorHAnsi" w:cstheme="minorBidi"/>
          <w:b/>
          <w:sz w:val="20"/>
          <w:szCs w:val="20"/>
          <w:lang w:eastAsia="en-US"/>
        </w:rPr>
        <w:t xml:space="preserve"> %.</w:t>
      </w:r>
    </w:p>
    <w:p w:rsidR="00455EFF" w:rsidRDefault="00455EFF" w:rsidP="0096749E">
      <w:pPr>
        <w:ind w:firstLine="709"/>
        <w:jc w:val="both"/>
        <w:rPr>
          <w:rFonts w:asciiTheme="majorHAnsi" w:eastAsiaTheme="minorHAnsi" w:hAnsiTheme="majorHAnsi" w:cstheme="minorBidi"/>
          <w:sz w:val="20"/>
          <w:szCs w:val="20"/>
          <w:lang w:eastAsia="en-US"/>
        </w:rPr>
      </w:pPr>
      <w:r>
        <w:rPr>
          <w:rFonts w:asciiTheme="majorHAnsi" w:eastAsiaTheme="minorHAnsi" w:hAnsiTheme="majorHAnsi" w:cstheme="minorBidi"/>
          <w:sz w:val="20"/>
          <w:szCs w:val="20"/>
          <w:lang w:eastAsia="en-US"/>
        </w:rPr>
        <w:t xml:space="preserve">  </w:t>
      </w:r>
      <w:r>
        <w:rPr>
          <w:noProof/>
        </w:rPr>
        <w:drawing>
          <wp:inline distT="0" distB="0" distL="0" distR="0" wp14:anchorId="074947DB" wp14:editId="215652E2">
            <wp:extent cx="6158518" cy="354064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6920" t="21613" r="36029" b="32154"/>
                    <a:stretch/>
                  </pic:blipFill>
                  <pic:spPr bwMode="auto">
                    <a:xfrm>
                      <a:off x="0" y="0"/>
                      <a:ext cx="6215663" cy="3573495"/>
                    </a:xfrm>
                    <a:prstGeom prst="rect">
                      <a:avLst/>
                    </a:prstGeom>
                    <a:ln>
                      <a:noFill/>
                    </a:ln>
                    <a:extLst>
                      <a:ext uri="{53640926-AAD7-44D8-BBD7-CCE9431645EC}">
                        <a14:shadowObscured xmlns:a14="http://schemas.microsoft.com/office/drawing/2010/main"/>
                      </a:ext>
                    </a:extLst>
                  </pic:spPr>
                </pic:pic>
              </a:graphicData>
            </a:graphic>
          </wp:inline>
        </w:drawing>
      </w:r>
    </w:p>
    <w:p w:rsidR="00455EFF" w:rsidRDefault="00455EFF" w:rsidP="00455EFF">
      <w:pPr>
        <w:rPr>
          <w:rFonts w:asciiTheme="majorHAnsi" w:eastAsiaTheme="minorHAnsi" w:hAnsiTheme="majorHAnsi" w:cstheme="minorBidi"/>
          <w:sz w:val="20"/>
          <w:szCs w:val="20"/>
          <w:lang w:eastAsia="en-US"/>
        </w:rPr>
      </w:pPr>
    </w:p>
    <w:p w:rsidR="00455EFF" w:rsidRDefault="00455EFF" w:rsidP="00455EFF">
      <w:pPr>
        <w:ind w:firstLine="708"/>
        <w:rPr>
          <w:rFonts w:asciiTheme="majorHAnsi" w:eastAsiaTheme="minorHAnsi" w:hAnsiTheme="majorHAnsi" w:cstheme="minorBidi"/>
          <w:sz w:val="20"/>
          <w:szCs w:val="20"/>
          <w:lang w:eastAsia="en-US"/>
        </w:rPr>
      </w:pPr>
      <w:r w:rsidRPr="00455EFF">
        <w:rPr>
          <w:rFonts w:asciiTheme="majorHAnsi" w:eastAsiaTheme="minorHAnsi" w:hAnsiTheme="majorHAnsi" w:cstheme="minorBidi"/>
          <w:b/>
          <w:sz w:val="20"/>
          <w:szCs w:val="20"/>
          <w:lang w:eastAsia="en-US"/>
        </w:rPr>
        <w:t>ДАТА ПРОДАЖИ</w:t>
      </w:r>
      <w:r w:rsidRPr="00455EFF">
        <w:rPr>
          <w:rFonts w:asciiTheme="majorHAnsi" w:eastAsiaTheme="minorHAnsi" w:hAnsiTheme="majorHAnsi" w:cstheme="minorBidi"/>
          <w:sz w:val="20"/>
          <w:szCs w:val="20"/>
          <w:lang w:eastAsia="en-US"/>
        </w:rPr>
        <w:t>. Корректировка не применяется.</w:t>
      </w:r>
    </w:p>
    <w:p w:rsidR="00455EFF" w:rsidRDefault="00455EFF" w:rsidP="00455EFF">
      <w:pPr>
        <w:rPr>
          <w:rFonts w:asciiTheme="majorHAnsi" w:eastAsiaTheme="minorHAnsi" w:hAnsiTheme="majorHAnsi" w:cstheme="minorBidi"/>
          <w:sz w:val="20"/>
          <w:szCs w:val="20"/>
          <w:lang w:eastAsia="en-US"/>
        </w:rPr>
      </w:pPr>
    </w:p>
    <w:p w:rsidR="004608BE" w:rsidRPr="00455EFF" w:rsidRDefault="004608BE" w:rsidP="00455EFF">
      <w:pPr>
        <w:rPr>
          <w:rFonts w:asciiTheme="majorHAnsi" w:eastAsiaTheme="minorHAnsi" w:hAnsiTheme="majorHAnsi" w:cstheme="minorBidi"/>
          <w:sz w:val="20"/>
          <w:szCs w:val="20"/>
          <w:lang w:eastAsia="en-US"/>
        </w:rPr>
        <w:sectPr w:rsidR="004608BE" w:rsidRPr="00455EFF" w:rsidSect="004608BE">
          <w:pgSz w:w="11906" w:h="16838" w:code="9"/>
          <w:pgMar w:top="567" w:right="851" w:bottom="567"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ED42CC" w:rsidRPr="00ED42CC" w:rsidRDefault="00ED42CC" w:rsidP="00ED42CC">
      <w:pPr>
        <w:autoSpaceDE w:val="0"/>
        <w:autoSpaceDN w:val="0"/>
        <w:adjustRightInd w:val="0"/>
        <w:spacing w:before="100" w:beforeAutospacing="1" w:line="240" w:lineRule="exact"/>
        <w:ind w:firstLine="709"/>
        <w:jc w:val="both"/>
        <w:rPr>
          <w:rFonts w:asciiTheme="majorHAnsi" w:eastAsiaTheme="minorHAnsi" w:hAnsiTheme="majorHAnsi" w:cstheme="minorBidi"/>
          <w:sz w:val="20"/>
          <w:szCs w:val="23"/>
          <w:lang w:eastAsia="en-US"/>
        </w:rPr>
      </w:pPr>
      <w:r w:rsidRPr="00ED42CC">
        <w:rPr>
          <w:rFonts w:asciiTheme="majorHAnsi" w:eastAsiaTheme="minorHAnsi" w:hAnsiTheme="majorHAnsi" w:cstheme="minorBidi"/>
          <w:b/>
          <w:bCs/>
          <w:sz w:val="20"/>
          <w:szCs w:val="23"/>
          <w:lang w:eastAsia="en-US"/>
        </w:rPr>
        <w:lastRenderedPageBreak/>
        <w:t xml:space="preserve">КОРРЕКТИРОВКА НА МЕСТОПОЛОЖЕНИЕ </w:t>
      </w:r>
    </w:p>
    <w:p w:rsidR="00ED42CC" w:rsidRPr="00ED42CC" w:rsidRDefault="00ED42CC" w:rsidP="00ED42CC">
      <w:pPr>
        <w:autoSpaceDE w:val="0"/>
        <w:autoSpaceDN w:val="0"/>
        <w:adjustRightInd w:val="0"/>
        <w:spacing w:line="240" w:lineRule="exact"/>
        <w:ind w:firstLine="709"/>
        <w:jc w:val="both"/>
        <w:rPr>
          <w:rFonts w:asciiTheme="majorHAnsi" w:eastAsiaTheme="minorHAnsi" w:hAnsiTheme="majorHAnsi" w:cstheme="minorBidi"/>
          <w:sz w:val="20"/>
          <w:szCs w:val="23"/>
          <w:lang w:eastAsia="en-US"/>
        </w:rPr>
      </w:pPr>
      <w:r w:rsidRPr="00ED42CC">
        <w:rPr>
          <w:rFonts w:asciiTheme="majorHAnsi" w:eastAsiaTheme="minorHAnsi" w:hAnsiTheme="majorHAnsi" w:cstheme="minorBidi"/>
          <w:sz w:val="20"/>
          <w:szCs w:val="23"/>
          <w:lang w:eastAsia="en-US"/>
        </w:rPr>
        <w:t xml:space="preserve">На корректировку по месту положения влияют в первую очередь такие факторы, как размер населённого пункта, активность инвестиций, местоположение в населённом пункте, удобство местоположения. </w:t>
      </w:r>
    </w:p>
    <w:p w:rsidR="001148A3" w:rsidRDefault="00ED42CC" w:rsidP="00ED42CC">
      <w:pPr>
        <w:autoSpaceDE w:val="0"/>
        <w:autoSpaceDN w:val="0"/>
        <w:adjustRightInd w:val="0"/>
        <w:spacing w:line="240" w:lineRule="exact"/>
        <w:ind w:firstLine="709"/>
        <w:jc w:val="both"/>
        <w:rPr>
          <w:rFonts w:asciiTheme="majorHAnsi" w:eastAsiaTheme="minorHAnsi" w:hAnsiTheme="majorHAnsi" w:cstheme="minorBidi"/>
          <w:sz w:val="20"/>
          <w:szCs w:val="23"/>
          <w:lang w:eastAsia="en-US"/>
        </w:rPr>
      </w:pPr>
      <w:r w:rsidRPr="00ED42CC">
        <w:rPr>
          <w:rFonts w:asciiTheme="majorHAnsi" w:eastAsiaTheme="minorHAnsi" w:hAnsiTheme="majorHAnsi" w:cstheme="minorBidi"/>
          <w:sz w:val="20"/>
          <w:szCs w:val="23"/>
          <w:lang w:eastAsia="en-US"/>
        </w:rPr>
        <w:t xml:space="preserve">Особенность ситуации - крайне малый объем данных по сделкам (или хотя бы по ценам предложений) объектов, которые по основным ценообразующим факторам, например, местоположению, были бы адекватны оцениваемому объекту. В этом случае мы имеем дело с проблемой малой выборки, и в соответствии с общей идеологией статистической теории решение этой проблемы лежит в плоскости привлечения дополнительной информации, относящейся к другим объектам, относительно которых имеются цены сделок (предложений), но которые могут находиться в других районах области и иметь отличия по другим существенно влияющим на стоимость факторам: по функциональному назначению, по размеру полезной площади строения, по наличию и размерам земельного участка и т. п. В условиях дефицита адекватной информации данные по ценам предложений таких объектов, чаще всего, становятся единственным источником информации для оценки стоимости оцениваемого объекта. В настоящем отчете применена корректировка согласно методике Лейфера Л.А., научного руководителя ЗАО "Приволжский Центр финансового консалтинга и оценки" , кандидата технических наук, Член-корреспондент Российской Академии Проблем Качества, Вице-президента РОО, руководитель Комитета по информационно-аналитическому обеспечению, Член Президиума Экспертного Совета РОО, Председателя Правления Нижегородского областного отделения Общероссийской общественной организации "Российское общество оценщиков", научного консультанта по программе профессиональной подготовки по оценочной деятельности при Нижегородском Государственном Университете им. Лобачевского Н.И. </w:t>
      </w:r>
    </w:p>
    <w:p w:rsidR="00ED42CC" w:rsidRPr="001148A3" w:rsidRDefault="00ED42CC" w:rsidP="00ED42CC">
      <w:pPr>
        <w:autoSpaceDE w:val="0"/>
        <w:autoSpaceDN w:val="0"/>
        <w:adjustRightInd w:val="0"/>
        <w:spacing w:line="240" w:lineRule="exact"/>
        <w:ind w:firstLine="709"/>
        <w:jc w:val="both"/>
        <w:rPr>
          <w:rFonts w:asciiTheme="majorHAnsi" w:eastAsia="Arial Unicode MS" w:hAnsiTheme="majorHAnsi" w:cstheme="minorBidi"/>
          <w:b/>
          <w:sz w:val="20"/>
          <w:szCs w:val="23"/>
          <w:lang w:eastAsia="en-US"/>
        </w:rPr>
      </w:pPr>
      <w:r>
        <w:rPr>
          <w:noProof/>
        </w:rPr>
        <w:drawing>
          <wp:anchor distT="0" distB="0" distL="114300" distR="114300" simplePos="0" relativeHeight="251660288" behindDoc="0" locked="0" layoutInCell="1" allowOverlap="1" wp14:anchorId="07B67608" wp14:editId="7DDAC0C8">
            <wp:simplePos x="0" y="0"/>
            <wp:positionH relativeFrom="column">
              <wp:posOffset>672775</wp:posOffset>
            </wp:positionH>
            <wp:positionV relativeFrom="paragraph">
              <wp:posOffset>14414</wp:posOffset>
            </wp:positionV>
            <wp:extent cx="4760998" cy="1095154"/>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7258" t="28818" r="32659" b="36657"/>
                    <a:stretch/>
                  </pic:blipFill>
                  <pic:spPr bwMode="auto">
                    <a:xfrm>
                      <a:off x="0" y="0"/>
                      <a:ext cx="4807223" cy="11057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42CC" w:rsidRDefault="00ED42CC" w:rsidP="00D461C3">
      <w:pPr>
        <w:autoSpaceDE w:val="0"/>
        <w:autoSpaceDN w:val="0"/>
        <w:adjustRightInd w:val="0"/>
        <w:spacing w:before="100" w:beforeAutospacing="1" w:line="240" w:lineRule="exact"/>
        <w:ind w:firstLine="709"/>
        <w:jc w:val="both"/>
        <w:rPr>
          <w:rFonts w:asciiTheme="majorHAnsi" w:eastAsia="Arial Unicode MS" w:hAnsiTheme="majorHAnsi" w:cstheme="minorBidi"/>
          <w:b/>
          <w:sz w:val="20"/>
          <w:szCs w:val="23"/>
          <w:lang w:eastAsia="en-US"/>
        </w:rPr>
      </w:pPr>
    </w:p>
    <w:p w:rsidR="00ED42CC" w:rsidRDefault="00ED42CC" w:rsidP="00D461C3">
      <w:pPr>
        <w:autoSpaceDE w:val="0"/>
        <w:autoSpaceDN w:val="0"/>
        <w:adjustRightInd w:val="0"/>
        <w:spacing w:before="100" w:beforeAutospacing="1" w:line="240" w:lineRule="exact"/>
        <w:ind w:firstLine="709"/>
        <w:jc w:val="both"/>
        <w:rPr>
          <w:rFonts w:asciiTheme="majorHAnsi" w:eastAsia="Arial Unicode MS" w:hAnsiTheme="majorHAnsi" w:cstheme="minorBidi"/>
          <w:b/>
          <w:sz w:val="20"/>
          <w:szCs w:val="23"/>
          <w:lang w:eastAsia="en-US"/>
        </w:rPr>
      </w:pPr>
    </w:p>
    <w:p w:rsidR="00ED42CC" w:rsidRDefault="00ED42CC" w:rsidP="00D461C3">
      <w:pPr>
        <w:autoSpaceDE w:val="0"/>
        <w:autoSpaceDN w:val="0"/>
        <w:adjustRightInd w:val="0"/>
        <w:spacing w:before="100" w:beforeAutospacing="1" w:line="240" w:lineRule="exact"/>
        <w:ind w:firstLine="709"/>
        <w:jc w:val="both"/>
        <w:rPr>
          <w:rFonts w:asciiTheme="majorHAnsi" w:eastAsia="Arial Unicode MS" w:hAnsiTheme="majorHAnsi" w:cstheme="minorBidi"/>
          <w:b/>
          <w:sz w:val="20"/>
          <w:szCs w:val="23"/>
          <w:lang w:eastAsia="en-US"/>
        </w:rPr>
      </w:pPr>
    </w:p>
    <w:p w:rsidR="00455EFF" w:rsidRDefault="001148A3" w:rsidP="00455EFF">
      <w:pPr>
        <w:autoSpaceDE w:val="0"/>
        <w:autoSpaceDN w:val="0"/>
        <w:adjustRightInd w:val="0"/>
        <w:spacing w:line="240" w:lineRule="exact"/>
        <w:ind w:firstLine="709"/>
        <w:jc w:val="both"/>
        <w:rPr>
          <w:rFonts w:asciiTheme="majorHAnsi" w:eastAsia="Arial Unicode MS" w:hAnsiTheme="majorHAnsi" w:cstheme="minorBidi"/>
          <w:sz w:val="20"/>
          <w:szCs w:val="23"/>
          <w:lang w:eastAsia="en-US"/>
        </w:rPr>
      </w:pPr>
      <w:r w:rsidRPr="001148A3">
        <w:rPr>
          <w:rFonts w:asciiTheme="majorHAnsi" w:eastAsia="Arial Unicode MS" w:hAnsiTheme="majorHAnsi" w:cstheme="minorBidi"/>
          <w:b/>
          <w:sz w:val="20"/>
          <w:szCs w:val="23"/>
          <w:lang w:eastAsia="en-US"/>
        </w:rPr>
        <w:t>К</w:t>
      </w:r>
      <w:r w:rsidR="00D461C3" w:rsidRPr="001148A3">
        <w:rPr>
          <w:rFonts w:asciiTheme="majorHAnsi" w:eastAsia="Arial Unicode MS" w:hAnsiTheme="majorHAnsi" w:cstheme="minorBidi"/>
          <w:b/>
          <w:sz w:val="20"/>
          <w:szCs w:val="23"/>
          <w:lang w:eastAsia="en-US"/>
        </w:rPr>
        <w:t xml:space="preserve">ОРРЕКТИРОВКА НА ПЛОЩАДЬ. </w:t>
      </w:r>
      <w:r w:rsidR="00455EFF" w:rsidRPr="00FA488E">
        <w:rPr>
          <w:rFonts w:asciiTheme="majorHAnsi" w:eastAsia="Arial Unicode MS" w:hAnsiTheme="majorHAnsi" w:cstheme="minorBidi"/>
          <w:sz w:val="20"/>
          <w:szCs w:val="23"/>
          <w:lang w:eastAsia="en-US"/>
        </w:rPr>
        <w:t xml:space="preserve">Поправка на масштаб определена при помощи математической модели, предложенной А.Д. Власовым в статье «Проблемы кадастровой оценки земельных участков под промышленными объектами в поселениях ». В соответствии с данной моделью поправка на масштаб рассчитывается как отношение натурального логарифма площади, базовой для соответствующего объекта (участка, здания, помещения) к натуральному логарифму площади объекта оценки: </w:t>
      </w:r>
    </w:p>
    <w:p w:rsidR="00455EFF" w:rsidRDefault="00455EFF" w:rsidP="00455EFF">
      <w:pPr>
        <w:autoSpaceDE w:val="0"/>
        <w:autoSpaceDN w:val="0"/>
        <w:adjustRightInd w:val="0"/>
        <w:spacing w:line="240" w:lineRule="exact"/>
        <w:ind w:firstLine="709"/>
        <w:jc w:val="center"/>
        <w:rPr>
          <w:rFonts w:asciiTheme="majorHAnsi" w:eastAsia="Arial Unicode MS" w:hAnsiTheme="majorHAnsi" w:cstheme="minorBidi"/>
          <w:sz w:val="20"/>
          <w:szCs w:val="23"/>
          <w:lang w:eastAsia="en-US"/>
        </w:rPr>
      </w:pPr>
      <w:r w:rsidRPr="00FA488E">
        <w:rPr>
          <w:rFonts w:asciiTheme="majorHAnsi" w:eastAsia="Arial Unicode MS" w:hAnsiTheme="majorHAnsi" w:cstheme="minorBidi"/>
          <w:sz w:val="20"/>
          <w:szCs w:val="23"/>
          <w:lang w:eastAsia="en-US"/>
        </w:rPr>
        <w:t xml:space="preserve">Ks = Ln (S0) / Ln (Si), </w:t>
      </w:r>
    </w:p>
    <w:p w:rsidR="00455EFF" w:rsidRDefault="00455EFF" w:rsidP="00455EFF">
      <w:pPr>
        <w:autoSpaceDE w:val="0"/>
        <w:autoSpaceDN w:val="0"/>
        <w:adjustRightInd w:val="0"/>
        <w:spacing w:line="240" w:lineRule="exact"/>
        <w:ind w:firstLine="709"/>
        <w:jc w:val="center"/>
        <w:rPr>
          <w:rFonts w:asciiTheme="majorHAnsi" w:eastAsia="Arial Unicode MS" w:hAnsiTheme="majorHAnsi" w:cstheme="minorBidi"/>
          <w:sz w:val="20"/>
          <w:szCs w:val="23"/>
          <w:lang w:eastAsia="en-US"/>
        </w:rPr>
      </w:pPr>
      <w:r w:rsidRPr="00FA488E">
        <w:rPr>
          <w:rFonts w:asciiTheme="majorHAnsi" w:eastAsia="Arial Unicode MS" w:hAnsiTheme="majorHAnsi" w:cstheme="minorBidi"/>
          <w:sz w:val="20"/>
          <w:szCs w:val="23"/>
          <w:lang w:eastAsia="en-US"/>
        </w:rPr>
        <w:t xml:space="preserve">Где Ks – поправка на разницу в площади (на масштаб), </w:t>
      </w:r>
    </w:p>
    <w:p w:rsidR="00455EFF" w:rsidRPr="00FA488E" w:rsidRDefault="00455EFF" w:rsidP="00455EFF">
      <w:pPr>
        <w:autoSpaceDE w:val="0"/>
        <w:autoSpaceDN w:val="0"/>
        <w:adjustRightInd w:val="0"/>
        <w:spacing w:line="240" w:lineRule="exact"/>
        <w:ind w:firstLine="709"/>
        <w:jc w:val="center"/>
        <w:rPr>
          <w:rFonts w:asciiTheme="majorHAnsi" w:eastAsia="Arial Unicode MS" w:hAnsiTheme="majorHAnsi" w:cstheme="minorBidi"/>
          <w:b/>
          <w:sz w:val="20"/>
          <w:szCs w:val="23"/>
          <w:lang w:eastAsia="en-US"/>
        </w:rPr>
      </w:pPr>
      <w:r w:rsidRPr="00FA488E">
        <w:rPr>
          <w:rFonts w:asciiTheme="majorHAnsi" w:eastAsia="Arial Unicode MS" w:hAnsiTheme="majorHAnsi" w:cstheme="minorBidi"/>
          <w:sz w:val="20"/>
          <w:szCs w:val="23"/>
          <w:lang w:eastAsia="en-US"/>
        </w:rPr>
        <w:t>S0 – площадь базового объекта</w:t>
      </w:r>
    </w:p>
    <w:p w:rsidR="00455EFF" w:rsidRPr="00FA488E" w:rsidRDefault="00455EFF" w:rsidP="00455EFF">
      <w:pPr>
        <w:autoSpaceDE w:val="0"/>
        <w:autoSpaceDN w:val="0"/>
        <w:adjustRightInd w:val="0"/>
        <w:spacing w:line="240" w:lineRule="exact"/>
        <w:ind w:firstLine="709"/>
        <w:jc w:val="center"/>
        <w:rPr>
          <w:rFonts w:asciiTheme="majorHAnsi" w:eastAsia="Arial Unicode MS" w:hAnsiTheme="majorHAnsi" w:cstheme="minorBidi"/>
          <w:sz w:val="20"/>
          <w:szCs w:val="23"/>
          <w:lang w:eastAsia="en-US"/>
        </w:rPr>
      </w:pPr>
      <w:r w:rsidRPr="00FA488E">
        <w:rPr>
          <w:rFonts w:asciiTheme="majorHAnsi" w:eastAsia="Arial Unicode MS" w:hAnsiTheme="majorHAnsi" w:cstheme="minorBidi"/>
          <w:sz w:val="20"/>
          <w:szCs w:val="23"/>
          <w:lang w:eastAsia="en-US"/>
        </w:rPr>
        <w:t>Si – площадь объекта оценки</w:t>
      </w:r>
    </w:p>
    <w:p w:rsidR="001148A3" w:rsidRPr="00D461C3" w:rsidRDefault="001148A3" w:rsidP="00D461C3">
      <w:pPr>
        <w:autoSpaceDE w:val="0"/>
        <w:autoSpaceDN w:val="0"/>
        <w:adjustRightInd w:val="0"/>
        <w:spacing w:before="100" w:beforeAutospacing="1" w:line="240" w:lineRule="exact"/>
        <w:ind w:firstLine="709"/>
        <w:jc w:val="both"/>
        <w:rPr>
          <w:rFonts w:asciiTheme="majorHAnsi" w:eastAsia="Arial Unicode MS" w:hAnsiTheme="majorHAnsi" w:cstheme="minorBidi"/>
          <w:sz w:val="20"/>
          <w:szCs w:val="23"/>
          <w:lang w:eastAsia="en-US"/>
        </w:rPr>
      </w:pPr>
      <w:r w:rsidRPr="001148A3">
        <w:rPr>
          <w:rFonts w:asciiTheme="majorHAnsi" w:eastAsia="Arial Unicode MS" w:hAnsiTheme="majorHAnsi" w:cstheme="minorBidi"/>
          <w:b/>
          <w:sz w:val="20"/>
          <w:szCs w:val="23"/>
          <w:lang w:eastAsia="en-US"/>
        </w:rPr>
        <w:t xml:space="preserve">КОММУНИКАЦИИ. </w:t>
      </w:r>
      <w:r w:rsidRPr="00D461C3">
        <w:rPr>
          <w:rFonts w:asciiTheme="majorHAnsi" w:eastAsia="Arial Unicode MS" w:hAnsiTheme="majorHAnsi" w:cstheme="minorBidi"/>
          <w:sz w:val="20"/>
          <w:szCs w:val="23"/>
          <w:lang w:eastAsia="en-US"/>
        </w:rPr>
        <w:t>Коммуникации имеются. Корректировка отсутствует.</w:t>
      </w:r>
    </w:p>
    <w:p w:rsidR="001148A3" w:rsidRPr="001148A3" w:rsidRDefault="001148A3" w:rsidP="00D461C3">
      <w:pPr>
        <w:autoSpaceDE w:val="0"/>
        <w:autoSpaceDN w:val="0"/>
        <w:adjustRightInd w:val="0"/>
        <w:spacing w:before="100" w:beforeAutospacing="1" w:line="240" w:lineRule="exact"/>
        <w:ind w:firstLine="709"/>
        <w:jc w:val="both"/>
        <w:rPr>
          <w:rFonts w:asciiTheme="majorHAnsi" w:eastAsia="Arial Unicode MS" w:hAnsiTheme="majorHAnsi" w:cstheme="minorBidi"/>
          <w:b/>
          <w:sz w:val="20"/>
          <w:szCs w:val="23"/>
          <w:lang w:eastAsia="en-US"/>
        </w:rPr>
      </w:pPr>
      <w:r w:rsidRPr="001148A3">
        <w:rPr>
          <w:rFonts w:asciiTheme="majorHAnsi" w:eastAsia="Arial Unicode MS" w:hAnsiTheme="majorHAnsi" w:cstheme="minorBidi"/>
          <w:b/>
          <w:sz w:val="20"/>
          <w:szCs w:val="23"/>
          <w:lang w:eastAsia="en-US"/>
        </w:rPr>
        <w:t xml:space="preserve">РЕЛЬЕФ. </w:t>
      </w:r>
      <w:r w:rsidRPr="00D461C3">
        <w:rPr>
          <w:rFonts w:asciiTheme="majorHAnsi" w:eastAsia="Arial Unicode MS" w:hAnsiTheme="majorHAnsi" w:cstheme="minorBidi"/>
          <w:sz w:val="20"/>
          <w:szCs w:val="23"/>
          <w:lang w:eastAsia="en-US"/>
        </w:rPr>
        <w:t>Все объекты сравнения</w:t>
      </w:r>
      <w:r w:rsidR="00861A77">
        <w:rPr>
          <w:rFonts w:asciiTheme="majorHAnsi" w:eastAsia="Arial Unicode MS" w:hAnsiTheme="majorHAnsi" w:cstheme="minorBidi"/>
          <w:sz w:val="20"/>
          <w:szCs w:val="23"/>
          <w:lang w:eastAsia="en-US"/>
        </w:rPr>
        <w:t>,</w:t>
      </w:r>
      <w:r w:rsidRPr="00D461C3">
        <w:rPr>
          <w:rFonts w:asciiTheme="majorHAnsi" w:eastAsia="Arial Unicode MS" w:hAnsiTheme="majorHAnsi" w:cstheme="minorBidi"/>
          <w:sz w:val="20"/>
          <w:szCs w:val="23"/>
          <w:lang w:eastAsia="en-US"/>
        </w:rPr>
        <w:t xml:space="preserve"> как и объект оценки с равнинным рельефом. Корректировка отсутствует.</w:t>
      </w:r>
    </w:p>
    <w:p w:rsidR="001148A3" w:rsidRDefault="001148A3" w:rsidP="00455EFF">
      <w:pPr>
        <w:autoSpaceDE w:val="0"/>
        <w:autoSpaceDN w:val="0"/>
        <w:adjustRightInd w:val="0"/>
        <w:spacing w:before="100" w:beforeAutospacing="1" w:line="240" w:lineRule="exact"/>
        <w:ind w:firstLine="709"/>
        <w:jc w:val="both"/>
        <w:rPr>
          <w:rFonts w:asciiTheme="majorHAnsi" w:eastAsia="Arial Unicode MS" w:hAnsiTheme="majorHAnsi" w:cstheme="minorBidi"/>
          <w:b/>
          <w:sz w:val="20"/>
          <w:szCs w:val="23"/>
          <w:lang w:eastAsia="en-US"/>
        </w:rPr>
      </w:pPr>
      <w:r w:rsidRPr="001148A3">
        <w:rPr>
          <w:rFonts w:asciiTheme="majorHAnsi" w:eastAsia="Arial Unicode MS" w:hAnsiTheme="majorHAnsi" w:cstheme="minorBidi"/>
          <w:b/>
          <w:sz w:val="20"/>
          <w:szCs w:val="23"/>
          <w:lang w:eastAsia="en-US"/>
        </w:rPr>
        <w:t xml:space="preserve">ЭКОНОМИЧЕСКИЕ ХАРАКТЕРИСТИКИ. </w:t>
      </w:r>
    </w:p>
    <w:p w:rsidR="001148A3" w:rsidRDefault="001148A3" w:rsidP="00455EFF">
      <w:pPr>
        <w:autoSpaceDE w:val="0"/>
        <w:autoSpaceDN w:val="0"/>
        <w:adjustRightInd w:val="0"/>
        <w:spacing w:before="120" w:after="120" w:line="240" w:lineRule="exact"/>
        <w:ind w:firstLine="709"/>
        <w:jc w:val="both"/>
        <w:rPr>
          <w:rFonts w:asciiTheme="majorHAnsi" w:eastAsia="Arial Unicode MS" w:hAnsiTheme="majorHAnsi" w:cstheme="minorBidi"/>
          <w:sz w:val="20"/>
          <w:szCs w:val="23"/>
          <w:lang w:eastAsia="en-US"/>
        </w:rPr>
      </w:pPr>
      <w:r w:rsidRPr="001148A3">
        <w:rPr>
          <w:rFonts w:asciiTheme="majorHAnsi" w:eastAsia="Arial Unicode MS" w:hAnsiTheme="majorHAnsi" w:cstheme="minorBidi"/>
          <w:b/>
          <w:sz w:val="20"/>
          <w:szCs w:val="23"/>
          <w:lang w:eastAsia="en-US"/>
        </w:rPr>
        <w:t xml:space="preserve">НАЛИЧИЕ </w:t>
      </w:r>
      <w:r w:rsidR="00D461C3" w:rsidRPr="00D461C3">
        <w:rPr>
          <w:rFonts w:asciiTheme="majorHAnsi" w:eastAsia="Arial Unicode MS" w:hAnsiTheme="majorHAnsi" w:cstheme="minorBidi"/>
          <w:b/>
          <w:sz w:val="20"/>
          <w:szCs w:val="23"/>
          <w:lang w:eastAsia="en-US"/>
        </w:rPr>
        <w:t>КОМПОНЕНТ</w:t>
      </w:r>
      <w:r w:rsidR="00D461C3">
        <w:rPr>
          <w:rFonts w:asciiTheme="majorHAnsi" w:eastAsia="Arial Unicode MS" w:hAnsiTheme="majorHAnsi" w:cstheme="minorBidi"/>
          <w:b/>
          <w:sz w:val="20"/>
          <w:szCs w:val="23"/>
          <w:lang w:eastAsia="en-US"/>
        </w:rPr>
        <w:t>ОВ</w:t>
      </w:r>
      <w:r w:rsidR="00D461C3" w:rsidRPr="00D461C3">
        <w:rPr>
          <w:rFonts w:asciiTheme="majorHAnsi" w:eastAsia="Arial Unicode MS" w:hAnsiTheme="majorHAnsi" w:cstheme="minorBidi"/>
          <w:b/>
          <w:sz w:val="20"/>
          <w:szCs w:val="23"/>
          <w:lang w:eastAsia="en-US"/>
        </w:rPr>
        <w:t xml:space="preserve"> СТОИМОСТИ, НЕ СВЯЗАННЫ</w:t>
      </w:r>
      <w:r w:rsidR="00D461C3">
        <w:rPr>
          <w:rFonts w:asciiTheme="majorHAnsi" w:eastAsia="Arial Unicode MS" w:hAnsiTheme="majorHAnsi" w:cstheme="minorBidi"/>
          <w:b/>
          <w:sz w:val="20"/>
          <w:szCs w:val="23"/>
          <w:lang w:eastAsia="en-US"/>
        </w:rPr>
        <w:t>Х</w:t>
      </w:r>
      <w:r w:rsidR="00D461C3" w:rsidRPr="00D461C3">
        <w:rPr>
          <w:rFonts w:asciiTheme="majorHAnsi" w:eastAsia="Arial Unicode MS" w:hAnsiTheme="majorHAnsi" w:cstheme="minorBidi"/>
          <w:b/>
          <w:sz w:val="20"/>
          <w:szCs w:val="23"/>
          <w:lang w:eastAsia="en-US"/>
        </w:rPr>
        <w:t xml:space="preserve"> С НЕДВИЖИМОСТЬЮ</w:t>
      </w:r>
      <w:r w:rsidRPr="001148A3">
        <w:rPr>
          <w:rFonts w:asciiTheme="majorHAnsi" w:eastAsia="Arial Unicode MS" w:hAnsiTheme="majorHAnsi" w:cstheme="minorBidi"/>
          <w:b/>
          <w:sz w:val="20"/>
          <w:szCs w:val="23"/>
          <w:lang w:eastAsia="en-US"/>
        </w:rPr>
        <w:t xml:space="preserve">. </w:t>
      </w:r>
      <w:r w:rsidRPr="001148A3">
        <w:rPr>
          <w:rFonts w:asciiTheme="majorHAnsi" w:eastAsia="Arial Unicode MS" w:hAnsiTheme="majorHAnsi" w:cstheme="minorBidi"/>
          <w:sz w:val="20"/>
          <w:szCs w:val="23"/>
          <w:lang w:eastAsia="en-US"/>
        </w:rPr>
        <w:t>Корректировка отсутствует.</w:t>
      </w:r>
    </w:p>
    <w:p w:rsidR="00455EFF" w:rsidRPr="00455EFF" w:rsidRDefault="001148A3" w:rsidP="00455EFF">
      <w:pPr>
        <w:spacing w:before="120" w:after="120"/>
        <w:jc w:val="both"/>
        <w:rPr>
          <w:rFonts w:ascii="Cambria" w:eastAsia="Calibri" w:hAnsi="Cambria"/>
          <w:sz w:val="20"/>
          <w:szCs w:val="20"/>
          <w:lang w:eastAsia="en-US"/>
        </w:rPr>
      </w:pPr>
      <w:r w:rsidRPr="001148A3">
        <w:rPr>
          <w:rFonts w:asciiTheme="majorHAnsi" w:eastAsia="Calibri" w:hAnsiTheme="majorHAnsi"/>
          <w:b/>
          <w:i/>
          <w:sz w:val="20"/>
          <w:szCs w:val="20"/>
          <w:lang w:eastAsia="en-US"/>
        </w:rPr>
        <w:t xml:space="preserve">Вывод: </w:t>
      </w:r>
      <w:r w:rsidR="00455EFF" w:rsidRPr="00455EFF">
        <w:rPr>
          <w:rFonts w:ascii="Cambria" w:eastAsia="Calibri" w:hAnsi="Cambria"/>
          <w:sz w:val="20"/>
          <w:szCs w:val="20"/>
          <w:lang w:eastAsia="en-US"/>
        </w:rPr>
        <w:t xml:space="preserve">Рыночная стоимость земельного участка, расположенного по адресу: </w:t>
      </w:r>
      <w:r w:rsidR="00455EFF" w:rsidRPr="00455EFF">
        <w:rPr>
          <w:rFonts w:ascii="Cambria" w:hAnsi="Cambria"/>
          <w:sz w:val="20"/>
          <w:szCs w:val="20"/>
        </w:rPr>
        <w:t>Белгородская обл. г. Белгород, ул Сумская, 168</w:t>
      </w:r>
      <w:r w:rsidR="00455EFF" w:rsidRPr="00455EFF">
        <w:rPr>
          <w:rFonts w:ascii="Cambria" w:eastAsia="Calibri" w:hAnsi="Cambria"/>
          <w:sz w:val="20"/>
          <w:szCs w:val="20"/>
          <w:lang w:eastAsia="en-US"/>
        </w:rPr>
        <w:t>, рассчитанная сравнительным  подходом,  по состоянию на дату оценки, составляет:</w:t>
      </w:r>
    </w:p>
    <w:p w:rsidR="00455EFF" w:rsidRPr="00455EFF" w:rsidRDefault="00455EFF" w:rsidP="00455EFF">
      <w:pPr>
        <w:jc w:val="both"/>
        <w:rPr>
          <w:rFonts w:ascii="Cambria" w:hAnsi="Cambria"/>
          <w:sz w:val="20"/>
          <w:szCs w:val="20"/>
        </w:rPr>
      </w:pPr>
    </w:p>
    <w:p w:rsidR="00455EFF" w:rsidRDefault="00455EFF" w:rsidP="00455EFF">
      <w:pPr>
        <w:ind w:left="284"/>
        <w:jc w:val="center"/>
        <w:rPr>
          <w:rFonts w:ascii="Cambria" w:eastAsia="Calibri" w:hAnsi="Cambria"/>
          <w:b/>
          <w:i/>
          <w:sz w:val="20"/>
          <w:szCs w:val="20"/>
          <w:lang w:eastAsia="en-US"/>
        </w:rPr>
      </w:pPr>
      <w:r w:rsidRPr="00455EFF">
        <w:rPr>
          <w:rFonts w:ascii="Cambria" w:eastAsia="Calibri" w:hAnsi="Cambria"/>
          <w:b/>
          <w:i/>
          <w:sz w:val="20"/>
          <w:szCs w:val="20"/>
          <w:lang w:eastAsia="en-US"/>
        </w:rPr>
        <w:t>19 869</w:t>
      </w:r>
      <w:r>
        <w:rPr>
          <w:rFonts w:ascii="Cambria" w:eastAsia="Calibri" w:hAnsi="Cambria"/>
          <w:b/>
          <w:i/>
          <w:sz w:val="20"/>
          <w:szCs w:val="20"/>
          <w:lang w:eastAsia="en-US"/>
        </w:rPr>
        <w:t> </w:t>
      </w:r>
      <w:r w:rsidRPr="00455EFF">
        <w:rPr>
          <w:rFonts w:ascii="Cambria" w:eastAsia="Calibri" w:hAnsi="Cambria"/>
          <w:b/>
          <w:i/>
          <w:sz w:val="20"/>
          <w:szCs w:val="20"/>
          <w:lang w:eastAsia="en-US"/>
        </w:rPr>
        <w:t>534</w:t>
      </w:r>
      <w:r>
        <w:rPr>
          <w:rFonts w:ascii="Cambria" w:eastAsia="Calibri" w:hAnsi="Cambria"/>
          <w:b/>
          <w:i/>
          <w:sz w:val="20"/>
          <w:szCs w:val="20"/>
          <w:lang w:eastAsia="en-US"/>
        </w:rPr>
        <w:t xml:space="preserve"> </w:t>
      </w:r>
      <w:r w:rsidRPr="00455EFF">
        <w:rPr>
          <w:rFonts w:ascii="Cambria" w:eastAsia="Calibri" w:hAnsi="Cambria"/>
          <w:b/>
          <w:i/>
          <w:sz w:val="20"/>
          <w:szCs w:val="20"/>
          <w:lang w:eastAsia="en-US"/>
        </w:rPr>
        <w:t xml:space="preserve">руб. </w:t>
      </w:r>
    </w:p>
    <w:p w:rsidR="00455EFF" w:rsidRPr="00455EFF" w:rsidRDefault="00455EFF" w:rsidP="00455EFF">
      <w:pPr>
        <w:jc w:val="center"/>
        <w:rPr>
          <w:rFonts w:ascii="Cambria" w:eastAsia="Calibri" w:hAnsi="Cambria"/>
          <w:b/>
          <w:i/>
          <w:sz w:val="20"/>
          <w:szCs w:val="20"/>
          <w:lang w:eastAsia="en-US"/>
        </w:rPr>
      </w:pPr>
      <w:r w:rsidRPr="00455EFF">
        <w:rPr>
          <w:rFonts w:ascii="Cambria" w:eastAsia="Calibri" w:hAnsi="Cambria"/>
          <w:b/>
          <w:i/>
          <w:sz w:val="20"/>
          <w:szCs w:val="20"/>
          <w:lang w:eastAsia="en-US"/>
        </w:rPr>
        <w:t>(</w:t>
      </w:r>
      <w:r>
        <w:rPr>
          <w:rFonts w:ascii="Cambria" w:eastAsia="Calibri" w:hAnsi="Cambria"/>
          <w:b/>
          <w:i/>
          <w:sz w:val="20"/>
          <w:szCs w:val="20"/>
          <w:lang w:eastAsia="en-US"/>
        </w:rPr>
        <w:t>Девятнадцать</w:t>
      </w:r>
      <w:r w:rsidRPr="00455EFF">
        <w:rPr>
          <w:rFonts w:ascii="Cambria" w:eastAsia="Calibri" w:hAnsi="Cambria"/>
          <w:b/>
          <w:i/>
          <w:sz w:val="20"/>
          <w:szCs w:val="20"/>
          <w:lang w:eastAsia="en-US"/>
        </w:rPr>
        <w:t xml:space="preserve"> миллион</w:t>
      </w:r>
      <w:r>
        <w:rPr>
          <w:rFonts w:ascii="Cambria" w:eastAsia="Calibri" w:hAnsi="Cambria"/>
          <w:b/>
          <w:i/>
          <w:sz w:val="20"/>
          <w:szCs w:val="20"/>
          <w:lang w:eastAsia="en-US"/>
        </w:rPr>
        <w:t>ов</w:t>
      </w:r>
      <w:r w:rsidRPr="00455EFF">
        <w:rPr>
          <w:rFonts w:ascii="Cambria" w:eastAsia="Calibri" w:hAnsi="Cambria"/>
          <w:b/>
          <w:i/>
          <w:sz w:val="20"/>
          <w:szCs w:val="20"/>
          <w:lang w:eastAsia="en-US"/>
        </w:rPr>
        <w:t xml:space="preserve"> </w:t>
      </w:r>
      <w:r>
        <w:rPr>
          <w:rFonts w:ascii="Cambria" w:eastAsia="Calibri" w:hAnsi="Cambria"/>
          <w:b/>
          <w:i/>
          <w:sz w:val="20"/>
          <w:szCs w:val="20"/>
          <w:lang w:eastAsia="en-US"/>
        </w:rPr>
        <w:t>восемьсот шестьдесят девять</w:t>
      </w:r>
      <w:r w:rsidRPr="00455EFF">
        <w:rPr>
          <w:rFonts w:ascii="Cambria" w:eastAsia="Calibri" w:hAnsi="Cambria"/>
          <w:b/>
          <w:i/>
          <w:sz w:val="20"/>
          <w:szCs w:val="20"/>
          <w:lang w:eastAsia="en-US"/>
        </w:rPr>
        <w:t xml:space="preserve"> тысяч </w:t>
      </w:r>
      <w:r>
        <w:rPr>
          <w:rFonts w:ascii="Cambria" w:eastAsia="Calibri" w:hAnsi="Cambria"/>
          <w:b/>
          <w:i/>
          <w:sz w:val="20"/>
          <w:szCs w:val="20"/>
          <w:lang w:eastAsia="en-US"/>
        </w:rPr>
        <w:t>пятьсот тридцать четыре</w:t>
      </w:r>
      <w:r w:rsidRPr="00455EFF">
        <w:rPr>
          <w:rFonts w:ascii="Cambria" w:eastAsia="Calibri" w:hAnsi="Cambria"/>
          <w:b/>
          <w:i/>
          <w:sz w:val="20"/>
          <w:szCs w:val="20"/>
          <w:lang w:eastAsia="en-US"/>
        </w:rPr>
        <w:t xml:space="preserve"> рубля)</w:t>
      </w:r>
    </w:p>
    <w:p w:rsidR="00455EFF" w:rsidRPr="00455EFF" w:rsidRDefault="00455EFF" w:rsidP="00455EFF">
      <w:pPr>
        <w:ind w:left="284"/>
        <w:jc w:val="center"/>
        <w:rPr>
          <w:rFonts w:ascii="Cambria" w:eastAsia="Calibri" w:hAnsi="Cambria"/>
          <w:b/>
          <w:i/>
          <w:sz w:val="20"/>
          <w:szCs w:val="20"/>
          <w:lang w:eastAsia="en-US"/>
        </w:rPr>
      </w:pPr>
    </w:p>
    <w:p w:rsidR="00455EFF" w:rsidRPr="00455EFF" w:rsidRDefault="00455EFF" w:rsidP="00455EFF">
      <w:pPr>
        <w:jc w:val="both"/>
        <w:rPr>
          <w:rFonts w:ascii="Cambria" w:eastAsia="Calibri" w:hAnsi="Cambria"/>
          <w:sz w:val="20"/>
          <w:szCs w:val="20"/>
          <w:lang w:eastAsia="en-US"/>
        </w:rPr>
      </w:pPr>
      <w:r w:rsidRPr="00455EFF">
        <w:rPr>
          <w:rFonts w:ascii="Cambria" w:eastAsia="Calibri" w:hAnsi="Cambria"/>
          <w:sz w:val="20"/>
          <w:szCs w:val="20"/>
          <w:lang w:eastAsia="en-US"/>
        </w:rPr>
        <w:t xml:space="preserve">Рыночная стоимость земельного участка, расположенного по адресу: </w:t>
      </w:r>
      <w:r w:rsidRPr="00455EFF">
        <w:rPr>
          <w:rFonts w:ascii="Cambria" w:hAnsi="Cambria"/>
          <w:sz w:val="20"/>
          <w:szCs w:val="20"/>
        </w:rPr>
        <w:t>Белгородская обл. г. Белгород, ул Мирная, 21</w:t>
      </w:r>
      <w:r w:rsidRPr="00455EFF">
        <w:rPr>
          <w:rFonts w:ascii="Cambria" w:eastAsia="Calibri" w:hAnsi="Cambria"/>
          <w:sz w:val="20"/>
          <w:szCs w:val="20"/>
          <w:lang w:eastAsia="en-US"/>
        </w:rPr>
        <w:t>, рассчитанная сравнительным  подходом,  по состоянию на дату оценки, составляет:</w:t>
      </w:r>
    </w:p>
    <w:p w:rsidR="00455EFF" w:rsidRPr="00455EFF" w:rsidRDefault="00455EFF" w:rsidP="00455EFF">
      <w:pPr>
        <w:jc w:val="both"/>
        <w:rPr>
          <w:rFonts w:ascii="Cambria" w:hAnsi="Cambria"/>
          <w:sz w:val="20"/>
          <w:szCs w:val="20"/>
        </w:rPr>
      </w:pPr>
    </w:p>
    <w:p w:rsidR="00455EFF" w:rsidRDefault="00455EFF" w:rsidP="00455EFF">
      <w:pPr>
        <w:ind w:left="284"/>
        <w:jc w:val="center"/>
        <w:rPr>
          <w:rFonts w:ascii="Cambria" w:eastAsia="Calibri" w:hAnsi="Cambria"/>
          <w:b/>
          <w:i/>
          <w:sz w:val="20"/>
          <w:szCs w:val="20"/>
          <w:lang w:eastAsia="en-US"/>
        </w:rPr>
      </w:pPr>
      <w:r>
        <w:rPr>
          <w:rFonts w:ascii="Cambria" w:eastAsia="Calibri" w:hAnsi="Cambria"/>
          <w:b/>
          <w:i/>
          <w:sz w:val="20"/>
          <w:szCs w:val="20"/>
          <w:lang w:eastAsia="en-US"/>
        </w:rPr>
        <w:t>15 495 165</w:t>
      </w:r>
      <w:r w:rsidRPr="00455EFF">
        <w:rPr>
          <w:rFonts w:ascii="Cambria" w:eastAsia="Calibri" w:hAnsi="Cambria"/>
          <w:b/>
          <w:i/>
          <w:sz w:val="20"/>
          <w:szCs w:val="20"/>
          <w:lang w:eastAsia="en-US"/>
        </w:rPr>
        <w:t xml:space="preserve">   руб. </w:t>
      </w:r>
    </w:p>
    <w:p w:rsidR="00455EFF" w:rsidRPr="00455EFF" w:rsidRDefault="00455EFF" w:rsidP="00455EFF">
      <w:pPr>
        <w:ind w:left="284"/>
        <w:jc w:val="center"/>
        <w:rPr>
          <w:rFonts w:ascii="Cambria" w:eastAsia="Calibri" w:hAnsi="Cambria"/>
          <w:b/>
          <w:i/>
          <w:sz w:val="20"/>
          <w:szCs w:val="20"/>
          <w:lang w:eastAsia="en-US"/>
        </w:rPr>
      </w:pPr>
      <w:r w:rsidRPr="00455EFF">
        <w:rPr>
          <w:rFonts w:ascii="Cambria" w:eastAsia="Calibri" w:hAnsi="Cambria"/>
          <w:b/>
          <w:i/>
          <w:sz w:val="20"/>
          <w:szCs w:val="20"/>
          <w:lang w:eastAsia="en-US"/>
        </w:rPr>
        <w:t>(</w:t>
      </w:r>
      <w:r>
        <w:rPr>
          <w:rFonts w:ascii="Cambria" w:eastAsia="Calibri" w:hAnsi="Cambria"/>
          <w:b/>
          <w:i/>
          <w:sz w:val="20"/>
          <w:szCs w:val="20"/>
          <w:lang w:eastAsia="en-US"/>
        </w:rPr>
        <w:t>Пятнадцать миллионов четыреста девяносто пять тысяч сто шестьдесят пять рублей</w:t>
      </w:r>
      <w:r w:rsidRPr="00455EFF">
        <w:rPr>
          <w:rFonts w:ascii="Cambria" w:eastAsia="Calibri" w:hAnsi="Cambria"/>
          <w:b/>
          <w:i/>
          <w:sz w:val="20"/>
          <w:szCs w:val="20"/>
          <w:lang w:eastAsia="en-US"/>
        </w:rPr>
        <w:t>)</w:t>
      </w:r>
    </w:p>
    <w:p w:rsidR="00F854F5" w:rsidRPr="00F854F5" w:rsidRDefault="00F854F5" w:rsidP="00F854F5">
      <w:pPr>
        <w:spacing w:before="120" w:after="120"/>
        <w:jc w:val="center"/>
        <w:rPr>
          <w:rFonts w:asciiTheme="majorHAnsi" w:eastAsiaTheme="minorHAnsi" w:hAnsiTheme="majorHAnsi" w:cstheme="minorBidi"/>
          <w:sz w:val="20"/>
          <w:szCs w:val="22"/>
          <w:lang w:eastAsia="en-US"/>
        </w:rPr>
      </w:pPr>
      <w:r w:rsidRPr="00F854F5">
        <w:rPr>
          <w:rFonts w:asciiTheme="majorHAnsi" w:eastAsiaTheme="minorHAnsi" w:hAnsiTheme="majorHAnsi" w:cstheme="minorBidi"/>
          <w:b/>
          <w:bCs/>
          <w:sz w:val="20"/>
          <w:szCs w:val="22"/>
          <w:lang w:eastAsia="en-US"/>
        </w:rPr>
        <w:lastRenderedPageBreak/>
        <w:t>Метод сравнения продаж для единого объекта недвижимости</w:t>
      </w:r>
    </w:p>
    <w:p w:rsidR="00F854F5" w:rsidRPr="00F854F5" w:rsidRDefault="00F854F5" w:rsidP="00960AC6">
      <w:pPr>
        <w:spacing w:before="120" w:after="120"/>
        <w:jc w:val="center"/>
        <w:rPr>
          <w:rFonts w:asciiTheme="majorHAnsi" w:eastAsiaTheme="minorHAnsi" w:hAnsiTheme="majorHAnsi" w:cstheme="minorBidi"/>
          <w:sz w:val="20"/>
          <w:szCs w:val="22"/>
          <w:lang w:eastAsia="en-US"/>
        </w:rPr>
      </w:pPr>
      <w:r w:rsidRPr="00F854F5">
        <w:rPr>
          <w:rFonts w:asciiTheme="majorHAnsi" w:eastAsiaTheme="minorHAnsi" w:hAnsiTheme="majorHAnsi" w:cstheme="minorBidi"/>
          <w:b/>
          <w:bCs/>
          <w:sz w:val="20"/>
          <w:szCs w:val="22"/>
          <w:lang w:eastAsia="en-US"/>
        </w:rPr>
        <w:t>ВЫБОР ЕДИНИЦ СРАВНЕНИЯ И СРАВНИТЕЛЬНЫЙ АНАЛИЗ ОБЪЕКТА ОЦЕНКИ И КАЖДОГО ОБЪЕКТА-АНАЛОГА ПО ВСЕМ ЭЛЕМЕНТАМ СРАВНЕНИЯ.</w:t>
      </w:r>
    </w:p>
    <w:p w:rsidR="00477537" w:rsidRDefault="00F854F5" w:rsidP="00477537">
      <w:pPr>
        <w:spacing w:before="120" w:after="120"/>
        <w:ind w:firstLine="709"/>
        <w:jc w:val="both"/>
        <w:rPr>
          <w:rFonts w:asciiTheme="majorHAnsi" w:eastAsiaTheme="minorHAnsi" w:hAnsiTheme="majorHAnsi" w:cstheme="minorBidi"/>
          <w:sz w:val="20"/>
          <w:szCs w:val="22"/>
          <w:lang w:eastAsia="en-US"/>
        </w:rPr>
      </w:pPr>
      <w:r w:rsidRPr="00F854F5">
        <w:rPr>
          <w:rFonts w:asciiTheme="majorHAnsi" w:eastAsiaTheme="minorHAnsi" w:hAnsiTheme="majorHAnsi" w:cstheme="minorBidi"/>
          <w:sz w:val="20"/>
          <w:szCs w:val="22"/>
          <w:lang w:eastAsia="en-US"/>
        </w:rPr>
        <w:t>С целью сравнительного анализа объекта оценки и каждого объекта-аналога Оценщиком исследована статистическая совокупность цен предложений, аналогичные оцениваемому по сведениям, опубликованным в открытых источниках.</w:t>
      </w:r>
    </w:p>
    <w:p w:rsidR="0001080D" w:rsidRDefault="0001080D" w:rsidP="0001080D">
      <w:pPr>
        <w:tabs>
          <w:tab w:val="left" w:pos="2925"/>
        </w:tabs>
        <w:spacing w:before="120" w:after="120"/>
        <w:ind w:firstLine="709"/>
        <w:jc w:val="both"/>
        <w:rPr>
          <w:rFonts w:ascii="Cambria" w:hAnsi="Cambria"/>
          <w:b/>
          <w:bCs/>
          <w:sz w:val="20"/>
          <w:szCs w:val="20"/>
        </w:rPr>
      </w:pPr>
      <w:r>
        <w:rPr>
          <w:rFonts w:ascii="Cambria" w:hAnsi="Cambria"/>
          <w:b/>
          <w:bCs/>
          <w:sz w:val="20"/>
          <w:szCs w:val="20"/>
        </w:rPr>
        <w:t xml:space="preserve">– </w:t>
      </w:r>
      <w:r w:rsidR="00AA5204" w:rsidRPr="0001080D">
        <w:rPr>
          <w:rFonts w:ascii="Cambria" w:hAnsi="Cambria"/>
          <w:b/>
          <w:bCs/>
          <w:sz w:val="20"/>
          <w:szCs w:val="20"/>
        </w:rPr>
        <w:t xml:space="preserve">подбор аналогов для </w:t>
      </w:r>
      <w:r w:rsidR="00AA5204">
        <w:rPr>
          <w:rFonts w:ascii="Cambria" w:hAnsi="Cambria"/>
          <w:b/>
          <w:bCs/>
          <w:sz w:val="20"/>
          <w:szCs w:val="20"/>
        </w:rPr>
        <w:t>производственного комплекса</w:t>
      </w:r>
      <w:r>
        <w:rPr>
          <w:rFonts w:ascii="Cambria" w:hAnsi="Cambria"/>
          <w:b/>
          <w:bCs/>
          <w:sz w:val="20"/>
          <w:szCs w:val="20"/>
        </w:rPr>
        <w:t>:</w:t>
      </w:r>
    </w:p>
    <w:p w:rsidR="00F854F5" w:rsidRDefault="00477537" w:rsidP="004F45FF">
      <w:pPr>
        <w:spacing w:before="120" w:after="120"/>
        <w:jc w:val="center"/>
        <w:rPr>
          <w:rFonts w:asciiTheme="majorHAnsi" w:eastAsiaTheme="minorHAnsi" w:hAnsiTheme="majorHAnsi" w:cstheme="minorBidi"/>
          <w:sz w:val="20"/>
          <w:szCs w:val="22"/>
          <w:lang w:eastAsia="en-US"/>
        </w:rPr>
      </w:pPr>
      <w:r>
        <w:rPr>
          <w:rFonts w:asciiTheme="majorHAnsi" w:eastAsiaTheme="minorHAnsi" w:hAnsiTheme="majorHAnsi" w:cstheme="minorBidi"/>
          <w:sz w:val="20"/>
          <w:szCs w:val="22"/>
          <w:lang w:eastAsia="en-US"/>
        </w:rPr>
        <w:t>Аналог 1:</w:t>
      </w:r>
    </w:p>
    <w:p w:rsidR="0001080D" w:rsidRDefault="0001080D" w:rsidP="0001080D">
      <w:pPr>
        <w:jc w:val="center"/>
      </w:pPr>
      <w:r>
        <w:rPr>
          <w:noProof/>
        </w:rPr>
        <w:drawing>
          <wp:inline distT="0" distB="0" distL="0" distR="0" wp14:anchorId="4C22BB7B" wp14:editId="6B7F3D37">
            <wp:extent cx="5945664" cy="382584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3938" b="5690"/>
                    <a:stretch/>
                  </pic:blipFill>
                  <pic:spPr bwMode="auto">
                    <a:xfrm>
                      <a:off x="0" y="0"/>
                      <a:ext cx="5940425" cy="3822478"/>
                    </a:xfrm>
                    <a:prstGeom prst="rect">
                      <a:avLst/>
                    </a:prstGeom>
                    <a:ln>
                      <a:noFill/>
                    </a:ln>
                    <a:extLst>
                      <a:ext uri="{53640926-AAD7-44D8-BBD7-CCE9431645EC}">
                        <a14:shadowObscured xmlns:a14="http://schemas.microsoft.com/office/drawing/2010/main"/>
                      </a:ext>
                    </a:extLst>
                  </pic:spPr>
                </pic:pic>
              </a:graphicData>
            </a:graphic>
          </wp:inline>
        </w:drawing>
      </w:r>
    </w:p>
    <w:p w:rsidR="0001080D" w:rsidRDefault="0001080D" w:rsidP="0001080D">
      <w:pPr>
        <w:jc w:val="center"/>
      </w:pPr>
    </w:p>
    <w:p w:rsidR="0001080D" w:rsidRDefault="0001080D" w:rsidP="0001080D">
      <w:pPr>
        <w:jc w:val="center"/>
      </w:pPr>
      <w:r>
        <w:rPr>
          <w:noProof/>
        </w:rPr>
        <w:drawing>
          <wp:inline distT="0" distB="0" distL="0" distR="0" wp14:anchorId="0B5C5787" wp14:editId="709682EC">
            <wp:extent cx="5945665" cy="376732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3938" b="5689"/>
                    <a:stretch/>
                  </pic:blipFill>
                  <pic:spPr bwMode="auto">
                    <a:xfrm>
                      <a:off x="0" y="0"/>
                      <a:ext cx="5940425" cy="3764008"/>
                    </a:xfrm>
                    <a:prstGeom prst="rect">
                      <a:avLst/>
                    </a:prstGeom>
                    <a:ln>
                      <a:noFill/>
                    </a:ln>
                    <a:extLst>
                      <a:ext uri="{53640926-AAD7-44D8-BBD7-CCE9431645EC}">
                        <a14:shadowObscured xmlns:a14="http://schemas.microsoft.com/office/drawing/2010/main"/>
                      </a:ext>
                    </a:extLst>
                  </pic:spPr>
                </pic:pic>
              </a:graphicData>
            </a:graphic>
          </wp:inline>
        </w:drawing>
      </w:r>
    </w:p>
    <w:p w:rsidR="00477537" w:rsidRDefault="00477537" w:rsidP="004F45FF">
      <w:pPr>
        <w:jc w:val="center"/>
        <w:rPr>
          <w:rFonts w:asciiTheme="majorHAnsi" w:eastAsiaTheme="minorHAnsi" w:hAnsiTheme="majorHAnsi" w:cstheme="minorBidi"/>
          <w:sz w:val="20"/>
          <w:szCs w:val="22"/>
          <w:lang w:eastAsia="en-US"/>
        </w:rPr>
      </w:pPr>
    </w:p>
    <w:p w:rsidR="00477537" w:rsidRDefault="00477537" w:rsidP="004F45FF">
      <w:pPr>
        <w:jc w:val="center"/>
        <w:rPr>
          <w:rFonts w:asciiTheme="majorHAnsi" w:eastAsiaTheme="minorHAnsi" w:hAnsiTheme="majorHAnsi" w:cstheme="minorBidi"/>
          <w:sz w:val="20"/>
          <w:szCs w:val="22"/>
          <w:lang w:eastAsia="en-US"/>
        </w:rPr>
      </w:pPr>
      <w:r w:rsidRPr="00477537">
        <w:rPr>
          <w:rFonts w:asciiTheme="majorHAnsi" w:eastAsiaTheme="minorHAnsi" w:hAnsiTheme="majorHAnsi" w:cstheme="minorBidi"/>
          <w:sz w:val="20"/>
          <w:szCs w:val="22"/>
          <w:lang w:eastAsia="en-US"/>
        </w:rPr>
        <w:t>Аналог 2</w:t>
      </w:r>
      <w:r>
        <w:rPr>
          <w:rFonts w:asciiTheme="majorHAnsi" w:eastAsiaTheme="minorHAnsi" w:hAnsiTheme="majorHAnsi" w:cstheme="minorBidi"/>
          <w:sz w:val="20"/>
          <w:szCs w:val="22"/>
          <w:lang w:eastAsia="en-US"/>
        </w:rPr>
        <w:t>:</w:t>
      </w:r>
    </w:p>
    <w:p w:rsidR="00F854F5" w:rsidRDefault="0001080D" w:rsidP="004F45FF">
      <w:pPr>
        <w:jc w:val="center"/>
      </w:pPr>
      <w:r>
        <w:rPr>
          <w:noProof/>
        </w:rPr>
        <w:drawing>
          <wp:inline distT="0" distB="0" distL="0" distR="0" wp14:anchorId="5929905E" wp14:editId="2A945113">
            <wp:extent cx="5939942" cy="267736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00">
                      <a:extLst>
                        <a:ext uri="{28A0092B-C50C-407E-A947-70E740481C1C}">
                          <a14:useLocalDpi xmlns:a14="http://schemas.microsoft.com/office/drawing/2010/main" val="0"/>
                        </a:ext>
                      </a:extLst>
                    </a:blip>
                    <a:srcRect t="3348" b="9204"/>
                    <a:stretch/>
                  </pic:blipFill>
                  <pic:spPr bwMode="auto">
                    <a:xfrm>
                      <a:off x="0" y="0"/>
                      <a:ext cx="5937885" cy="2676436"/>
                    </a:xfrm>
                    <a:prstGeom prst="rect">
                      <a:avLst/>
                    </a:prstGeom>
                    <a:noFill/>
                    <a:ln>
                      <a:noFill/>
                    </a:ln>
                    <a:extLst>
                      <a:ext uri="{53640926-AAD7-44D8-BBD7-CCE9431645EC}">
                        <a14:shadowObscured xmlns:a14="http://schemas.microsoft.com/office/drawing/2010/main"/>
                      </a:ext>
                    </a:extLst>
                  </pic:spPr>
                </pic:pic>
              </a:graphicData>
            </a:graphic>
          </wp:inline>
        </w:drawing>
      </w:r>
    </w:p>
    <w:p w:rsidR="004F45FF" w:rsidRDefault="004F45FF" w:rsidP="004F45FF">
      <w:pPr>
        <w:jc w:val="center"/>
        <w:rPr>
          <w:rFonts w:asciiTheme="majorHAnsi" w:hAnsiTheme="majorHAnsi"/>
          <w:sz w:val="20"/>
          <w:szCs w:val="20"/>
        </w:rPr>
      </w:pPr>
      <w:r w:rsidRPr="004F45FF">
        <w:rPr>
          <w:rFonts w:asciiTheme="majorHAnsi" w:hAnsiTheme="majorHAnsi"/>
          <w:sz w:val="20"/>
          <w:szCs w:val="20"/>
        </w:rPr>
        <w:t>Аналог 3:</w:t>
      </w:r>
    </w:p>
    <w:p w:rsidR="001957D5" w:rsidRPr="004F45FF" w:rsidRDefault="001957D5" w:rsidP="004F45FF">
      <w:pPr>
        <w:jc w:val="center"/>
        <w:rPr>
          <w:rFonts w:asciiTheme="majorHAnsi" w:hAnsiTheme="majorHAnsi"/>
          <w:sz w:val="20"/>
          <w:szCs w:val="20"/>
        </w:rPr>
      </w:pPr>
      <w:r>
        <w:rPr>
          <w:noProof/>
        </w:rPr>
        <w:drawing>
          <wp:inline distT="0" distB="0" distL="0" distR="0" wp14:anchorId="16F70119" wp14:editId="1CF1E298">
            <wp:extent cx="5945666" cy="280903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2845" b="5689"/>
                    <a:stretch/>
                  </pic:blipFill>
                  <pic:spPr bwMode="auto">
                    <a:xfrm>
                      <a:off x="0" y="0"/>
                      <a:ext cx="5940425" cy="2806561"/>
                    </a:xfrm>
                    <a:prstGeom prst="rect">
                      <a:avLst/>
                    </a:prstGeom>
                    <a:ln>
                      <a:noFill/>
                    </a:ln>
                    <a:extLst>
                      <a:ext uri="{53640926-AAD7-44D8-BBD7-CCE9431645EC}">
                        <a14:shadowObscured xmlns:a14="http://schemas.microsoft.com/office/drawing/2010/main"/>
                      </a:ext>
                    </a:extLst>
                  </pic:spPr>
                </pic:pic>
              </a:graphicData>
            </a:graphic>
          </wp:inline>
        </w:drawing>
      </w:r>
    </w:p>
    <w:p w:rsidR="001957D5" w:rsidRDefault="004F45FF" w:rsidP="004F45FF">
      <w:pPr>
        <w:jc w:val="center"/>
        <w:rPr>
          <w:rFonts w:asciiTheme="majorHAnsi" w:hAnsiTheme="majorHAnsi"/>
          <w:sz w:val="20"/>
          <w:szCs w:val="20"/>
        </w:rPr>
      </w:pPr>
      <w:r w:rsidRPr="004F45FF">
        <w:rPr>
          <w:rFonts w:asciiTheme="majorHAnsi" w:hAnsiTheme="majorHAnsi"/>
          <w:sz w:val="20"/>
          <w:szCs w:val="20"/>
        </w:rPr>
        <w:t>Аналог 4:</w:t>
      </w:r>
    </w:p>
    <w:p w:rsidR="004F45FF" w:rsidRPr="004F45FF" w:rsidRDefault="001957D5" w:rsidP="004F45FF">
      <w:pPr>
        <w:jc w:val="center"/>
        <w:rPr>
          <w:rFonts w:asciiTheme="majorHAnsi" w:hAnsiTheme="majorHAnsi"/>
          <w:sz w:val="20"/>
          <w:szCs w:val="20"/>
        </w:rPr>
      </w:pPr>
      <w:r>
        <w:rPr>
          <w:noProof/>
        </w:rPr>
        <w:drawing>
          <wp:inline distT="0" distB="0" distL="0" distR="0" wp14:anchorId="068E91C7" wp14:editId="267B2762">
            <wp:extent cx="5945664" cy="297728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4376" b="6565"/>
                    <a:stretch/>
                  </pic:blipFill>
                  <pic:spPr bwMode="auto">
                    <a:xfrm>
                      <a:off x="0" y="0"/>
                      <a:ext cx="5940425" cy="2974662"/>
                    </a:xfrm>
                    <a:prstGeom prst="rect">
                      <a:avLst/>
                    </a:prstGeom>
                    <a:ln>
                      <a:noFill/>
                    </a:ln>
                    <a:extLst>
                      <a:ext uri="{53640926-AAD7-44D8-BBD7-CCE9431645EC}">
                        <a14:shadowObscured xmlns:a14="http://schemas.microsoft.com/office/drawing/2010/main"/>
                      </a:ext>
                    </a:extLst>
                  </pic:spPr>
                </pic:pic>
              </a:graphicData>
            </a:graphic>
          </wp:inline>
        </w:drawing>
      </w:r>
      <w:r w:rsidR="004F45FF" w:rsidRPr="004F45FF">
        <w:rPr>
          <w:rFonts w:asciiTheme="majorHAnsi" w:hAnsiTheme="majorHAnsi"/>
          <w:sz w:val="20"/>
          <w:szCs w:val="20"/>
        </w:rPr>
        <w:t xml:space="preserve"> </w:t>
      </w:r>
      <w:r w:rsidR="00F854F5" w:rsidRPr="004F45FF">
        <w:rPr>
          <w:rFonts w:asciiTheme="majorHAnsi" w:hAnsiTheme="majorHAnsi"/>
          <w:sz w:val="20"/>
          <w:szCs w:val="20"/>
        </w:rPr>
        <w:br/>
      </w:r>
    </w:p>
    <w:p w:rsidR="00F854F5" w:rsidRDefault="00F854F5" w:rsidP="004F45FF">
      <w:pPr>
        <w:jc w:val="center"/>
      </w:pPr>
    </w:p>
    <w:p w:rsidR="001F27EA" w:rsidRDefault="001F27EA" w:rsidP="00091DE4">
      <w:pPr>
        <w:spacing w:before="120"/>
        <w:rPr>
          <w:rFonts w:asciiTheme="majorHAnsi" w:eastAsiaTheme="minorHAnsi" w:hAnsiTheme="majorHAnsi" w:cstheme="minorBidi"/>
          <w:b/>
          <w:sz w:val="20"/>
          <w:szCs w:val="23"/>
          <w:lang w:eastAsia="en-US"/>
        </w:rPr>
        <w:sectPr w:rsidR="001F27EA" w:rsidSect="009B6BA0">
          <w:pgSz w:w="11906" w:h="16838" w:code="9"/>
          <w:pgMar w:top="568" w:right="851" w:bottom="567"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1957D5" w:rsidRDefault="004F45FF" w:rsidP="001957D5">
      <w:pPr>
        <w:spacing w:before="120"/>
        <w:ind w:firstLine="709"/>
        <w:jc w:val="center"/>
        <w:rPr>
          <w:rFonts w:asciiTheme="majorHAnsi" w:hAnsiTheme="majorHAnsi"/>
          <w:sz w:val="20"/>
          <w:szCs w:val="20"/>
          <w:lang w:eastAsia="ar-SA"/>
        </w:rPr>
      </w:pPr>
      <w:r w:rsidRPr="001148A3">
        <w:rPr>
          <w:rFonts w:asciiTheme="majorHAnsi" w:eastAsiaTheme="minorHAnsi" w:hAnsiTheme="majorHAnsi" w:cstheme="minorBidi"/>
          <w:b/>
          <w:sz w:val="20"/>
          <w:szCs w:val="23"/>
          <w:lang w:eastAsia="en-US"/>
        </w:rPr>
        <w:lastRenderedPageBreak/>
        <w:t xml:space="preserve">Расчет рыночной стоимости </w:t>
      </w:r>
      <w:r>
        <w:rPr>
          <w:rFonts w:asciiTheme="majorHAnsi" w:eastAsiaTheme="minorHAnsi" w:hAnsiTheme="majorHAnsi" w:cstheme="minorBidi"/>
          <w:b/>
          <w:sz w:val="20"/>
          <w:szCs w:val="23"/>
          <w:lang w:eastAsia="en-US"/>
        </w:rPr>
        <w:t xml:space="preserve">единого объекта недвижимости </w:t>
      </w:r>
      <w:r w:rsidR="00C0773E">
        <w:rPr>
          <w:rFonts w:asciiTheme="majorHAnsi" w:eastAsiaTheme="minorHAnsi" w:hAnsiTheme="majorHAnsi" w:cstheme="minorBidi"/>
          <w:b/>
          <w:sz w:val="20"/>
          <w:szCs w:val="23"/>
          <w:lang w:eastAsia="en-US"/>
        </w:rPr>
        <w:t xml:space="preserve"> - производственного комплекса </w:t>
      </w:r>
      <w:r w:rsidRPr="001148A3">
        <w:rPr>
          <w:rFonts w:asciiTheme="majorHAnsi" w:eastAsiaTheme="minorHAnsi" w:hAnsiTheme="majorHAnsi" w:cstheme="minorBidi"/>
          <w:b/>
          <w:sz w:val="20"/>
          <w:szCs w:val="23"/>
          <w:lang w:eastAsia="en-US"/>
        </w:rPr>
        <w:t>сравнительным подходом:</w:t>
      </w:r>
      <w:r>
        <w:rPr>
          <w:rFonts w:asciiTheme="majorHAnsi" w:hAnsiTheme="majorHAnsi"/>
          <w:sz w:val="20"/>
          <w:szCs w:val="20"/>
          <w:lang w:eastAsia="ar-SA"/>
        </w:rPr>
        <w:t xml:space="preserve"> </w:t>
      </w:r>
    </w:p>
    <w:p w:rsidR="001957D5" w:rsidRDefault="001957D5" w:rsidP="001957D5">
      <w:pPr>
        <w:spacing w:before="120"/>
        <w:ind w:firstLine="709"/>
        <w:jc w:val="center"/>
        <w:rPr>
          <w:rFonts w:asciiTheme="majorHAnsi" w:hAnsiTheme="majorHAnsi"/>
          <w:sz w:val="20"/>
          <w:szCs w:val="20"/>
          <w:lang w:eastAsia="ar-SA"/>
        </w:rPr>
      </w:pPr>
    </w:p>
    <w:tbl>
      <w:tblPr>
        <w:tblW w:w="10242"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1721"/>
        <w:gridCol w:w="944"/>
        <w:gridCol w:w="1560"/>
        <w:gridCol w:w="1445"/>
        <w:gridCol w:w="1531"/>
        <w:gridCol w:w="1560"/>
        <w:gridCol w:w="1481"/>
      </w:tblGrid>
      <w:tr w:rsidR="001957D5" w:rsidRPr="001957D5" w:rsidTr="00C0773E">
        <w:trPr>
          <w:trHeight w:val="20"/>
        </w:trPr>
        <w:tc>
          <w:tcPr>
            <w:tcW w:w="1721" w:type="dxa"/>
            <w:tcBorders>
              <w:top w:val="double" w:sz="4" w:space="0" w:color="auto"/>
              <w:bottom w:val="single" w:sz="6" w:space="0" w:color="auto"/>
            </w:tcBorders>
            <w:shd w:val="clear" w:color="auto" w:fill="F2F2F2" w:themeFill="background1" w:themeFillShade="F2"/>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Характеристика</w:t>
            </w:r>
          </w:p>
        </w:tc>
        <w:tc>
          <w:tcPr>
            <w:tcW w:w="944" w:type="dxa"/>
            <w:tcBorders>
              <w:top w:val="double" w:sz="4" w:space="0" w:color="auto"/>
              <w:bottom w:val="single" w:sz="6" w:space="0" w:color="auto"/>
            </w:tcBorders>
            <w:shd w:val="clear" w:color="auto" w:fill="F2F2F2" w:themeFill="background1" w:themeFillShade="F2"/>
            <w:vAlign w:val="center"/>
            <w:hideMark/>
          </w:tcPr>
          <w:p w:rsidR="001957D5" w:rsidRPr="001957D5" w:rsidRDefault="001957D5" w:rsidP="001957D5">
            <w:pPr>
              <w:ind w:left="-89" w:right="-57"/>
              <w:jc w:val="center"/>
              <w:rPr>
                <w:rFonts w:asciiTheme="majorHAnsi" w:hAnsiTheme="majorHAnsi"/>
                <w:b/>
                <w:bCs/>
                <w:sz w:val="18"/>
                <w:szCs w:val="18"/>
              </w:rPr>
            </w:pPr>
            <w:r w:rsidRPr="001957D5">
              <w:rPr>
                <w:rFonts w:asciiTheme="majorHAnsi" w:hAnsiTheme="majorHAnsi"/>
                <w:b/>
                <w:bCs/>
                <w:sz w:val="18"/>
                <w:szCs w:val="18"/>
              </w:rPr>
              <w:t>Единица измер.</w:t>
            </w:r>
          </w:p>
        </w:tc>
        <w:tc>
          <w:tcPr>
            <w:tcW w:w="1560" w:type="dxa"/>
            <w:tcBorders>
              <w:top w:val="double" w:sz="4" w:space="0" w:color="auto"/>
              <w:bottom w:val="single" w:sz="6" w:space="0" w:color="auto"/>
            </w:tcBorders>
            <w:shd w:val="clear" w:color="auto" w:fill="F2F2F2" w:themeFill="background1" w:themeFillShade="F2"/>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Объект оценки</w:t>
            </w:r>
          </w:p>
        </w:tc>
        <w:tc>
          <w:tcPr>
            <w:tcW w:w="1445" w:type="dxa"/>
            <w:tcBorders>
              <w:top w:val="double" w:sz="4" w:space="0" w:color="auto"/>
              <w:bottom w:val="single" w:sz="6" w:space="0" w:color="auto"/>
            </w:tcBorders>
            <w:shd w:val="clear" w:color="auto" w:fill="F2F2F2" w:themeFill="background1" w:themeFillShade="F2"/>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Аналог № 1</w:t>
            </w:r>
          </w:p>
        </w:tc>
        <w:tc>
          <w:tcPr>
            <w:tcW w:w="1531" w:type="dxa"/>
            <w:tcBorders>
              <w:top w:val="double" w:sz="4" w:space="0" w:color="auto"/>
              <w:bottom w:val="single" w:sz="6" w:space="0" w:color="auto"/>
            </w:tcBorders>
            <w:shd w:val="clear" w:color="auto" w:fill="F2F2F2" w:themeFill="background1" w:themeFillShade="F2"/>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Аналог № 2</w:t>
            </w:r>
          </w:p>
        </w:tc>
        <w:tc>
          <w:tcPr>
            <w:tcW w:w="1560" w:type="dxa"/>
            <w:tcBorders>
              <w:top w:val="double" w:sz="4" w:space="0" w:color="auto"/>
              <w:bottom w:val="single" w:sz="6" w:space="0" w:color="auto"/>
            </w:tcBorders>
            <w:shd w:val="clear" w:color="auto" w:fill="F2F2F2" w:themeFill="background1" w:themeFillShade="F2"/>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Аналог № 3</w:t>
            </w:r>
          </w:p>
        </w:tc>
        <w:tc>
          <w:tcPr>
            <w:tcW w:w="1481" w:type="dxa"/>
            <w:tcBorders>
              <w:top w:val="double" w:sz="4" w:space="0" w:color="auto"/>
              <w:bottom w:val="single" w:sz="6" w:space="0" w:color="auto"/>
            </w:tcBorders>
            <w:shd w:val="clear" w:color="auto" w:fill="F2F2F2" w:themeFill="background1" w:themeFillShade="F2"/>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Аналог № 4</w:t>
            </w:r>
          </w:p>
        </w:tc>
      </w:tr>
      <w:tr w:rsidR="001957D5" w:rsidRPr="001957D5" w:rsidTr="00C0773E">
        <w:trPr>
          <w:trHeight w:val="20"/>
        </w:trPr>
        <w:tc>
          <w:tcPr>
            <w:tcW w:w="1721" w:type="dxa"/>
            <w:tcBorders>
              <w:top w:val="single" w:sz="6" w:space="0" w:color="auto"/>
            </w:tcBorders>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Дата продажи, предложения (оценки)</w:t>
            </w:r>
          </w:p>
        </w:tc>
        <w:tc>
          <w:tcPr>
            <w:tcW w:w="944" w:type="dxa"/>
            <w:tcBorders>
              <w:top w:val="single" w:sz="6" w:space="0" w:color="auto"/>
            </w:tcBorders>
            <w:shd w:val="clear" w:color="auto" w:fill="auto"/>
            <w:vAlign w:val="center"/>
            <w:hideMark/>
          </w:tcPr>
          <w:p w:rsidR="001957D5" w:rsidRPr="001957D5" w:rsidRDefault="001957D5" w:rsidP="001957D5">
            <w:pPr>
              <w:ind w:left="-89" w:right="-57"/>
              <w:jc w:val="center"/>
              <w:rPr>
                <w:rFonts w:asciiTheme="majorHAnsi" w:hAnsiTheme="majorHAnsi"/>
                <w:b/>
                <w:bCs/>
                <w:sz w:val="18"/>
                <w:szCs w:val="18"/>
              </w:rPr>
            </w:pPr>
          </w:p>
        </w:tc>
        <w:tc>
          <w:tcPr>
            <w:tcW w:w="1560" w:type="dxa"/>
            <w:tcBorders>
              <w:top w:val="single" w:sz="6" w:space="0" w:color="auto"/>
            </w:tcBorders>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Август 2017 г.</w:t>
            </w:r>
          </w:p>
        </w:tc>
        <w:tc>
          <w:tcPr>
            <w:tcW w:w="1445" w:type="dxa"/>
            <w:tcBorders>
              <w:top w:val="single" w:sz="6" w:space="0" w:color="auto"/>
            </w:tcBorders>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Август 2017 г.</w:t>
            </w:r>
          </w:p>
        </w:tc>
        <w:tc>
          <w:tcPr>
            <w:tcW w:w="1531" w:type="dxa"/>
            <w:tcBorders>
              <w:top w:val="single" w:sz="6" w:space="0" w:color="auto"/>
            </w:tcBorders>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Август 2017 г.</w:t>
            </w:r>
          </w:p>
        </w:tc>
        <w:tc>
          <w:tcPr>
            <w:tcW w:w="1560" w:type="dxa"/>
            <w:tcBorders>
              <w:top w:val="single" w:sz="6" w:space="0" w:color="auto"/>
            </w:tcBorders>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Август 2017 г.</w:t>
            </w:r>
          </w:p>
        </w:tc>
        <w:tc>
          <w:tcPr>
            <w:tcW w:w="1481" w:type="dxa"/>
            <w:tcBorders>
              <w:top w:val="single" w:sz="6" w:space="0" w:color="auto"/>
            </w:tcBorders>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Август 2017 г.</w:t>
            </w:r>
          </w:p>
        </w:tc>
      </w:tr>
      <w:tr w:rsidR="001957D5" w:rsidRPr="001957D5" w:rsidTr="00C0773E">
        <w:trPr>
          <w:trHeight w:val="20"/>
        </w:trPr>
        <w:tc>
          <w:tcPr>
            <w:tcW w:w="1721" w:type="dxa"/>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Местоположение аналога</w:t>
            </w:r>
          </w:p>
        </w:tc>
        <w:tc>
          <w:tcPr>
            <w:tcW w:w="944" w:type="dxa"/>
            <w:shd w:val="clear" w:color="auto" w:fill="auto"/>
            <w:vAlign w:val="center"/>
            <w:hideMark/>
          </w:tcPr>
          <w:p w:rsidR="001957D5" w:rsidRPr="001957D5" w:rsidRDefault="001957D5" w:rsidP="001957D5">
            <w:pPr>
              <w:ind w:left="-89" w:right="-57"/>
              <w:jc w:val="center"/>
              <w:rPr>
                <w:rFonts w:asciiTheme="majorHAnsi" w:hAnsiTheme="majorHAnsi"/>
                <w:b/>
                <w:bCs/>
                <w:sz w:val="18"/>
                <w:szCs w:val="18"/>
              </w:rPr>
            </w:pP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Белгородская обл. г. Белгород, ул Мирная, 21</w:t>
            </w: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ул Промышленная, Западный, Белгород, Белгородская область</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ул Производственная, Восточный, Белгород, Белгородская область</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Белгородская область, Белгород, (автомагистраль Белгород-Воронеж)</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Белгород, ул. Рабочая, 2д</w:t>
            </w:r>
          </w:p>
        </w:tc>
      </w:tr>
      <w:tr w:rsidR="001957D5" w:rsidRPr="001957D5" w:rsidTr="00C0773E">
        <w:trPr>
          <w:trHeight w:val="20"/>
        </w:trPr>
        <w:tc>
          <w:tcPr>
            <w:tcW w:w="1721" w:type="dxa"/>
            <w:shd w:val="clear" w:color="auto" w:fill="auto"/>
            <w:vAlign w:val="center"/>
            <w:hideMark/>
          </w:tcPr>
          <w:p w:rsidR="001957D5" w:rsidRPr="001957D5" w:rsidRDefault="001957D5" w:rsidP="001957D5">
            <w:pPr>
              <w:ind w:left="-89" w:right="-57"/>
              <w:jc w:val="center"/>
              <w:rPr>
                <w:rFonts w:asciiTheme="majorHAnsi" w:hAnsiTheme="majorHAnsi"/>
                <w:sz w:val="18"/>
                <w:szCs w:val="18"/>
              </w:rPr>
            </w:pPr>
            <w:r w:rsidRPr="001957D5">
              <w:rPr>
                <w:rFonts w:asciiTheme="majorHAnsi" w:hAnsiTheme="majorHAnsi"/>
                <w:sz w:val="18"/>
                <w:szCs w:val="18"/>
              </w:rPr>
              <w:t>Цена предложения</w:t>
            </w:r>
          </w:p>
        </w:tc>
        <w:tc>
          <w:tcPr>
            <w:tcW w:w="944" w:type="dxa"/>
            <w:shd w:val="clear" w:color="auto" w:fill="auto"/>
            <w:vAlign w:val="center"/>
            <w:hideMark/>
          </w:tcPr>
          <w:p w:rsidR="001957D5" w:rsidRPr="001957D5" w:rsidRDefault="001957D5" w:rsidP="001957D5">
            <w:pPr>
              <w:ind w:left="-89" w:right="-57"/>
              <w:jc w:val="center"/>
              <w:rPr>
                <w:rFonts w:asciiTheme="majorHAnsi" w:hAnsiTheme="majorHAnsi"/>
                <w:sz w:val="18"/>
                <w:szCs w:val="18"/>
              </w:rPr>
            </w:pPr>
            <w:r w:rsidRPr="001957D5">
              <w:rPr>
                <w:rFonts w:asciiTheme="majorHAnsi" w:hAnsiTheme="majorHAnsi"/>
                <w:sz w:val="18"/>
                <w:szCs w:val="18"/>
              </w:rPr>
              <w:t>руб.</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sz w:val="18"/>
                <w:szCs w:val="18"/>
              </w:rPr>
            </w:pPr>
            <w:r w:rsidRPr="001957D5">
              <w:rPr>
                <w:rFonts w:asciiTheme="majorHAnsi" w:hAnsiTheme="majorHAnsi"/>
                <w:sz w:val="18"/>
                <w:szCs w:val="18"/>
              </w:rPr>
              <w:t>35 000 000</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sz w:val="18"/>
                <w:szCs w:val="18"/>
              </w:rPr>
            </w:pPr>
            <w:r w:rsidRPr="001957D5">
              <w:rPr>
                <w:rFonts w:asciiTheme="majorHAnsi" w:hAnsiTheme="majorHAnsi"/>
                <w:sz w:val="18"/>
                <w:szCs w:val="18"/>
              </w:rPr>
              <w:t>35 000 000</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sz w:val="18"/>
                <w:szCs w:val="18"/>
              </w:rPr>
            </w:pPr>
            <w:r w:rsidRPr="001957D5">
              <w:rPr>
                <w:rFonts w:asciiTheme="majorHAnsi" w:hAnsiTheme="majorHAnsi"/>
                <w:sz w:val="18"/>
                <w:szCs w:val="18"/>
              </w:rPr>
              <w:t>100 000 000</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sz w:val="18"/>
                <w:szCs w:val="18"/>
              </w:rPr>
            </w:pPr>
            <w:r w:rsidRPr="001957D5">
              <w:rPr>
                <w:rFonts w:asciiTheme="majorHAnsi" w:hAnsiTheme="majorHAnsi"/>
                <w:sz w:val="18"/>
                <w:szCs w:val="18"/>
              </w:rPr>
              <w:t>39 000 000</w:t>
            </w:r>
          </w:p>
        </w:tc>
      </w:tr>
      <w:tr w:rsidR="001957D5" w:rsidRPr="001957D5" w:rsidTr="00C0773E">
        <w:trPr>
          <w:trHeight w:val="20"/>
        </w:trPr>
        <w:tc>
          <w:tcPr>
            <w:tcW w:w="1721" w:type="dxa"/>
            <w:shd w:val="clear" w:color="auto" w:fill="auto"/>
            <w:vAlign w:val="center"/>
            <w:hideMark/>
          </w:tcPr>
          <w:p w:rsidR="001957D5" w:rsidRPr="001957D5" w:rsidRDefault="001957D5" w:rsidP="001957D5">
            <w:pPr>
              <w:ind w:left="-89" w:right="-57"/>
              <w:jc w:val="center"/>
              <w:rPr>
                <w:rFonts w:asciiTheme="majorHAnsi" w:hAnsiTheme="majorHAnsi"/>
                <w:sz w:val="18"/>
                <w:szCs w:val="18"/>
              </w:rPr>
            </w:pPr>
            <w:r w:rsidRPr="001957D5">
              <w:rPr>
                <w:rFonts w:asciiTheme="majorHAnsi" w:hAnsiTheme="majorHAnsi"/>
                <w:sz w:val="18"/>
                <w:szCs w:val="18"/>
              </w:rPr>
              <w:t>Общая площадь</w:t>
            </w:r>
          </w:p>
        </w:tc>
        <w:tc>
          <w:tcPr>
            <w:tcW w:w="944" w:type="dxa"/>
            <w:shd w:val="clear" w:color="auto" w:fill="auto"/>
            <w:vAlign w:val="center"/>
            <w:hideMark/>
          </w:tcPr>
          <w:p w:rsidR="001957D5" w:rsidRPr="001957D5" w:rsidRDefault="001957D5" w:rsidP="001957D5">
            <w:pPr>
              <w:ind w:left="-89" w:right="-57"/>
              <w:jc w:val="center"/>
              <w:rPr>
                <w:rFonts w:asciiTheme="majorHAnsi" w:hAnsiTheme="majorHAnsi"/>
                <w:sz w:val="18"/>
                <w:szCs w:val="18"/>
              </w:rPr>
            </w:pPr>
            <w:r w:rsidRPr="001957D5">
              <w:rPr>
                <w:rFonts w:asciiTheme="majorHAnsi" w:hAnsiTheme="majorHAnsi"/>
                <w:sz w:val="18"/>
                <w:szCs w:val="18"/>
              </w:rPr>
              <w:t>кв.м.</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sz w:val="18"/>
                <w:szCs w:val="18"/>
              </w:rPr>
            </w:pPr>
            <w:r w:rsidRPr="001957D5">
              <w:rPr>
                <w:rFonts w:asciiTheme="majorHAnsi" w:hAnsiTheme="majorHAnsi"/>
                <w:sz w:val="18"/>
                <w:szCs w:val="18"/>
              </w:rPr>
              <w:t>8371,50</w:t>
            </w:r>
          </w:p>
        </w:tc>
        <w:tc>
          <w:tcPr>
            <w:tcW w:w="1445" w:type="dxa"/>
            <w:shd w:val="clear" w:color="auto" w:fill="auto"/>
            <w:noWrap/>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3000</w:t>
            </w:r>
          </w:p>
        </w:tc>
        <w:tc>
          <w:tcPr>
            <w:tcW w:w="1531" w:type="dxa"/>
            <w:shd w:val="clear" w:color="auto" w:fill="auto"/>
            <w:noWrap/>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2430</w:t>
            </w:r>
          </w:p>
        </w:tc>
        <w:tc>
          <w:tcPr>
            <w:tcW w:w="1560" w:type="dxa"/>
            <w:shd w:val="clear" w:color="auto" w:fill="auto"/>
            <w:noWrap/>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5520</w:t>
            </w:r>
          </w:p>
        </w:tc>
        <w:tc>
          <w:tcPr>
            <w:tcW w:w="1481" w:type="dxa"/>
            <w:shd w:val="clear" w:color="auto" w:fill="auto"/>
            <w:noWrap/>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2 600,00</w:t>
            </w:r>
          </w:p>
        </w:tc>
      </w:tr>
      <w:tr w:rsidR="001957D5" w:rsidRPr="001957D5" w:rsidTr="00C0773E">
        <w:trPr>
          <w:trHeight w:val="20"/>
        </w:trPr>
        <w:tc>
          <w:tcPr>
            <w:tcW w:w="1721" w:type="dxa"/>
            <w:shd w:val="clear" w:color="auto" w:fill="auto"/>
            <w:vAlign w:val="center"/>
            <w:hideMark/>
          </w:tcPr>
          <w:p w:rsidR="001957D5" w:rsidRPr="001957D5" w:rsidRDefault="001957D5" w:rsidP="001957D5">
            <w:pPr>
              <w:ind w:left="-89" w:right="-57"/>
              <w:jc w:val="center"/>
              <w:rPr>
                <w:rFonts w:asciiTheme="majorHAnsi" w:hAnsiTheme="majorHAnsi"/>
                <w:sz w:val="18"/>
                <w:szCs w:val="18"/>
              </w:rPr>
            </w:pPr>
            <w:r w:rsidRPr="001957D5">
              <w:rPr>
                <w:rFonts w:asciiTheme="majorHAnsi" w:hAnsiTheme="majorHAnsi"/>
                <w:sz w:val="18"/>
                <w:szCs w:val="18"/>
              </w:rPr>
              <w:t>Цена за ед. площади</w:t>
            </w:r>
          </w:p>
        </w:tc>
        <w:tc>
          <w:tcPr>
            <w:tcW w:w="944" w:type="dxa"/>
            <w:shd w:val="clear" w:color="auto" w:fill="auto"/>
            <w:vAlign w:val="center"/>
            <w:hideMark/>
          </w:tcPr>
          <w:p w:rsidR="001957D5" w:rsidRPr="001957D5" w:rsidRDefault="001957D5" w:rsidP="001957D5">
            <w:pPr>
              <w:ind w:left="-89" w:right="-57"/>
              <w:jc w:val="center"/>
              <w:rPr>
                <w:rFonts w:asciiTheme="majorHAnsi" w:hAnsiTheme="majorHAnsi"/>
                <w:sz w:val="18"/>
                <w:szCs w:val="18"/>
              </w:rPr>
            </w:pP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sz w:val="18"/>
                <w:szCs w:val="18"/>
              </w:rPr>
            </w:pPr>
            <w:r w:rsidRPr="001957D5">
              <w:rPr>
                <w:rFonts w:asciiTheme="majorHAnsi" w:hAnsiTheme="majorHAnsi"/>
                <w:sz w:val="18"/>
                <w:szCs w:val="18"/>
              </w:rPr>
              <w:t>х</w:t>
            </w:r>
          </w:p>
        </w:tc>
        <w:tc>
          <w:tcPr>
            <w:tcW w:w="1445" w:type="dxa"/>
            <w:shd w:val="clear" w:color="auto" w:fill="auto"/>
            <w:noWrap/>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11 667,00</w:t>
            </w:r>
          </w:p>
        </w:tc>
        <w:tc>
          <w:tcPr>
            <w:tcW w:w="1531" w:type="dxa"/>
            <w:shd w:val="clear" w:color="auto" w:fill="auto"/>
            <w:noWrap/>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14 403,00</w:t>
            </w:r>
          </w:p>
        </w:tc>
        <w:tc>
          <w:tcPr>
            <w:tcW w:w="1560" w:type="dxa"/>
            <w:shd w:val="clear" w:color="auto" w:fill="auto"/>
            <w:noWrap/>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18 116,00</w:t>
            </w:r>
          </w:p>
        </w:tc>
        <w:tc>
          <w:tcPr>
            <w:tcW w:w="1481" w:type="dxa"/>
            <w:shd w:val="clear" w:color="auto" w:fill="auto"/>
            <w:noWrap/>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15 000,00</w:t>
            </w:r>
          </w:p>
        </w:tc>
      </w:tr>
      <w:tr w:rsidR="001957D5" w:rsidRPr="001957D5" w:rsidTr="00C0773E">
        <w:trPr>
          <w:trHeight w:val="20"/>
        </w:trPr>
        <w:tc>
          <w:tcPr>
            <w:tcW w:w="1721" w:type="dxa"/>
            <w:shd w:val="clear" w:color="000000" w:fill="FFFFFF"/>
            <w:vAlign w:val="center"/>
            <w:hideMark/>
          </w:tcPr>
          <w:p w:rsidR="001957D5" w:rsidRPr="001957D5" w:rsidRDefault="001957D5" w:rsidP="001957D5">
            <w:pPr>
              <w:ind w:left="-89" w:right="-57"/>
              <w:jc w:val="center"/>
              <w:rPr>
                <w:rFonts w:asciiTheme="majorHAnsi" w:hAnsiTheme="majorHAnsi"/>
                <w:sz w:val="18"/>
                <w:szCs w:val="18"/>
              </w:rPr>
            </w:pPr>
            <w:r w:rsidRPr="001957D5">
              <w:rPr>
                <w:rFonts w:asciiTheme="majorHAnsi" w:hAnsiTheme="majorHAnsi"/>
                <w:sz w:val="18"/>
                <w:szCs w:val="18"/>
              </w:rPr>
              <w:t>Цена за ед. площади ОКС</w:t>
            </w:r>
          </w:p>
        </w:tc>
        <w:tc>
          <w:tcPr>
            <w:tcW w:w="944" w:type="dxa"/>
            <w:shd w:val="clear" w:color="000000" w:fill="FFFFFF"/>
            <w:vAlign w:val="center"/>
            <w:hideMark/>
          </w:tcPr>
          <w:p w:rsidR="001957D5" w:rsidRPr="001957D5" w:rsidRDefault="001957D5" w:rsidP="001957D5">
            <w:pPr>
              <w:ind w:left="-89" w:right="-57"/>
              <w:jc w:val="center"/>
              <w:rPr>
                <w:rFonts w:asciiTheme="majorHAnsi" w:hAnsiTheme="majorHAnsi"/>
                <w:sz w:val="18"/>
                <w:szCs w:val="18"/>
              </w:rPr>
            </w:pP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sz w:val="18"/>
                <w:szCs w:val="18"/>
              </w:rPr>
            </w:pPr>
          </w:p>
        </w:tc>
        <w:tc>
          <w:tcPr>
            <w:tcW w:w="1445" w:type="dxa"/>
            <w:shd w:val="clear" w:color="000000" w:fill="FFFFFF"/>
            <w:noWrap/>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11 667,00</w:t>
            </w:r>
          </w:p>
        </w:tc>
        <w:tc>
          <w:tcPr>
            <w:tcW w:w="1531" w:type="dxa"/>
            <w:shd w:val="clear" w:color="000000" w:fill="FFFFFF"/>
            <w:noWrap/>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14 403,00</w:t>
            </w:r>
          </w:p>
        </w:tc>
        <w:tc>
          <w:tcPr>
            <w:tcW w:w="1560" w:type="dxa"/>
            <w:shd w:val="clear" w:color="000000" w:fill="FFFFFF"/>
            <w:noWrap/>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18 116,00</w:t>
            </w:r>
          </w:p>
        </w:tc>
        <w:tc>
          <w:tcPr>
            <w:tcW w:w="1481" w:type="dxa"/>
            <w:shd w:val="clear" w:color="000000" w:fill="FFFFFF"/>
            <w:noWrap/>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15 000,00</w:t>
            </w:r>
          </w:p>
        </w:tc>
      </w:tr>
      <w:tr w:rsidR="001957D5" w:rsidRPr="001957D5" w:rsidTr="00C0773E">
        <w:trPr>
          <w:trHeight w:val="20"/>
        </w:trPr>
        <w:tc>
          <w:tcPr>
            <w:tcW w:w="2665" w:type="dxa"/>
            <w:gridSpan w:val="2"/>
            <w:shd w:val="clear" w:color="000000" w:fill="FFFFFF"/>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Корректировки по элементам сравнения</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r>
      <w:tr w:rsidR="001957D5" w:rsidRPr="001957D5" w:rsidTr="00C0773E">
        <w:trPr>
          <w:trHeight w:val="20"/>
        </w:trPr>
        <w:tc>
          <w:tcPr>
            <w:tcW w:w="2665" w:type="dxa"/>
            <w:gridSpan w:val="2"/>
            <w:shd w:val="clear" w:color="000000" w:fill="FFFFFF"/>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Передаваемые имущественные права</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Собственность</w:t>
            </w:r>
          </w:p>
        </w:tc>
        <w:tc>
          <w:tcPr>
            <w:tcW w:w="1445"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Собственность</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Собственность</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Собственность</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Собственность</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Корректировка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Скорректированная цена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11 667,00</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14 403,00</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18 116,00</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15 000,00</w:t>
            </w:r>
          </w:p>
        </w:tc>
      </w:tr>
      <w:tr w:rsidR="001957D5" w:rsidRPr="001957D5" w:rsidTr="00C0773E">
        <w:trPr>
          <w:trHeight w:val="20"/>
        </w:trPr>
        <w:tc>
          <w:tcPr>
            <w:tcW w:w="2665" w:type="dxa"/>
            <w:gridSpan w:val="2"/>
            <w:shd w:val="clear" w:color="000000" w:fill="FFFFFF"/>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Ограничения (обременения) этих прав</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Ипотека</w:t>
            </w:r>
          </w:p>
        </w:tc>
        <w:tc>
          <w:tcPr>
            <w:tcW w:w="1445"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Отсутствуют</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Отсутствуют</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Отсутствуют</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Отсутствуют</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Корректировка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Скорректированная цена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11 667,00</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14403,00</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18116,00</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15000,00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Условия финансирования сделки</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Типичные</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Типичные</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Типичные</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Типичные</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Коректировка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Скорректированная цена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11 667,00</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14403,00</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18116,00</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15000,00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Условия продажи</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Типичные</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Типичные</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Типичные</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Типичные</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Корректировка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Скорректированная цена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11 667,00</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14403,00</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18116,00</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15000,00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Условия рынка. Изменения цен за период между датами сделки и оценки</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r>
      <w:tr w:rsidR="001957D5" w:rsidRPr="001957D5" w:rsidTr="00C0773E">
        <w:trPr>
          <w:trHeight w:val="20"/>
        </w:trPr>
        <w:tc>
          <w:tcPr>
            <w:tcW w:w="2665" w:type="dxa"/>
            <w:gridSpan w:val="2"/>
            <w:shd w:val="clear" w:color="000000" w:fill="FFFFFF"/>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Дата продажи, предложения (оценки)</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Август 2017 г.</w:t>
            </w:r>
          </w:p>
        </w:tc>
        <w:tc>
          <w:tcPr>
            <w:tcW w:w="1445"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Август 2017 г.</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Август 2017 г.</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Август 2017 г.</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Август 2017 г.</w:t>
            </w:r>
          </w:p>
        </w:tc>
      </w:tr>
      <w:tr w:rsidR="001957D5" w:rsidRPr="001957D5" w:rsidTr="00C0773E">
        <w:trPr>
          <w:trHeight w:val="20"/>
        </w:trPr>
        <w:tc>
          <w:tcPr>
            <w:tcW w:w="2665" w:type="dxa"/>
            <w:gridSpan w:val="2"/>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Корректировка</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Скорректированная цена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11667,00</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14 403,00</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18 116,00</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15 000,00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Скидка к ценам предложений</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Корректировка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18%</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18%</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18%</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18%</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Скорректированная цена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9567,00</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11810,00</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14855,00</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12300,00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Вид использования</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Производственно-складской комплекс</w:t>
            </w: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Производственно-складское</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Производственно-складское</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Производственно-складское</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Производственно-складское</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Корректировка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Скорректированная цена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9567,00</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11810,00</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14855,00</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12300,00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Местоположение объекта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Белгородская обл. г. Белгород, ул Мирная, 21</w:t>
            </w: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ул Промышленная, Западный, Белгород, Белгородская область</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ул Производственная, Восточный, Белгород, Белгородская область</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Белгородская область, Белгород, (автомагистраль Белгород-Воронеж)</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Белгород, ул. Рабочая, 2д</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Среднее значение коэффициента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Корректировка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Скорректированная цена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9567,00</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11810,00</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14855,00</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12300,00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Физические характеристики объекта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Площадь</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8 371,50</w:t>
            </w: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3 000,00</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2 430,00</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5 520,00</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2 600,00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lastRenderedPageBreak/>
              <w:t>Корректировка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Скорректированная цена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9567,00</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11810,00</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14855,00</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12300,00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Коммуникации</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Коммуникации имеются</w:t>
            </w:r>
          </w:p>
        </w:tc>
        <w:tc>
          <w:tcPr>
            <w:tcW w:w="1445"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Коммуникации имеются</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Коммуникации имеются</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Коммуникации имеются</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Коммуникации имеются</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Корректировка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Скорректированная цена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9567,00</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11810,00</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14855,00</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12300,00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Наличие ж/д ветки</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Отсутствует</w:t>
            </w:r>
          </w:p>
        </w:tc>
        <w:tc>
          <w:tcPr>
            <w:tcW w:w="1445"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Отсутствует</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Отсутствует</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Имеется</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Отсутствует</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Корректировка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0,87</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Скорректированная цена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9567,00</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11810,00</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12923,85</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12300,00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Техническое состояние</w:t>
            </w:r>
          </w:p>
        </w:tc>
        <w:tc>
          <w:tcPr>
            <w:tcW w:w="1560" w:type="dxa"/>
            <w:shd w:val="clear" w:color="auto" w:fill="auto"/>
            <w:vAlign w:val="center"/>
            <w:hideMark/>
          </w:tcPr>
          <w:p w:rsidR="001957D5" w:rsidRPr="001957D5" w:rsidRDefault="00AA5204" w:rsidP="001957D5">
            <w:pPr>
              <w:ind w:left="-89" w:right="-57"/>
              <w:jc w:val="center"/>
              <w:rPr>
                <w:rFonts w:asciiTheme="majorHAnsi" w:hAnsiTheme="majorHAnsi"/>
                <w:color w:val="000000"/>
                <w:sz w:val="18"/>
                <w:szCs w:val="18"/>
              </w:rPr>
            </w:pPr>
            <w:r>
              <w:rPr>
                <w:rFonts w:asciiTheme="majorHAnsi" w:hAnsiTheme="majorHAnsi"/>
                <w:color w:val="000000"/>
                <w:sz w:val="18"/>
                <w:szCs w:val="18"/>
              </w:rPr>
              <w:t>Неу</w:t>
            </w:r>
            <w:r w:rsidR="001957D5" w:rsidRPr="001957D5">
              <w:rPr>
                <w:rFonts w:asciiTheme="majorHAnsi" w:hAnsiTheme="majorHAnsi"/>
                <w:color w:val="000000"/>
                <w:sz w:val="18"/>
                <w:szCs w:val="18"/>
              </w:rPr>
              <w:t>довлетворительное</w:t>
            </w: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Сведения отсутствуют</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Сведения отсутствуют</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Сведения отсутствуют</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Сведения отсутствуют</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Корректировка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r>
      <w:tr w:rsidR="001957D5" w:rsidRPr="001957D5" w:rsidTr="00C0773E">
        <w:trPr>
          <w:trHeight w:val="20"/>
        </w:trPr>
        <w:tc>
          <w:tcPr>
            <w:tcW w:w="172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944"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53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481"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Скорретированная цена</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9567,00</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11810,00</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12923,85</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12300,00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Экономические характеристики</w:t>
            </w:r>
          </w:p>
        </w:tc>
        <w:tc>
          <w:tcPr>
            <w:tcW w:w="1560" w:type="dxa"/>
            <w:shd w:val="clear" w:color="auto" w:fill="auto"/>
            <w:vAlign w:val="bottom"/>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000000" w:fill="FFFFFF"/>
            <w:vAlign w:val="bottom"/>
            <w:hideMark/>
          </w:tcPr>
          <w:p w:rsidR="001957D5" w:rsidRPr="001957D5" w:rsidRDefault="001957D5" w:rsidP="001957D5">
            <w:pPr>
              <w:ind w:left="-89" w:right="-57"/>
              <w:jc w:val="center"/>
              <w:rPr>
                <w:rFonts w:asciiTheme="majorHAnsi" w:hAnsiTheme="majorHAnsi"/>
                <w:color w:val="000000"/>
                <w:sz w:val="18"/>
                <w:szCs w:val="18"/>
              </w:rPr>
            </w:pPr>
          </w:p>
        </w:tc>
        <w:tc>
          <w:tcPr>
            <w:tcW w:w="1531" w:type="dxa"/>
            <w:shd w:val="clear" w:color="000000" w:fill="FFFFFF"/>
            <w:vAlign w:val="bottom"/>
            <w:hideMark/>
          </w:tcPr>
          <w:p w:rsidR="001957D5" w:rsidRPr="001957D5" w:rsidRDefault="001957D5" w:rsidP="001957D5">
            <w:pPr>
              <w:ind w:left="-89" w:right="-57"/>
              <w:jc w:val="center"/>
              <w:rPr>
                <w:rFonts w:asciiTheme="majorHAnsi" w:hAnsiTheme="majorHAnsi"/>
                <w:color w:val="000000"/>
                <w:sz w:val="18"/>
                <w:szCs w:val="18"/>
              </w:rPr>
            </w:pPr>
          </w:p>
        </w:tc>
        <w:tc>
          <w:tcPr>
            <w:tcW w:w="1560" w:type="dxa"/>
            <w:shd w:val="clear" w:color="000000" w:fill="FFFFFF"/>
            <w:vAlign w:val="bottom"/>
            <w:hideMark/>
          </w:tcPr>
          <w:p w:rsidR="001957D5" w:rsidRPr="001957D5" w:rsidRDefault="001957D5" w:rsidP="001957D5">
            <w:pPr>
              <w:ind w:left="-89" w:right="-57"/>
              <w:jc w:val="center"/>
              <w:rPr>
                <w:rFonts w:asciiTheme="majorHAnsi" w:hAnsiTheme="majorHAnsi"/>
                <w:color w:val="000000"/>
                <w:sz w:val="18"/>
                <w:szCs w:val="18"/>
              </w:rPr>
            </w:pPr>
          </w:p>
        </w:tc>
        <w:tc>
          <w:tcPr>
            <w:tcW w:w="1481" w:type="dxa"/>
            <w:shd w:val="clear" w:color="000000" w:fill="FFFFFF"/>
            <w:vAlign w:val="bottom"/>
            <w:hideMark/>
          </w:tcPr>
          <w:p w:rsidR="001957D5" w:rsidRPr="001957D5" w:rsidRDefault="001957D5" w:rsidP="001957D5">
            <w:pPr>
              <w:ind w:left="-89" w:right="-57"/>
              <w:jc w:val="center"/>
              <w:rPr>
                <w:rFonts w:asciiTheme="majorHAnsi" w:hAnsiTheme="majorHAnsi"/>
                <w:color w:val="000000"/>
                <w:sz w:val="18"/>
                <w:szCs w:val="18"/>
              </w:rPr>
            </w:pP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Уровень операционных расход</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Типичный</w:t>
            </w:r>
          </w:p>
        </w:tc>
        <w:tc>
          <w:tcPr>
            <w:tcW w:w="1445"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Типичный</w:t>
            </w: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Типичный</w:t>
            </w: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Типичный</w:t>
            </w: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Типичный</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Условия аренды</w:t>
            </w:r>
          </w:p>
        </w:tc>
        <w:tc>
          <w:tcPr>
            <w:tcW w:w="1560" w:type="dxa"/>
            <w:vMerge w:val="restart"/>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Не используется на правах аренды</w:t>
            </w:r>
          </w:p>
        </w:tc>
        <w:tc>
          <w:tcPr>
            <w:tcW w:w="6017" w:type="dxa"/>
            <w:gridSpan w:val="4"/>
            <w:vMerge w:val="restart"/>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Сведения отсутствуют. Не оказывают существенного влияния на результаты оценки.</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Состав арендаторов</w:t>
            </w:r>
          </w:p>
        </w:tc>
        <w:tc>
          <w:tcPr>
            <w:tcW w:w="1560" w:type="dxa"/>
            <w:vMerge/>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6017" w:type="dxa"/>
            <w:gridSpan w:val="4"/>
            <w:vMerge/>
            <w:vAlign w:val="center"/>
            <w:hideMark/>
          </w:tcPr>
          <w:p w:rsidR="001957D5" w:rsidRPr="001957D5" w:rsidRDefault="001957D5" w:rsidP="001957D5">
            <w:pPr>
              <w:ind w:left="-89" w:right="-57"/>
              <w:jc w:val="center"/>
              <w:rPr>
                <w:rFonts w:asciiTheme="majorHAnsi" w:hAnsiTheme="majorHAnsi"/>
                <w:color w:val="000000"/>
                <w:sz w:val="18"/>
                <w:szCs w:val="18"/>
              </w:rPr>
            </w:pP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Иные характеристики</w:t>
            </w:r>
          </w:p>
        </w:tc>
        <w:tc>
          <w:tcPr>
            <w:tcW w:w="1560" w:type="dxa"/>
            <w:shd w:val="clear" w:color="auto" w:fill="auto"/>
            <w:vAlign w:val="bottom"/>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Отсутствуют</w:t>
            </w:r>
          </w:p>
        </w:tc>
        <w:tc>
          <w:tcPr>
            <w:tcW w:w="6017" w:type="dxa"/>
            <w:gridSpan w:val="4"/>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Сведения о других характеристиках не используются.</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Корректировка</w:t>
            </w:r>
          </w:p>
        </w:tc>
        <w:tc>
          <w:tcPr>
            <w:tcW w:w="1560" w:type="dxa"/>
            <w:shd w:val="clear" w:color="auto" w:fill="auto"/>
            <w:vAlign w:val="bottom"/>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000000" w:fill="FFFFFF"/>
            <w:vAlign w:val="bottom"/>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531" w:type="dxa"/>
            <w:shd w:val="clear" w:color="000000" w:fill="FFFFFF"/>
            <w:vAlign w:val="bottom"/>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560" w:type="dxa"/>
            <w:shd w:val="clear" w:color="000000" w:fill="FFFFFF"/>
            <w:vAlign w:val="bottom"/>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c>
          <w:tcPr>
            <w:tcW w:w="1481" w:type="dxa"/>
            <w:shd w:val="clear" w:color="000000" w:fill="FFFFFF"/>
            <w:vAlign w:val="bottom"/>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Скорректированная цена</w:t>
            </w:r>
          </w:p>
        </w:tc>
        <w:tc>
          <w:tcPr>
            <w:tcW w:w="1560" w:type="dxa"/>
            <w:shd w:val="clear" w:color="auto" w:fill="auto"/>
            <w:vAlign w:val="bottom"/>
            <w:hideMark/>
          </w:tcPr>
          <w:p w:rsidR="001957D5" w:rsidRPr="001957D5" w:rsidRDefault="001957D5" w:rsidP="001957D5">
            <w:pPr>
              <w:ind w:left="-89" w:right="-57"/>
              <w:jc w:val="center"/>
              <w:rPr>
                <w:rFonts w:asciiTheme="majorHAnsi" w:hAnsiTheme="majorHAnsi"/>
                <w:color w:val="000000"/>
                <w:sz w:val="18"/>
                <w:szCs w:val="18"/>
              </w:rPr>
            </w:pPr>
          </w:p>
        </w:tc>
        <w:tc>
          <w:tcPr>
            <w:tcW w:w="1445" w:type="dxa"/>
            <w:shd w:val="clear" w:color="000000" w:fill="FFFFFF"/>
            <w:vAlign w:val="bottom"/>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9567,00</w:t>
            </w:r>
          </w:p>
        </w:tc>
        <w:tc>
          <w:tcPr>
            <w:tcW w:w="1531" w:type="dxa"/>
            <w:shd w:val="clear" w:color="000000" w:fill="FFFFFF"/>
            <w:vAlign w:val="bottom"/>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11810,00</w:t>
            </w:r>
          </w:p>
        </w:tc>
        <w:tc>
          <w:tcPr>
            <w:tcW w:w="1560" w:type="dxa"/>
            <w:shd w:val="clear" w:color="000000" w:fill="FFFFFF"/>
            <w:vAlign w:val="bottom"/>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12923,85</w:t>
            </w:r>
          </w:p>
        </w:tc>
        <w:tc>
          <w:tcPr>
            <w:tcW w:w="1481" w:type="dxa"/>
            <w:shd w:val="clear" w:color="000000" w:fill="FFFFFF"/>
            <w:vAlign w:val="bottom"/>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12300,00</w:t>
            </w: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Цена  за ед.  общей площади, руб.</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11 650,21</w:t>
            </w: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r>
      <w:tr w:rsidR="001957D5" w:rsidRPr="001957D5" w:rsidTr="00C0773E">
        <w:trPr>
          <w:trHeight w:val="20"/>
        </w:trPr>
        <w:tc>
          <w:tcPr>
            <w:tcW w:w="2665" w:type="dxa"/>
            <w:gridSpan w:val="2"/>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r w:rsidRPr="001957D5">
              <w:rPr>
                <w:rFonts w:asciiTheme="majorHAnsi" w:hAnsiTheme="majorHAnsi"/>
                <w:color w:val="000000"/>
                <w:sz w:val="18"/>
                <w:szCs w:val="18"/>
              </w:rPr>
              <w:t>Стоимость ОКС, руб.</w:t>
            </w:r>
          </w:p>
        </w:tc>
        <w:tc>
          <w:tcPr>
            <w:tcW w:w="1560" w:type="dxa"/>
            <w:shd w:val="clear" w:color="auto" w:fill="auto"/>
            <w:vAlign w:val="center"/>
            <w:hideMark/>
          </w:tcPr>
          <w:p w:rsidR="001957D5" w:rsidRPr="001957D5" w:rsidRDefault="001957D5" w:rsidP="001957D5">
            <w:pPr>
              <w:ind w:left="-89" w:right="-57"/>
              <w:jc w:val="center"/>
              <w:rPr>
                <w:rFonts w:asciiTheme="majorHAnsi" w:hAnsiTheme="majorHAnsi"/>
                <w:b/>
                <w:bCs/>
                <w:color w:val="000000"/>
                <w:sz w:val="18"/>
                <w:szCs w:val="18"/>
              </w:rPr>
            </w:pPr>
            <w:r w:rsidRPr="001957D5">
              <w:rPr>
                <w:rFonts w:asciiTheme="majorHAnsi" w:hAnsiTheme="majorHAnsi"/>
                <w:b/>
                <w:bCs/>
                <w:color w:val="000000"/>
                <w:sz w:val="18"/>
                <w:szCs w:val="18"/>
              </w:rPr>
              <w:t>97 529 754,0</w:t>
            </w:r>
          </w:p>
        </w:tc>
        <w:tc>
          <w:tcPr>
            <w:tcW w:w="1445" w:type="dxa"/>
            <w:shd w:val="clear" w:color="auto" w:fill="auto"/>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53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560"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c>
          <w:tcPr>
            <w:tcW w:w="1481" w:type="dxa"/>
            <w:shd w:val="clear" w:color="000000" w:fill="FFFFFF"/>
            <w:vAlign w:val="center"/>
            <w:hideMark/>
          </w:tcPr>
          <w:p w:rsidR="001957D5" w:rsidRPr="001957D5" w:rsidRDefault="001957D5" w:rsidP="001957D5">
            <w:pPr>
              <w:ind w:left="-89" w:right="-57"/>
              <w:jc w:val="center"/>
              <w:rPr>
                <w:rFonts w:asciiTheme="majorHAnsi" w:hAnsiTheme="majorHAnsi"/>
                <w:color w:val="000000"/>
                <w:sz w:val="18"/>
                <w:szCs w:val="18"/>
              </w:rPr>
            </w:pPr>
          </w:p>
        </w:tc>
      </w:tr>
    </w:tbl>
    <w:p w:rsidR="00C0773E" w:rsidRDefault="00C0773E" w:rsidP="00091DE4">
      <w:pPr>
        <w:tabs>
          <w:tab w:val="center" w:pos="4677"/>
          <w:tab w:val="right" w:pos="9355"/>
        </w:tabs>
        <w:spacing w:before="120" w:after="120" w:line="276" w:lineRule="auto"/>
        <w:jc w:val="center"/>
        <w:rPr>
          <w:rFonts w:asciiTheme="majorHAnsi" w:eastAsiaTheme="minorHAnsi" w:hAnsiTheme="majorHAnsi" w:cstheme="minorBidi"/>
          <w:b/>
          <w:sz w:val="20"/>
          <w:szCs w:val="23"/>
          <w:lang w:eastAsia="en-US"/>
        </w:rPr>
      </w:pPr>
    </w:p>
    <w:p w:rsidR="00091DE4" w:rsidRPr="00D461C3" w:rsidRDefault="00091DE4" w:rsidP="00091DE4">
      <w:pPr>
        <w:tabs>
          <w:tab w:val="center" w:pos="4677"/>
          <w:tab w:val="right" w:pos="9355"/>
        </w:tabs>
        <w:spacing w:before="120" w:after="120" w:line="276" w:lineRule="auto"/>
        <w:jc w:val="center"/>
        <w:rPr>
          <w:rFonts w:asciiTheme="majorHAnsi" w:eastAsiaTheme="minorHAnsi" w:hAnsiTheme="majorHAnsi" w:cstheme="minorBidi"/>
          <w:b/>
          <w:sz w:val="20"/>
          <w:szCs w:val="23"/>
          <w:lang w:eastAsia="en-US"/>
        </w:rPr>
      </w:pPr>
      <w:r w:rsidRPr="00D461C3">
        <w:rPr>
          <w:rFonts w:asciiTheme="majorHAnsi" w:eastAsiaTheme="minorHAnsi" w:hAnsiTheme="majorHAnsi" w:cstheme="minorBidi"/>
          <w:b/>
          <w:sz w:val="20"/>
          <w:szCs w:val="23"/>
          <w:lang w:eastAsia="en-US"/>
        </w:rPr>
        <w:t>Использованные корректировки:</w:t>
      </w:r>
    </w:p>
    <w:p w:rsid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ПЕРЕДАВАЕМЫЕ ИМУЩЕСТВЕННЫЕ ПРАВА. </w:t>
      </w:r>
      <w:r w:rsidRPr="00091DE4">
        <w:rPr>
          <w:rFonts w:ascii="Cambria" w:eastAsiaTheme="minorHAnsi" w:hAnsi="Cambria" w:cs="Cambria"/>
          <w:color w:val="000000"/>
          <w:sz w:val="20"/>
          <w:szCs w:val="20"/>
          <w:lang w:eastAsia="en-US"/>
        </w:rPr>
        <w:t>В связи с тем, что оцениваемый объект и объекты-аналоги находятся в собственности, корректировка не вводилась.</w:t>
      </w:r>
    </w:p>
    <w:p w:rsidR="00091DE4" w:rsidRP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color w:val="000000"/>
          <w:sz w:val="20"/>
          <w:szCs w:val="20"/>
          <w:lang w:eastAsia="en-US"/>
        </w:rPr>
        <w:t xml:space="preserve"> </w:t>
      </w:r>
    </w:p>
    <w:p w:rsid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ОГРАНИЧЕНИЯ ЭТИХ ПРАВ. </w:t>
      </w:r>
      <w:r w:rsidRPr="00091DE4">
        <w:rPr>
          <w:rFonts w:ascii="Cambria" w:eastAsiaTheme="minorHAnsi" w:hAnsi="Cambria" w:cs="Cambria"/>
          <w:color w:val="000000"/>
          <w:sz w:val="20"/>
          <w:szCs w:val="20"/>
          <w:lang w:eastAsia="en-US"/>
        </w:rPr>
        <w:t xml:space="preserve">Корректировка отсутствует. </w:t>
      </w:r>
    </w:p>
    <w:p w:rsidR="00091DE4" w:rsidRP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p>
    <w:p w:rsid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УСЛОВИЯ ФИНАНСИРОВАНИЯ. </w:t>
      </w:r>
      <w:r w:rsidRPr="00091DE4">
        <w:rPr>
          <w:rFonts w:ascii="Cambria" w:eastAsiaTheme="minorHAnsi" w:hAnsi="Cambria" w:cs="Cambria"/>
          <w:color w:val="000000"/>
          <w:sz w:val="20"/>
          <w:szCs w:val="20"/>
          <w:lang w:eastAsia="en-US"/>
        </w:rPr>
        <w:t xml:space="preserve">Предусматривается оплата всех объектов денежными средствами покупателей. Корректировка отсутствует. </w:t>
      </w:r>
    </w:p>
    <w:p w:rsidR="00091DE4" w:rsidRP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p>
    <w:p w:rsid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УСЛОВИЯ ПРОДАЖИ </w:t>
      </w:r>
      <w:r w:rsidRPr="00091DE4">
        <w:rPr>
          <w:rFonts w:ascii="Cambria" w:eastAsiaTheme="minorHAnsi" w:hAnsi="Cambria" w:cs="Cambria"/>
          <w:color w:val="000000"/>
          <w:sz w:val="20"/>
          <w:szCs w:val="20"/>
          <w:lang w:eastAsia="en-US"/>
        </w:rPr>
        <w:t>типичные – корректировка отсутствует.</w:t>
      </w:r>
    </w:p>
    <w:p w:rsidR="00091DE4" w:rsidRP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p>
    <w:p w:rsidR="00091DE4" w:rsidRP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УСЛОВИЯ РЫНКА: </w:t>
      </w:r>
    </w:p>
    <w:p w:rsidR="00091DE4" w:rsidRP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ИЗМЕНЕНИЕ ЦЕН ЗА ПЕРИОД МЕЖДУ ДАТАМИ СДЕЛКИ И ОЦЕНКИ. </w:t>
      </w:r>
    </w:p>
    <w:p w:rsidR="00091DE4" w:rsidRP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color w:val="000000"/>
          <w:sz w:val="20"/>
          <w:szCs w:val="20"/>
          <w:lang w:eastAsia="en-US"/>
        </w:rPr>
        <w:t xml:space="preserve">Ситуация на рынке может измениться со времени продажи сравнимого объекта на дату проведения оценки оцениваемого объекта. Причиной произошедших изменений могут быть такие факторы, как инфляция, изменившийся спрос и изменившееся предложение. Само по себе время не является поводом для внесения поправок, корректировка оправдывается изменениями экономической ситуации за рассматриваемый промежуток времени. </w:t>
      </w:r>
    </w:p>
    <w:p w:rsid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color w:val="000000"/>
          <w:sz w:val="20"/>
          <w:szCs w:val="20"/>
          <w:lang w:eastAsia="en-US"/>
        </w:rPr>
        <w:t xml:space="preserve">Корректировка не вводилась. </w:t>
      </w:r>
    </w:p>
    <w:p w:rsidR="00091DE4" w:rsidRP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p>
    <w:p w:rsidR="00C0773E" w:rsidRPr="0016120D" w:rsidRDefault="00091DE4" w:rsidP="00C0773E">
      <w:pPr>
        <w:autoSpaceDE w:val="0"/>
        <w:autoSpaceDN w:val="0"/>
        <w:adjustRightInd w:val="0"/>
        <w:spacing w:after="120" w:line="240" w:lineRule="exact"/>
        <w:ind w:firstLine="709"/>
        <w:jc w:val="both"/>
        <w:rPr>
          <w:rFonts w:asciiTheme="majorHAnsi" w:eastAsia="Arial Unicode MS" w:hAnsiTheme="majorHAnsi" w:cstheme="minorBidi"/>
          <w:b/>
          <w:sz w:val="20"/>
          <w:szCs w:val="23"/>
          <w:lang w:eastAsia="en-US"/>
        </w:rPr>
      </w:pPr>
      <w:r w:rsidRPr="00091DE4">
        <w:rPr>
          <w:rFonts w:ascii="Cambria" w:eastAsiaTheme="minorHAnsi" w:hAnsi="Cambria" w:cs="Cambria"/>
          <w:b/>
          <w:bCs/>
          <w:color w:val="000000"/>
          <w:sz w:val="20"/>
          <w:szCs w:val="20"/>
          <w:lang w:eastAsia="en-US"/>
        </w:rPr>
        <w:t xml:space="preserve">СКИДКИ К ЦЕНАМ ПРЕДЛОЖЕНИЙ. Корректировка рассчитана </w:t>
      </w:r>
      <w:r w:rsidR="00C0773E" w:rsidRPr="001148A3">
        <w:rPr>
          <w:rFonts w:asciiTheme="majorHAnsi" w:eastAsiaTheme="minorHAnsi" w:hAnsiTheme="majorHAnsi" w:cstheme="minorBidi"/>
          <w:sz w:val="20"/>
          <w:szCs w:val="23"/>
          <w:lang w:eastAsia="en-US"/>
        </w:rPr>
        <w:t>Подобранные для объекта оценки аналоги –  выставленные с целью публичной оферты цены предложения. Как правило, продавец на рынке недвижимости и арендных ставок недвижимости, готов идти на уступки по цене, и реальная сделка происходит ниже цены предложения. Расчетным путем поправку на назначение цены не произвести.</w:t>
      </w:r>
    </w:p>
    <w:p w:rsidR="00C0773E" w:rsidRPr="001148A3" w:rsidRDefault="00C0773E" w:rsidP="00C0773E">
      <w:pPr>
        <w:ind w:firstLine="709"/>
        <w:jc w:val="both"/>
        <w:rPr>
          <w:rFonts w:asciiTheme="majorHAnsi" w:eastAsiaTheme="minorHAnsi" w:hAnsiTheme="majorHAnsi" w:cstheme="minorBidi"/>
          <w:sz w:val="20"/>
          <w:szCs w:val="23"/>
          <w:lang w:eastAsia="en-US"/>
        </w:rPr>
      </w:pPr>
      <w:r w:rsidRPr="001148A3">
        <w:rPr>
          <w:rFonts w:asciiTheme="majorHAnsi" w:eastAsiaTheme="minorHAnsi" w:hAnsiTheme="majorHAnsi" w:cstheme="minorBidi"/>
          <w:sz w:val="20"/>
          <w:szCs w:val="23"/>
          <w:lang w:eastAsia="en-US"/>
        </w:rPr>
        <w:t xml:space="preserve">Информация о ценах сделок с объектами недвижимости, о реальных, соответствующим рыночным условиям, в основном является закрытой и не разглашается третьим лицам. Как правило, информация об этих сделках недоступна, поэтому для проведения сравнительного анализа оценщик использует цены предложения на сравниваемые объекты и, существующие на рынке на дату оценки  предложения по объектам-аналогам. </w:t>
      </w:r>
    </w:p>
    <w:p w:rsidR="00C0773E" w:rsidRPr="001148A3" w:rsidRDefault="00C0773E" w:rsidP="00C0773E">
      <w:pPr>
        <w:ind w:firstLine="709"/>
        <w:jc w:val="both"/>
        <w:rPr>
          <w:rFonts w:asciiTheme="majorHAnsi" w:eastAsiaTheme="minorHAnsi" w:hAnsiTheme="majorHAnsi" w:cstheme="minorBidi"/>
          <w:sz w:val="20"/>
          <w:szCs w:val="23"/>
          <w:lang w:eastAsia="en-US"/>
        </w:rPr>
      </w:pPr>
      <w:r w:rsidRPr="001148A3">
        <w:rPr>
          <w:rFonts w:asciiTheme="majorHAnsi" w:eastAsiaTheme="minorHAnsi" w:hAnsiTheme="majorHAnsi" w:cstheme="minorBidi"/>
          <w:sz w:val="20"/>
          <w:szCs w:val="23"/>
          <w:lang w:eastAsia="en-US"/>
        </w:rPr>
        <w:t>С учетом сложившейся практики в оценке объектов недвижимости и тенденции развития рынков недвижимости в РФ применение цен предложения является неизбежным. Для использования таких цен требуется включать в расчеты дополнительную корректировку: «скидку на торг».</w:t>
      </w:r>
    </w:p>
    <w:p w:rsidR="00C0773E" w:rsidRDefault="00C0773E" w:rsidP="00C0773E">
      <w:pPr>
        <w:ind w:firstLine="709"/>
        <w:jc w:val="both"/>
        <w:rPr>
          <w:rFonts w:asciiTheme="majorHAnsi" w:eastAsiaTheme="minorHAnsi" w:hAnsiTheme="majorHAnsi" w:cstheme="minorBidi"/>
          <w:sz w:val="20"/>
          <w:szCs w:val="23"/>
          <w:lang w:eastAsia="en-US"/>
        </w:rPr>
      </w:pPr>
      <w:r w:rsidRPr="001148A3">
        <w:rPr>
          <w:rFonts w:asciiTheme="majorHAnsi" w:eastAsiaTheme="minorHAnsi" w:hAnsiTheme="majorHAnsi" w:cstheme="minorBidi"/>
          <w:sz w:val="20"/>
          <w:szCs w:val="23"/>
          <w:lang w:eastAsia="en-US"/>
        </w:rPr>
        <w:t xml:space="preserve">Наиболее оптимальным методом расчета такой скидки является изучение истории продаж ряда объектов и сопоставление цен сделок с ценами предложения. К сожалению, применение данного метода </w:t>
      </w:r>
      <w:r w:rsidRPr="001148A3">
        <w:rPr>
          <w:rFonts w:asciiTheme="majorHAnsi" w:eastAsiaTheme="minorHAnsi" w:hAnsiTheme="majorHAnsi" w:cstheme="minorBidi"/>
          <w:sz w:val="20"/>
          <w:szCs w:val="23"/>
          <w:lang w:eastAsia="en-US"/>
        </w:rPr>
        <w:lastRenderedPageBreak/>
        <w:t xml:space="preserve">крайне ограничено: профессиональные участники рынка неохотно предоставляют необходимую информацию. </w:t>
      </w:r>
    </w:p>
    <w:p w:rsidR="004F45FF" w:rsidRDefault="00C0773E" w:rsidP="00091DE4">
      <w:pPr>
        <w:ind w:firstLine="709"/>
        <w:jc w:val="both"/>
        <w:rPr>
          <w:rFonts w:eastAsiaTheme="majorEastAsia" w:cstheme="majorBidi"/>
          <w:b/>
          <w:bCs/>
          <w:sz w:val="28"/>
          <w:szCs w:val="28"/>
        </w:rPr>
      </w:pPr>
      <w:r>
        <w:rPr>
          <w:rFonts w:ascii="Cambria" w:eastAsiaTheme="minorHAnsi" w:hAnsi="Cambria" w:cs="Cambria"/>
          <w:color w:val="000000"/>
          <w:sz w:val="20"/>
          <w:szCs w:val="20"/>
          <w:lang w:eastAsia="en-US"/>
        </w:rPr>
        <w:t>П</w:t>
      </w:r>
      <w:r w:rsidR="00091DE4" w:rsidRPr="00091DE4">
        <w:rPr>
          <w:rFonts w:ascii="Cambria" w:eastAsiaTheme="minorHAnsi" w:hAnsi="Cambria" w:cs="Cambria"/>
          <w:color w:val="000000"/>
          <w:sz w:val="20"/>
          <w:szCs w:val="20"/>
          <w:lang w:eastAsia="en-US"/>
        </w:rPr>
        <w:t>о результатам исследований (Справочник оценщика недвижимости. Том 1. Часть 2 «Производственно-складская недвижимость и сходные типы объектов» 2016 г. Нижний Новгород: Приволжский центр методического и информационного обеспечения оценки) и составляет 1</w:t>
      </w:r>
      <w:r w:rsidR="00091DE4">
        <w:rPr>
          <w:rFonts w:ascii="Cambria" w:eastAsiaTheme="minorHAnsi" w:hAnsi="Cambria" w:cs="Cambria"/>
          <w:color w:val="000000"/>
          <w:sz w:val="20"/>
          <w:szCs w:val="20"/>
          <w:lang w:eastAsia="en-US"/>
        </w:rPr>
        <w:t>8</w:t>
      </w:r>
      <w:r w:rsidR="00091DE4" w:rsidRPr="00091DE4">
        <w:rPr>
          <w:rFonts w:ascii="Cambria" w:eastAsiaTheme="minorHAnsi" w:hAnsi="Cambria" w:cs="Cambria"/>
          <w:color w:val="000000"/>
          <w:sz w:val="20"/>
          <w:szCs w:val="20"/>
          <w:lang w:eastAsia="en-US"/>
        </w:rPr>
        <w:t xml:space="preserve"> %.</w:t>
      </w:r>
    </w:p>
    <w:p w:rsidR="00091DE4" w:rsidRDefault="00091DE4" w:rsidP="00091DE4">
      <w:pPr>
        <w:ind w:firstLine="709"/>
        <w:jc w:val="both"/>
        <w:rPr>
          <w:rFonts w:eastAsiaTheme="majorEastAsia" w:cstheme="majorBidi"/>
          <w:b/>
          <w:bCs/>
          <w:sz w:val="28"/>
          <w:szCs w:val="28"/>
        </w:rPr>
      </w:pPr>
    </w:p>
    <w:p w:rsidR="004F45FF" w:rsidRDefault="00091DE4" w:rsidP="001C0149">
      <w:pPr>
        <w:jc w:val="center"/>
        <w:rPr>
          <w:rFonts w:eastAsiaTheme="majorEastAsia" w:cstheme="majorBidi"/>
          <w:b/>
          <w:bCs/>
          <w:sz w:val="28"/>
          <w:szCs w:val="28"/>
        </w:rPr>
      </w:pPr>
      <w:r>
        <w:rPr>
          <w:noProof/>
        </w:rPr>
        <w:drawing>
          <wp:inline distT="0" distB="0" distL="0" distR="0" wp14:anchorId="5DA294E5" wp14:editId="4136FB2B">
            <wp:extent cx="5943600" cy="3232297"/>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0807" t="24327" r="61806" b="43747"/>
                    <a:stretch/>
                  </pic:blipFill>
                  <pic:spPr bwMode="auto">
                    <a:xfrm>
                      <a:off x="0" y="0"/>
                      <a:ext cx="6001279" cy="3263664"/>
                    </a:xfrm>
                    <a:prstGeom prst="rect">
                      <a:avLst/>
                    </a:prstGeom>
                    <a:ln>
                      <a:noFill/>
                    </a:ln>
                    <a:extLst>
                      <a:ext uri="{53640926-AAD7-44D8-BBD7-CCE9431645EC}">
                        <a14:shadowObscured xmlns:a14="http://schemas.microsoft.com/office/drawing/2010/main"/>
                      </a:ext>
                    </a:extLst>
                  </pic:spPr>
                </pic:pic>
              </a:graphicData>
            </a:graphic>
          </wp:inline>
        </w:drawing>
      </w:r>
    </w:p>
    <w:p w:rsidR="004F45FF" w:rsidRDefault="004F45FF" w:rsidP="001C0149">
      <w:pPr>
        <w:jc w:val="center"/>
        <w:rPr>
          <w:rFonts w:eastAsiaTheme="majorEastAsia" w:cstheme="majorBidi"/>
          <w:b/>
          <w:bCs/>
          <w:sz w:val="28"/>
          <w:szCs w:val="28"/>
        </w:rPr>
      </w:pPr>
    </w:p>
    <w:p w:rsid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ВИД ИСПОЛЬЗОВАНИЯ. </w:t>
      </w:r>
      <w:r w:rsidRPr="00091DE4">
        <w:rPr>
          <w:rFonts w:ascii="Cambria" w:eastAsiaTheme="minorHAnsi" w:hAnsi="Cambria" w:cs="Cambria"/>
          <w:color w:val="000000"/>
          <w:sz w:val="20"/>
          <w:szCs w:val="20"/>
          <w:lang w:eastAsia="en-US"/>
        </w:rPr>
        <w:t xml:space="preserve">Корректировка отсутствует. </w:t>
      </w:r>
    </w:p>
    <w:p w:rsid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p>
    <w:p w:rsidR="00091DE4" w:rsidRP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МЕСТОПОЛОЖЕНИЕ ОБЪЕКТА </w:t>
      </w:r>
    </w:p>
    <w:p w:rsidR="004F45FF" w:rsidRDefault="00091DE4" w:rsidP="00091DE4">
      <w:pPr>
        <w:ind w:firstLine="709"/>
        <w:jc w:val="both"/>
        <w:rPr>
          <w:rFonts w:eastAsiaTheme="majorEastAsia" w:cstheme="majorBidi"/>
          <w:b/>
          <w:bCs/>
          <w:sz w:val="28"/>
          <w:szCs w:val="28"/>
        </w:rPr>
      </w:pPr>
      <w:r w:rsidRPr="00091DE4">
        <w:rPr>
          <w:rFonts w:ascii="Cambria" w:eastAsiaTheme="minorHAnsi" w:hAnsi="Cambria" w:cs="Cambria"/>
          <w:color w:val="000000"/>
          <w:sz w:val="20"/>
          <w:szCs w:val="20"/>
          <w:lang w:eastAsia="en-US"/>
        </w:rPr>
        <w:t xml:space="preserve">Местоположение объекта учитывает различие в уровне цен, характерных для расположения аналогов и оцениваемого объекта. На величину поправки на местоположение оказывают влияние: уровень развития рынка недвижимости в районе, в котором расположен объект-аналог, удаленность от центра города, удаленность от остановок транспорта. </w:t>
      </w:r>
      <w:r w:rsidRPr="00091DE4">
        <w:rPr>
          <w:rFonts w:ascii="Cambria" w:eastAsiaTheme="minorHAnsi" w:hAnsi="Cambria" w:cs="Cambria"/>
          <w:b/>
          <w:bCs/>
          <w:color w:val="000000"/>
          <w:sz w:val="20"/>
          <w:szCs w:val="20"/>
          <w:lang w:eastAsia="en-US"/>
        </w:rPr>
        <w:t xml:space="preserve">Корректировка рассчитана </w:t>
      </w:r>
      <w:r w:rsidRPr="00091DE4">
        <w:rPr>
          <w:rFonts w:ascii="Cambria" w:eastAsiaTheme="minorHAnsi" w:hAnsi="Cambria" w:cs="Cambria"/>
          <w:color w:val="000000"/>
          <w:sz w:val="20"/>
          <w:szCs w:val="20"/>
          <w:lang w:eastAsia="en-US"/>
        </w:rPr>
        <w:t>по результатам исследований (Справочник оценщика недвижимости. Том 1. Часть 1 Производственно-складская недвижимость и сходные типы объектов. Нижний Новгород 2016: Приволжский центр методического и информационного обеспечения оценки).</w:t>
      </w:r>
    </w:p>
    <w:p w:rsidR="004F45FF" w:rsidRDefault="00091DE4" w:rsidP="001C0149">
      <w:pPr>
        <w:jc w:val="center"/>
        <w:rPr>
          <w:rFonts w:eastAsiaTheme="majorEastAsia" w:cstheme="majorBidi"/>
          <w:b/>
          <w:bCs/>
          <w:sz w:val="28"/>
          <w:szCs w:val="28"/>
        </w:rPr>
      </w:pPr>
      <w:r>
        <w:rPr>
          <w:noProof/>
        </w:rPr>
        <w:drawing>
          <wp:inline distT="0" distB="0" distL="0" distR="0" wp14:anchorId="754E82A0" wp14:editId="5FF62471">
            <wp:extent cx="5983164" cy="3508744"/>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29166" t="18756" r="23725" b="37111"/>
                    <a:stretch/>
                  </pic:blipFill>
                  <pic:spPr bwMode="auto">
                    <a:xfrm>
                      <a:off x="0" y="0"/>
                      <a:ext cx="6001647" cy="3519583"/>
                    </a:xfrm>
                    <a:prstGeom prst="rect">
                      <a:avLst/>
                    </a:prstGeom>
                    <a:ln>
                      <a:noFill/>
                    </a:ln>
                    <a:extLst>
                      <a:ext uri="{53640926-AAD7-44D8-BBD7-CCE9431645EC}">
                        <a14:shadowObscured xmlns:a14="http://schemas.microsoft.com/office/drawing/2010/main"/>
                      </a:ext>
                    </a:extLst>
                  </pic:spPr>
                </pic:pic>
              </a:graphicData>
            </a:graphic>
          </wp:inline>
        </w:drawing>
      </w:r>
    </w:p>
    <w:p w:rsidR="004F45FF" w:rsidRDefault="004F45FF" w:rsidP="001C0149">
      <w:pPr>
        <w:jc w:val="center"/>
        <w:rPr>
          <w:rFonts w:eastAsiaTheme="majorEastAsia" w:cstheme="majorBidi"/>
          <w:b/>
          <w:bCs/>
          <w:sz w:val="28"/>
          <w:szCs w:val="28"/>
        </w:rPr>
      </w:pPr>
    </w:p>
    <w:p w:rsidR="00AA5204" w:rsidRDefault="00AA5204" w:rsidP="00091DE4">
      <w:pPr>
        <w:autoSpaceDE w:val="0"/>
        <w:autoSpaceDN w:val="0"/>
        <w:adjustRightInd w:val="0"/>
        <w:ind w:firstLine="709"/>
        <w:jc w:val="both"/>
        <w:rPr>
          <w:rFonts w:ascii="Cambria" w:eastAsiaTheme="minorHAnsi" w:hAnsi="Cambria" w:cs="Cambria"/>
          <w:b/>
          <w:bCs/>
          <w:color w:val="000000"/>
          <w:sz w:val="20"/>
          <w:szCs w:val="20"/>
          <w:lang w:eastAsia="en-US"/>
        </w:rPr>
      </w:pPr>
    </w:p>
    <w:p w:rsidR="00AA5204" w:rsidRDefault="00AA5204" w:rsidP="00AA5204">
      <w:pPr>
        <w:autoSpaceDE w:val="0"/>
        <w:autoSpaceDN w:val="0"/>
        <w:adjustRightInd w:val="0"/>
        <w:jc w:val="center"/>
        <w:rPr>
          <w:rFonts w:ascii="Cambria" w:eastAsiaTheme="minorHAnsi" w:hAnsi="Cambria" w:cs="Cambria"/>
          <w:b/>
          <w:bCs/>
          <w:color w:val="000000"/>
          <w:sz w:val="20"/>
          <w:szCs w:val="20"/>
          <w:lang w:eastAsia="en-US"/>
        </w:rPr>
      </w:pPr>
      <w:r>
        <w:rPr>
          <w:noProof/>
        </w:rPr>
        <w:drawing>
          <wp:inline distT="0" distB="0" distL="0" distR="0" wp14:anchorId="00E0E7AF" wp14:editId="4F24D5E0">
            <wp:extent cx="5983923" cy="2200940"/>
            <wp:effectExtent l="0" t="0" r="0" b="0"/>
            <wp:docPr id="141" name="Рисунок 14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rotWithShape="1">
                    <a:blip r:embed="rId104"/>
                    <a:srcRect l="29166" t="64247" r="23725" b="7689"/>
                    <a:stretch/>
                  </pic:blipFill>
                  <pic:spPr bwMode="auto">
                    <a:xfrm>
                      <a:off x="0" y="0"/>
                      <a:ext cx="5982970" cy="2200589"/>
                    </a:xfrm>
                    <a:prstGeom prst="rect">
                      <a:avLst/>
                    </a:prstGeom>
                    <a:ln>
                      <a:noFill/>
                    </a:ln>
                    <a:extLst>
                      <a:ext uri="{53640926-AAD7-44D8-BBD7-CCE9431645EC}">
                        <a14:shadowObscured xmlns:a14="http://schemas.microsoft.com/office/drawing/2010/main"/>
                      </a:ext>
                    </a:extLst>
                  </pic:spPr>
                </pic:pic>
              </a:graphicData>
            </a:graphic>
          </wp:inline>
        </w:drawing>
      </w:r>
    </w:p>
    <w:p w:rsidR="00AA5204" w:rsidRDefault="00AA5204" w:rsidP="00091DE4">
      <w:pPr>
        <w:autoSpaceDE w:val="0"/>
        <w:autoSpaceDN w:val="0"/>
        <w:adjustRightInd w:val="0"/>
        <w:ind w:firstLine="709"/>
        <w:jc w:val="both"/>
        <w:rPr>
          <w:rFonts w:ascii="Cambria" w:eastAsiaTheme="minorHAnsi" w:hAnsi="Cambria" w:cs="Cambria"/>
          <w:b/>
          <w:bCs/>
          <w:color w:val="000000"/>
          <w:sz w:val="20"/>
          <w:szCs w:val="20"/>
          <w:lang w:eastAsia="en-US"/>
        </w:rPr>
      </w:pPr>
    </w:p>
    <w:p w:rsidR="00091DE4" w:rsidRPr="00091DE4" w:rsidRDefault="00091DE4" w:rsidP="00091DE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ФИЗИЧЕСКИЕ ХАРАКТЕРИСТИКИ ОБЪЕКТА </w:t>
      </w:r>
    </w:p>
    <w:p w:rsidR="00091DE4" w:rsidRPr="00091DE4" w:rsidRDefault="00C0773E" w:rsidP="00091DE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КОРРЕКТИРОВКА НА ПЛОЩАДЬ. </w:t>
      </w:r>
    </w:p>
    <w:p w:rsidR="00AA520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color w:val="000000"/>
          <w:sz w:val="20"/>
          <w:szCs w:val="20"/>
          <w:lang w:eastAsia="en-US"/>
        </w:rPr>
        <w:t xml:space="preserve">Рассчитана по результатам исследований (Справочник оценщика недвижимости. Том 1. Корректирующие коэффициенты для сравнительного подхода. Нижний Новгород: Приволжский центр методического и информационного обеспечения оценки). </w:t>
      </w:r>
    </w:p>
    <w:p w:rsidR="00AA520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p>
    <w:p w:rsidR="00AA5204" w:rsidRPr="00091DE4" w:rsidRDefault="00AA5204" w:rsidP="00AA5204">
      <w:pPr>
        <w:autoSpaceDE w:val="0"/>
        <w:autoSpaceDN w:val="0"/>
        <w:adjustRightInd w:val="0"/>
        <w:jc w:val="center"/>
        <w:rPr>
          <w:rFonts w:ascii="Cambria" w:eastAsiaTheme="minorHAnsi" w:hAnsi="Cambria" w:cs="Cambria"/>
          <w:color w:val="000000"/>
          <w:sz w:val="20"/>
          <w:szCs w:val="20"/>
          <w:lang w:eastAsia="en-US"/>
        </w:rPr>
      </w:pPr>
      <w:r>
        <w:rPr>
          <w:noProof/>
        </w:rPr>
        <w:drawing>
          <wp:inline distT="0" distB="0" distL="0" distR="0" wp14:anchorId="532DE025" wp14:editId="21FCD4B8">
            <wp:extent cx="6112389" cy="232853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17746" t="50771" r="53251" b="28921"/>
                    <a:stretch/>
                  </pic:blipFill>
                  <pic:spPr bwMode="auto">
                    <a:xfrm>
                      <a:off x="0" y="0"/>
                      <a:ext cx="6114639" cy="2329387"/>
                    </a:xfrm>
                    <a:prstGeom prst="rect">
                      <a:avLst/>
                    </a:prstGeom>
                    <a:ln>
                      <a:noFill/>
                    </a:ln>
                    <a:extLst>
                      <a:ext uri="{53640926-AAD7-44D8-BBD7-CCE9431645EC}">
                        <a14:shadowObscured xmlns:a14="http://schemas.microsoft.com/office/drawing/2010/main"/>
                      </a:ext>
                    </a:extLst>
                  </pic:spPr>
                </pic:pic>
              </a:graphicData>
            </a:graphic>
          </wp:inline>
        </w:drawing>
      </w:r>
    </w:p>
    <w:p w:rsidR="004F45FF" w:rsidRDefault="00091DE4" w:rsidP="00091DE4">
      <w:pPr>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КОММУНИКАЦИИ. </w:t>
      </w:r>
      <w:r w:rsidRPr="00091DE4">
        <w:rPr>
          <w:rFonts w:ascii="Cambria" w:eastAsiaTheme="minorHAnsi" w:hAnsi="Cambria" w:cs="Cambria"/>
          <w:color w:val="000000"/>
          <w:sz w:val="20"/>
          <w:szCs w:val="20"/>
          <w:lang w:eastAsia="en-US"/>
        </w:rPr>
        <w:t>Коммуникации имеются. Корректировка отсутствует.</w:t>
      </w:r>
    </w:p>
    <w:p w:rsidR="00AA714B" w:rsidRDefault="00AA714B" w:rsidP="00091DE4">
      <w:pPr>
        <w:ind w:firstLine="709"/>
        <w:jc w:val="both"/>
        <w:rPr>
          <w:rFonts w:eastAsiaTheme="majorEastAsia" w:cstheme="majorBidi"/>
          <w:b/>
          <w:bCs/>
          <w:sz w:val="28"/>
          <w:szCs w:val="28"/>
        </w:rPr>
      </w:pPr>
    </w:p>
    <w:p w:rsidR="00AA714B" w:rsidRDefault="00AA714B" w:rsidP="00AA714B">
      <w:pPr>
        <w:autoSpaceDE w:val="0"/>
        <w:autoSpaceDN w:val="0"/>
        <w:adjustRightInd w:val="0"/>
        <w:ind w:firstLine="709"/>
        <w:jc w:val="both"/>
        <w:rPr>
          <w:rFonts w:ascii="Cambria" w:eastAsiaTheme="minorHAnsi" w:hAnsi="Cambria" w:cs="Cambria"/>
          <w:color w:val="000000"/>
          <w:sz w:val="20"/>
          <w:szCs w:val="20"/>
          <w:lang w:eastAsia="en-US"/>
        </w:rPr>
      </w:pPr>
      <w:r w:rsidRPr="00AA714B">
        <w:rPr>
          <w:rFonts w:ascii="Cambria" w:eastAsiaTheme="minorHAnsi" w:hAnsi="Cambria" w:cs="Cambria"/>
          <w:b/>
          <w:bCs/>
          <w:color w:val="000000"/>
          <w:sz w:val="20"/>
          <w:szCs w:val="20"/>
          <w:lang w:eastAsia="en-US"/>
        </w:rPr>
        <w:t xml:space="preserve">ТЕХНИЧЕСКОЕ СОСТОЯНИЕ. </w:t>
      </w:r>
      <w:r w:rsidRPr="00AA714B">
        <w:rPr>
          <w:rFonts w:ascii="Cambria" w:eastAsiaTheme="minorHAnsi" w:hAnsi="Cambria" w:cs="Cambria"/>
          <w:color w:val="000000"/>
          <w:sz w:val="20"/>
          <w:szCs w:val="20"/>
          <w:lang w:eastAsia="en-US"/>
        </w:rPr>
        <w:t xml:space="preserve">Основываясь на опыте, если в объявлениях не указывают состояние помещений, то они предлагаются обычно в рабочем состоянии, т.е. в состоянии, позволяющем эксплуатировать недвижимость и с ремонтом как минимум удовлетворительным. Корректировка не вводилась. </w:t>
      </w:r>
    </w:p>
    <w:p w:rsidR="00AA714B" w:rsidRPr="00AA714B" w:rsidRDefault="00AA714B" w:rsidP="00AA714B">
      <w:pPr>
        <w:autoSpaceDE w:val="0"/>
        <w:autoSpaceDN w:val="0"/>
        <w:adjustRightInd w:val="0"/>
        <w:ind w:firstLine="709"/>
        <w:jc w:val="both"/>
        <w:rPr>
          <w:rFonts w:ascii="Cambria" w:eastAsiaTheme="minorHAnsi" w:hAnsi="Cambria" w:cs="Cambria"/>
          <w:color w:val="000000"/>
          <w:sz w:val="20"/>
          <w:szCs w:val="20"/>
          <w:lang w:eastAsia="en-US"/>
        </w:rPr>
      </w:pPr>
    </w:p>
    <w:p w:rsidR="00AA714B" w:rsidRPr="00AA714B" w:rsidRDefault="00AA714B" w:rsidP="00AA714B">
      <w:pPr>
        <w:autoSpaceDE w:val="0"/>
        <w:autoSpaceDN w:val="0"/>
        <w:adjustRightInd w:val="0"/>
        <w:ind w:firstLine="709"/>
        <w:jc w:val="both"/>
        <w:rPr>
          <w:rFonts w:ascii="Cambria" w:eastAsiaTheme="minorHAnsi" w:hAnsi="Cambria" w:cs="Cambria"/>
          <w:color w:val="000000"/>
          <w:sz w:val="20"/>
          <w:szCs w:val="20"/>
          <w:lang w:eastAsia="en-US"/>
        </w:rPr>
      </w:pPr>
      <w:r w:rsidRPr="00AA714B">
        <w:rPr>
          <w:rFonts w:ascii="Cambria" w:eastAsiaTheme="minorHAnsi" w:hAnsi="Cambria" w:cs="Cambria"/>
          <w:b/>
          <w:bCs/>
          <w:color w:val="000000"/>
          <w:sz w:val="20"/>
          <w:szCs w:val="20"/>
          <w:lang w:eastAsia="en-US"/>
        </w:rPr>
        <w:t xml:space="preserve">ЭКОНОМИЧЕСКИЕ ХАРАКТЕРИСТИКИ: </w:t>
      </w:r>
    </w:p>
    <w:p w:rsidR="00AA714B" w:rsidRDefault="00AA714B" w:rsidP="00AA714B">
      <w:pPr>
        <w:autoSpaceDE w:val="0"/>
        <w:autoSpaceDN w:val="0"/>
        <w:adjustRightInd w:val="0"/>
        <w:ind w:firstLine="709"/>
        <w:jc w:val="both"/>
        <w:rPr>
          <w:rFonts w:ascii="Cambria" w:eastAsiaTheme="minorHAnsi" w:hAnsi="Cambria" w:cs="Cambria"/>
          <w:color w:val="000000"/>
          <w:sz w:val="20"/>
          <w:szCs w:val="20"/>
          <w:lang w:eastAsia="en-US"/>
        </w:rPr>
      </w:pPr>
      <w:r w:rsidRPr="00AA714B">
        <w:rPr>
          <w:rFonts w:ascii="Cambria" w:eastAsiaTheme="minorHAnsi" w:hAnsi="Cambria" w:cs="Cambria"/>
          <w:b/>
          <w:bCs/>
          <w:color w:val="000000"/>
          <w:sz w:val="20"/>
          <w:szCs w:val="20"/>
          <w:lang w:eastAsia="en-US"/>
        </w:rPr>
        <w:t>УРОВЕНЬ ОПЕРАЦИОННЫХ РАСХОДОВ</w:t>
      </w:r>
      <w:r w:rsidRPr="00AA714B">
        <w:rPr>
          <w:rFonts w:ascii="Cambria" w:eastAsiaTheme="minorHAnsi" w:hAnsi="Cambria" w:cs="Cambria"/>
          <w:color w:val="000000"/>
          <w:sz w:val="20"/>
          <w:szCs w:val="20"/>
          <w:lang w:eastAsia="en-US"/>
        </w:rPr>
        <w:t xml:space="preserve">. Типичный для аналогичных объектов, составляет от 0,5 до 3% эффективного валового дохода от использования недвижимости. Корректировка отсутствует. </w:t>
      </w:r>
    </w:p>
    <w:p w:rsidR="00AA714B" w:rsidRPr="00AA714B" w:rsidRDefault="00AA714B" w:rsidP="00AA714B">
      <w:pPr>
        <w:autoSpaceDE w:val="0"/>
        <w:autoSpaceDN w:val="0"/>
        <w:adjustRightInd w:val="0"/>
        <w:ind w:firstLine="709"/>
        <w:jc w:val="both"/>
        <w:rPr>
          <w:rFonts w:ascii="Cambria" w:eastAsiaTheme="minorHAnsi" w:hAnsi="Cambria" w:cs="Cambria"/>
          <w:color w:val="000000"/>
          <w:sz w:val="20"/>
          <w:szCs w:val="20"/>
          <w:lang w:eastAsia="en-US"/>
        </w:rPr>
      </w:pPr>
    </w:p>
    <w:p w:rsidR="00AA714B" w:rsidRDefault="00AA714B" w:rsidP="00AA714B">
      <w:pPr>
        <w:autoSpaceDE w:val="0"/>
        <w:autoSpaceDN w:val="0"/>
        <w:adjustRightInd w:val="0"/>
        <w:ind w:firstLine="709"/>
        <w:jc w:val="both"/>
        <w:rPr>
          <w:rFonts w:ascii="Cambria" w:eastAsiaTheme="minorHAnsi" w:hAnsi="Cambria" w:cs="Cambria"/>
          <w:color w:val="000000"/>
          <w:sz w:val="20"/>
          <w:szCs w:val="20"/>
          <w:lang w:eastAsia="en-US"/>
        </w:rPr>
      </w:pPr>
      <w:r w:rsidRPr="00AA714B">
        <w:rPr>
          <w:rFonts w:ascii="Cambria" w:eastAsiaTheme="minorHAnsi" w:hAnsi="Cambria" w:cs="Cambria"/>
          <w:b/>
          <w:bCs/>
          <w:color w:val="000000"/>
          <w:sz w:val="20"/>
          <w:szCs w:val="20"/>
          <w:lang w:eastAsia="en-US"/>
        </w:rPr>
        <w:t>УРОВЕНЬ АРЕНДЫ, СОСТАВ АРЕНДАТОРОВ</w:t>
      </w:r>
      <w:r w:rsidRPr="00AA714B">
        <w:rPr>
          <w:rFonts w:ascii="Cambria" w:eastAsiaTheme="minorHAnsi" w:hAnsi="Cambria" w:cs="Cambria"/>
          <w:color w:val="000000"/>
          <w:sz w:val="20"/>
          <w:szCs w:val="20"/>
          <w:lang w:eastAsia="en-US"/>
        </w:rPr>
        <w:t xml:space="preserve">. Корректировка отсутствует. </w:t>
      </w:r>
    </w:p>
    <w:p w:rsidR="00AA714B" w:rsidRPr="00AA714B" w:rsidRDefault="00AA714B" w:rsidP="00AA714B">
      <w:pPr>
        <w:autoSpaceDE w:val="0"/>
        <w:autoSpaceDN w:val="0"/>
        <w:adjustRightInd w:val="0"/>
        <w:ind w:firstLine="709"/>
        <w:jc w:val="both"/>
        <w:rPr>
          <w:rFonts w:ascii="Cambria" w:eastAsiaTheme="minorHAnsi" w:hAnsi="Cambria" w:cs="Cambria"/>
          <w:color w:val="000000"/>
          <w:sz w:val="20"/>
          <w:szCs w:val="20"/>
          <w:lang w:eastAsia="en-US"/>
        </w:rPr>
      </w:pPr>
    </w:p>
    <w:p w:rsidR="00AA714B" w:rsidRDefault="00AA714B" w:rsidP="00AA714B">
      <w:pPr>
        <w:autoSpaceDE w:val="0"/>
        <w:autoSpaceDN w:val="0"/>
        <w:adjustRightInd w:val="0"/>
        <w:ind w:firstLine="709"/>
        <w:jc w:val="both"/>
        <w:rPr>
          <w:rFonts w:ascii="Cambria" w:eastAsiaTheme="minorHAnsi" w:hAnsi="Cambria" w:cs="Cambria"/>
          <w:color w:val="000000"/>
          <w:sz w:val="20"/>
          <w:szCs w:val="20"/>
          <w:lang w:eastAsia="en-US"/>
        </w:rPr>
      </w:pPr>
      <w:r w:rsidRPr="00AA714B">
        <w:rPr>
          <w:rFonts w:ascii="Cambria" w:eastAsiaTheme="minorHAnsi" w:hAnsi="Cambria" w:cs="Cambria"/>
          <w:b/>
          <w:bCs/>
          <w:color w:val="000000"/>
          <w:sz w:val="20"/>
          <w:szCs w:val="20"/>
          <w:lang w:eastAsia="en-US"/>
        </w:rPr>
        <w:t>ИНЫЕ ХАРАКТЕРИСТИКИ</w:t>
      </w:r>
      <w:r w:rsidRPr="00AA714B">
        <w:rPr>
          <w:rFonts w:ascii="Cambria" w:eastAsiaTheme="minorHAnsi" w:hAnsi="Cambria" w:cs="Cambria"/>
          <w:color w:val="000000"/>
          <w:sz w:val="20"/>
          <w:szCs w:val="20"/>
          <w:lang w:eastAsia="en-US"/>
        </w:rPr>
        <w:t xml:space="preserve">. Корректировка отсутствует. </w:t>
      </w:r>
    </w:p>
    <w:p w:rsidR="00AA714B" w:rsidRPr="00AA714B" w:rsidRDefault="00AA714B" w:rsidP="00AA714B">
      <w:pPr>
        <w:autoSpaceDE w:val="0"/>
        <w:autoSpaceDN w:val="0"/>
        <w:adjustRightInd w:val="0"/>
        <w:ind w:firstLine="709"/>
        <w:jc w:val="both"/>
        <w:rPr>
          <w:rFonts w:ascii="Cambria" w:eastAsiaTheme="minorHAnsi" w:hAnsi="Cambria" w:cs="Cambria"/>
          <w:color w:val="000000"/>
          <w:sz w:val="20"/>
          <w:szCs w:val="20"/>
          <w:lang w:eastAsia="en-US"/>
        </w:rPr>
      </w:pPr>
    </w:p>
    <w:p w:rsidR="00AA714B" w:rsidRDefault="00AA714B" w:rsidP="00AA714B">
      <w:pPr>
        <w:autoSpaceDE w:val="0"/>
        <w:autoSpaceDN w:val="0"/>
        <w:adjustRightInd w:val="0"/>
        <w:ind w:firstLine="709"/>
        <w:jc w:val="both"/>
        <w:rPr>
          <w:rFonts w:ascii="Cambria" w:eastAsiaTheme="minorHAnsi" w:hAnsi="Cambria" w:cs="Cambria"/>
          <w:color w:val="000000"/>
          <w:sz w:val="20"/>
          <w:szCs w:val="20"/>
          <w:lang w:eastAsia="en-US"/>
        </w:rPr>
      </w:pPr>
      <w:r w:rsidRPr="00AA714B">
        <w:rPr>
          <w:rFonts w:ascii="Cambria" w:eastAsiaTheme="minorHAnsi" w:hAnsi="Cambria" w:cs="Cambria"/>
          <w:b/>
          <w:bCs/>
          <w:color w:val="000000"/>
          <w:sz w:val="20"/>
          <w:szCs w:val="20"/>
          <w:lang w:eastAsia="en-US"/>
        </w:rPr>
        <w:t xml:space="preserve">НАЛИЧИЕ ДВИЖИМОГО ИМУЩЕСТВА, НЕ СВЯЗАННОГО С НЕДВИЖИМОСТЬЮ. </w:t>
      </w:r>
      <w:r w:rsidRPr="00AA714B">
        <w:rPr>
          <w:rFonts w:ascii="Cambria" w:eastAsiaTheme="minorHAnsi" w:hAnsi="Cambria" w:cs="Cambria"/>
          <w:color w:val="000000"/>
          <w:sz w:val="20"/>
          <w:szCs w:val="20"/>
          <w:lang w:eastAsia="en-US"/>
        </w:rPr>
        <w:t xml:space="preserve">Корректировка отсутствует. </w:t>
      </w:r>
    </w:p>
    <w:p w:rsidR="00AA714B" w:rsidRPr="00AA714B" w:rsidRDefault="00AA714B" w:rsidP="00AA714B">
      <w:pPr>
        <w:autoSpaceDE w:val="0"/>
        <w:autoSpaceDN w:val="0"/>
        <w:adjustRightInd w:val="0"/>
        <w:ind w:firstLine="709"/>
        <w:jc w:val="both"/>
        <w:rPr>
          <w:rFonts w:ascii="Cambria" w:eastAsiaTheme="minorHAnsi" w:hAnsi="Cambria" w:cs="Cambria"/>
          <w:color w:val="000000"/>
          <w:sz w:val="20"/>
          <w:szCs w:val="20"/>
          <w:lang w:eastAsia="en-US"/>
        </w:rPr>
      </w:pPr>
    </w:p>
    <w:p w:rsidR="004F45FF" w:rsidRDefault="00AA714B" w:rsidP="00AA714B">
      <w:pPr>
        <w:ind w:firstLine="709"/>
        <w:jc w:val="both"/>
        <w:rPr>
          <w:rFonts w:ascii="Cambria" w:eastAsiaTheme="minorHAnsi" w:hAnsi="Cambria" w:cs="Cambria"/>
          <w:color w:val="000000"/>
          <w:sz w:val="20"/>
          <w:szCs w:val="20"/>
          <w:lang w:eastAsia="en-US"/>
        </w:rPr>
      </w:pPr>
      <w:r w:rsidRPr="00AA714B">
        <w:rPr>
          <w:rFonts w:ascii="Cambria" w:eastAsiaTheme="minorHAnsi" w:hAnsi="Cambria" w:cs="Cambria"/>
          <w:b/>
          <w:bCs/>
          <w:color w:val="000000"/>
          <w:sz w:val="20"/>
          <w:szCs w:val="20"/>
          <w:lang w:eastAsia="en-US"/>
        </w:rPr>
        <w:t xml:space="preserve">ДРУГИЕ ХАРАКТЕРИСТИКИ. </w:t>
      </w:r>
      <w:r w:rsidRPr="00AA714B">
        <w:rPr>
          <w:rFonts w:ascii="Cambria" w:eastAsiaTheme="minorHAnsi" w:hAnsi="Cambria" w:cs="Cambria"/>
          <w:color w:val="000000"/>
          <w:sz w:val="20"/>
          <w:szCs w:val="20"/>
          <w:lang w:eastAsia="en-US"/>
        </w:rPr>
        <w:t>Корректировка отсутствует.</w:t>
      </w:r>
    </w:p>
    <w:p w:rsidR="00AA5204" w:rsidRDefault="00AA5204" w:rsidP="00AA714B">
      <w:pPr>
        <w:ind w:firstLine="709"/>
        <w:jc w:val="both"/>
        <w:rPr>
          <w:rFonts w:ascii="Cambria" w:eastAsiaTheme="minorHAnsi" w:hAnsi="Cambria" w:cs="Cambria"/>
          <w:color w:val="000000"/>
          <w:sz w:val="20"/>
          <w:szCs w:val="20"/>
          <w:lang w:eastAsia="en-US"/>
        </w:rPr>
      </w:pPr>
    </w:p>
    <w:p w:rsidR="00AA5204" w:rsidRDefault="00AA5204" w:rsidP="00AA714B">
      <w:pPr>
        <w:ind w:firstLine="709"/>
        <w:jc w:val="both"/>
        <w:rPr>
          <w:rFonts w:ascii="Cambria" w:eastAsiaTheme="minorHAnsi" w:hAnsi="Cambria" w:cs="Cambria"/>
          <w:color w:val="000000"/>
          <w:sz w:val="20"/>
          <w:szCs w:val="20"/>
          <w:lang w:eastAsia="en-US"/>
        </w:rPr>
      </w:pPr>
    </w:p>
    <w:p w:rsidR="00AA5204" w:rsidRDefault="00AA5204" w:rsidP="00AA714B">
      <w:pPr>
        <w:ind w:firstLine="709"/>
        <w:jc w:val="both"/>
        <w:rPr>
          <w:rFonts w:ascii="Cambria" w:eastAsiaTheme="minorHAnsi" w:hAnsi="Cambria" w:cs="Cambria"/>
          <w:color w:val="000000"/>
          <w:sz w:val="20"/>
          <w:szCs w:val="20"/>
          <w:lang w:eastAsia="en-US"/>
        </w:rPr>
      </w:pPr>
    </w:p>
    <w:p w:rsidR="00AA5204" w:rsidRDefault="00AA5204" w:rsidP="00AA5204">
      <w:pPr>
        <w:tabs>
          <w:tab w:val="left" w:pos="2925"/>
        </w:tabs>
        <w:spacing w:before="120" w:after="120"/>
        <w:ind w:firstLine="709"/>
        <w:jc w:val="both"/>
        <w:rPr>
          <w:rFonts w:ascii="Cambria" w:hAnsi="Cambria"/>
          <w:b/>
          <w:bCs/>
          <w:sz w:val="20"/>
          <w:szCs w:val="20"/>
        </w:rPr>
      </w:pPr>
      <w:r>
        <w:rPr>
          <w:rFonts w:ascii="Cambria" w:hAnsi="Cambria"/>
          <w:b/>
          <w:bCs/>
          <w:sz w:val="20"/>
          <w:szCs w:val="20"/>
        </w:rPr>
        <w:lastRenderedPageBreak/>
        <w:t xml:space="preserve">– </w:t>
      </w:r>
      <w:r w:rsidRPr="0001080D">
        <w:rPr>
          <w:rFonts w:ascii="Cambria" w:hAnsi="Cambria"/>
          <w:b/>
          <w:bCs/>
          <w:sz w:val="20"/>
          <w:szCs w:val="20"/>
        </w:rPr>
        <w:t xml:space="preserve">подбор аналогов для </w:t>
      </w:r>
      <w:r>
        <w:rPr>
          <w:rFonts w:ascii="Cambria" w:hAnsi="Cambria"/>
          <w:b/>
          <w:bCs/>
          <w:sz w:val="20"/>
          <w:szCs w:val="20"/>
        </w:rPr>
        <w:t>административно-бытового  комплекса:</w:t>
      </w:r>
    </w:p>
    <w:p w:rsidR="00AA5204" w:rsidRDefault="00AA5204" w:rsidP="00AA5204">
      <w:pPr>
        <w:spacing w:before="120" w:after="120"/>
        <w:jc w:val="center"/>
        <w:rPr>
          <w:rFonts w:asciiTheme="majorHAnsi" w:eastAsiaTheme="minorHAnsi" w:hAnsiTheme="majorHAnsi" w:cstheme="minorBidi"/>
          <w:sz w:val="20"/>
          <w:szCs w:val="22"/>
          <w:lang w:eastAsia="en-US"/>
        </w:rPr>
      </w:pPr>
      <w:r>
        <w:rPr>
          <w:rFonts w:asciiTheme="majorHAnsi" w:eastAsiaTheme="minorHAnsi" w:hAnsiTheme="majorHAnsi" w:cstheme="minorBidi"/>
          <w:sz w:val="20"/>
          <w:szCs w:val="22"/>
          <w:lang w:eastAsia="en-US"/>
        </w:rPr>
        <w:t>Аналог 1:</w:t>
      </w:r>
    </w:p>
    <w:p w:rsidR="00AA5204" w:rsidRDefault="00AA5204" w:rsidP="00AA5204">
      <w:pPr>
        <w:jc w:val="center"/>
      </w:pPr>
      <w:r>
        <w:rPr>
          <w:noProof/>
        </w:rPr>
        <w:drawing>
          <wp:inline distT="0" distB="0" distL="0" distR="0" wp14:anchorId="7B79522F" wp14:editId="7852CFE1">
            <wp:extent cx="6347356" cy="3242931"/>
            <wp:effectExtent l="0" t="0" r="0" b="0"/>
            <wp:docPr id="1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06"/>
                    <a:srcRect t="4150" b="5751"/>
                    <a:stretch/>
                  </pic:blipFill>
                  <pic:spPr bwMode="auto">
                    <a:xfrm>
                      <a:off x="0" y="0"/>
                      <a:ext cx="6354479" cy="3246570"/>
                    </a:xfrm>
                    <a:prstGeom prst="rect">
                      <a:avLst/>
                    </a:prstGeom>
                    <a:ln>
                      <a:noFill/>
                    </a:ln>
                    <a:extLst>
                      <a:ext uri="{53640926-AAD7-44D8-BBD7-CCE9431645EC}">
                        <a14:shadowObscured xmlns:a14="http://schemas.microsoft.com/office/drawing/2010/main"/>
                      </a:ext>
                    </a:extLst>
                  </pic:spPr>
                </pic:pic>
              </a:graphicData>
            </a:graphic>
          </wp:inline>
        </w:drawing>
      </w:r>
    </w:p>
    <w:p w:rsidR="00AA5204" w:rsidRDefault="00AA5204" w:rsidP="00AA5204">
      <w:pPr>
        <w:jc w:val="center"/>
        <w:rPr>
          <w:rFonts w:asciiTheme="majorHAnsi" w:eastAsiaTheme="minorHAnsi" w:hAnsiTheme="majorHAnsi" w:cstheme="minorBidi"/>
          <w:sz w:val="20"/>
          <w:szCs w:val="22"/>
          <w:lang w:eastAsia="en-US"/>
        </w:rPr>
      </w:pPr>
      <w:r w:rsidRPr="00477537">
        <w:rPr>
          <w:rFonts w:asciiTheme="majorHAnsi" w:eastAsiaTheme="minorHAnsi" w:hAnsiTheme="majorHAnsi" w:cstheme="minorBidi"/>
          <w:sz w:val="20"/>
          <w:szCs w:val="22"/>
          <w:lang w:eastAsia="en-US"/>
        </w:rPr>
        <w:t>Аналог 2</w:t>
      </w:r>
      <w:r>
        <w:rPr>
          <w:rFonts w:asciiTheme="majorHAnsi" w:eastAsiaTheme="minorHAnsi" w:hAnsiTheme="majorHAnsi" w:cstheme="minorBidi"/>
          <w:sz w:val="20"/>
          <w:szCs w:val="22"/>
          <w:lang w:eastAsia="en-US"/>
        </w:rPr>
        <w:t>:</w:t>
      </w:r>
    </w:p>
    <w:p w:rsidR="00AA5204" w:rsidRDefault="00AA5204" w:rsidP="00AA5204">
      <w:pPr>
        <w:jc w:val="center"/>
        <w:rPr>
          <w:rFonts w:asciiTheme="majorHAnsi" w:eastAsiaTheme="minorHAnsi" w:hAnsiTheme="majorHAnsi" w:cstheme="minorBidi"/>
          <w:sz w:val="20"/>
          <w:szCs w:val="22"/>
          <w:lang w:eastAsia="en-US"/>
        </w:rPr>
      </w:pPr>
    </w:p>
    <w:p w:rsidR="00AA5204" w:rsidRDefault="00AA5204" w:rsidP="00AA5204">
      <w:pPr>
        <w:jc w:val="center"/>
        <w:rPr>
          <w:rFonts w:asciiTheme="majorHAnsi" w:eastAsiaTheme="minorHAnsi" w:hAnsiTheme="majorHAnsi" w:cstheme="minorBidi"/>
          <w:sz w:val="20"/>
          <w:szCs w:val="22"/>
          <w:lang w:eastAsia="en-US"/>
        </w:rPr>
      </w:pPr>
      <w:r>
        <w:rPr>
          <w:noProof/>
        </w:rPr>
        <w:drawing>
          <wp:inline distT="0" distB="0" distL="0" distR="0" wp14:anchorId="1BFDDFDB" wp14:editId="7581846F">
            <wp:extent cx="6347637" cy="2945219"/>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4458" b="5340"/>
                    <a:stretch/>
                  </pic:blipFill>
                  <pic:spPr bwMode="auto">
                    <a:xfrm>
                      <a:off x="0" y="0"/>
                      <a:ext cx="6356592" cy="2949374"/>
                    </a:xfrm>
                    <a:prstGeom prst="rect">
                      <a:avLst/>
                    </a:prstGeom>
                    <a:ln>
                      <a:noFill/>
                    </a:ln>
                    <a:extLst>
                      <a:ext uri="{53640926-AAD7-44D8-BBD7-CCE9431645EC}">
                        <a14:shadowObscured xmlns:a14="http://schemas.microsoft.com/office/drawing/2010/main"/>
                      </a:ext>
                    </a:extLst>
                  </pic:spPr>
                </pic:pic>
              </a:graphicData>
            </a:graphic>
          </wp:inline>
        </w:drawing>
      </w:r>
    </w:p>
    <w:p w:rsidR="00AA5204" w:rsidRDefault="00AA5204" w:rsidP="00AA5204">
      <w:pPr>
        <w:jc w:val="center"/>
        <w:rPr>
          <w:rFonts w:asciiTheme="majorHAnsi" w:eastAsiaTheme="minorHAnsi" w:hAnsiTheme="majorHAnsi" w:cstheme="minorBidi"/>
          <w:sz w:val="20"/>
          <w:szCs w:val="22"/>
          <w:lang w:eastAsia="en-US"/>
        </w:rPr>
      </w:pPr>
      <w:r>
        <w:rPr>
          <w:noProof/>
        </w:rPr>
        <w:drawing>
          <wp:inline distT="0" distB="0" distL="0" distR="0" wp14:anchorId="04C29927" wp14:editId="387A2657">
            <wp:extent cx="6315739" cy="2456121"/>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t="2579" b="9111"/>
                    <a:stretch/>
                  </pic:blipFill>
                  <pic:spPr bwMode="auto">
                    <a:xfrm>
                      <a:off x="0" y="0"/>
                      <a:ext cx="6323678" cy="2459208"/>
                    </a:xfrm>
                    <a:prstGeom prst="rect">
                      <a:avLst/>
                    </a:prstGeom>
                    <a:ln>
                      <a:noFill/>
                    </a:ln>
                    <a:extLst>
                      <a:ext uri="{53640926-AAD7-44D8-BBD7-CCE9431645EC}">
                        <a14:shadowObscured xmlns:a14="http://schemas.microsoft.com/office/drawing/2010/main"/>
                      </a:ext>
                    </a:extLst>
                  </pic:spPr>
                </pic:pic>
              </a:graphicData>
            </a:graphic>
          </wp:inline>
        </w:drawing>
      </w:r>
    </w:p>
    <w:p w:rsidR="00AA5204" w:rsidRDefault="00AA5204" w:rsidP="00AA5204">
      <w:pPr>
        <w:jc w:val="center"/>
        <w:rPr>
          <w:rFonts w:asciiTheme="majorHAnsi" w:hAnsiTheme="majorHAnsi"/>
          <w:sz w:val="20"/>
          <w:szCs w:val="20"/>
        </w:rPr>
      </w:pPr>
      <w:r w:rsidRPr="004F45FF">
        <w:rPr>
          <w:rFonts w:asciiTheme="majorHAnsi" w:hAnsiTheme="majorHAnsi"/>
          <w:sz w:val="20"/>
          <w:szCs w:val="20"/>
        </w:rPr>
        <w:lastRenderedPageBreak/>
        <w:t>Аналог 3:</w:t>
      </w:r>
    </w:p>
    <w:p w:rsidR="00AA5204" w:rsidRDefault="00AA5204" w:rsidP="00AA5204">
      <w:pPr>
        <w:jc w:val="center"/>
        <w:rPr>
          <w:rFonts w:asciiTheme="majorHAnsi" w:hAnsiTheme="majorHAnsi"/>
          <w:sz w:val="20"/>
          <w:szCs w:val="20"/>
        </w:rPr>
      </w:pPr>
      <w:r>
        <w:rPr>
          <w:noProof/>
        </w:rPr>
        <w:drawing>
          <wp:inline distT="0" distB="0" distL="0" distR="0" wp14:anchorId="411DA1C9" wp14:editId="28D46F1E">
            <wp:extent cx="6156249" cy="4040372"/>
            <wp:effectExtent l="0" t="0" r="0" b="0"/>
            <wp:docPr id="1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09"/>
                    <a:srcRect t="4575" b="19486"/>
                    <a:stretch/>
                  </pic:blipFill>
                  <pic:spPr bwMode="auto">
                    <a:xfrm>
                      <a:off x="0" y="0"/>
                      <a:ext cx="6152515" cy="4037921"/>
                    </a:xfrm>
                    <a:prstGeom prst="rect">
                      <a:avLst/>
                    </a:prstGeom>
                    <a:ln>
                      <a:noFill/>
                    </a:ln>
                    <a:extLst>
                      <a:ext uri="{53640926-AAD7-44D8-BBD7-CCE9431645EC}">
                        <a14:shadowObscured xmlns:a14="http://schemas.microsoft.com/office/drawing/2010/main"/>
                      </a:ext>
                    </a:extLst>
                  </pic:spPr>
                </pic:pic>
              </a:graphicData>
            </a:graphic>
          </wp:inline>
        </w:drawing>
      </w:r>
    </w:p>
    <w:p w:rsidR="00AA5204" w:rsidRPr="004F45FF" w:rsidRDefault="00AA5204" w:rsidP="00AA5204">
      <w:pPr>
        <w:jc w:val="center"/>
        <w:rPr>
          <w:rFonts w:asciiTheme="majorHAnsi" w:hAnsiTheme="majorHAnsi"/>
          <w:sz w:val="20"/>
          <w:szCs w:val="20"/>
        </w:rPr>
      </w:pPr>
    </w:p>
    <w:p w:rsidR="00AA5204" w:rsidRDefault="00AA5204" w:rsidP="00AA5204">
      <w:pPr>
        <w:jc w:val="center"/>
        <w:rPr>
          <w:rFonts w:asciiTheme="majorHAnsi" w:hAnsiTheme="majorHAnsi"/>
          <w:sz w:val="20"/>
          <w:szCs w:val="20"/>
          <w:lang w:eastAsia="ar-SA"/>
        </w:rPr>
      </w:pPr>
      <w:r w:rsidRPr="004F45FF">
        <w:rPr>
          <w:rFonts w:asciiTheme="majorHAnsi" w:hAnsiTheme="majorHAnsi"/>
          <w:sz w:val="20"/>
          <w:szCs w:val="20"/>
        </w:rPr>
        <w:br/>
      </w:r>
      <w:r w:rsidRPr="001148A3">
        <w:rPr>
          <w:rFonts w:asciiTheme="majorHAnsi" w:eastAsiaTheme="minorHAnsi" w:hAnsiTheme="majorHAnsi" w:cstheme="minorBidi"/>
          <w:b/>
          <w:sz w:val="20"/>
          <w:szCs w:val="23"/>
          <w:lang w:eastAsia="en-US"/>
        </w:rPr>
        <w:t xml:space="preserve">Расчет рыночной стоимости </w:t>
      </w:r>
      <w:r>
        <w:rPr>
          <w:rFonts w:asciiTheme="majorHAnsi" w:eastAsiaTheme="minorHAnsi" w:hAnsiTheme="majorHAnsi" w:cstheme="minorBidi"/>
          <w:b/>
          <w:sz w:val="20"/>
          <w:szCs w:val="23"/>
          <w:lang w:eastAsia="en-US"/>
        </w:rPr>
        <w:t xml:space="preserve">единого объекта недвижимости  - административно-бытового комплекса </w:t>
      </w:r>
      <w:r w:rsidRPr="001148A3">
        <w:rPr>
          <w:rFonts w:asciiTheme="majorHAnsi" w:eastAsiaTheme="minorHAnsi" w:hAnsiTheme="majorHAnsi" w:cstheme="minorBidi"/>
          <w:b/>
          <w:sz w:val="20"/>
          <w:szCs w:val="23"/>
          <w:lang w:eastAsia="en-US"/>
        </w:rPr>
        <w:t>сравнительным подходом:</w:t>
      </w:r>
      <w:r>
        <w:rPr>
          <w:rFonts w:asciiTheme="majorHAnsi" w:hAnsiTheme="majorHAnsi"/>
          <w:sz w:val="20"/>
          <w:szCs w:val="20"/>
          <w:lang w:eastAsia="ar-SA"/>
        </w:rPr>
        <w:t xml:space="preserve"> </w:t>
      </w:r>
    </w:p>
    <w:p w:rsidR="00AA5204" w:rsidRDefault="00AA5204" w:rsidP="00AA5204">
      <w:pPr>
        <w:jc w:val="center"/>
        <w:rPr>
          <w:rFonts w:asciiTheme="majorHAnsi" w:hAnsiTheme="majorHAnsi"/>
          <w:sz w:val="20"/>
          <w:szCs w:val="20"/>
          <w:lang w:eastAsia="ar-SA"/>
        </w:rPr>
      </w:pPr>
    </w:p>
    <w:tbl>
      <w:tblPr>
        <w:tblW w:w="10080" w:type="dxa"/>
        <w:tblInd w:w="9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2240"/>
        <w:gridCol w:w="1319"/>
        <w:gridCol w:w="1559"/>
        <w:gridCol w:w="1560"/>
        <w:gridCol w:w="1701"/>
        <w:gridCol w:w="1701"/>
      </w:tblGrid>
      <w:tr w:rsidR="00AA5204" w:rsidRPr="00AA5204" w:rsidTr="00AA5204">
        <w:trPr>
          <w:trHeight w:val="20"/>
        </w:trPr>
        <w:tc>
          <w:tcPr>
            <w:tcW w:w="2240" w:type="dxa"/>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Характеристика</w:t>
            </w:r>
          </w:p>
        </w:tc>
        <w:tc>
          <w:tcPr>
            <w:tcW w:w="1319" w:type="dxa"/>
            <w:shd w:val="clear" w:color="auto" w:fill="auto"/>
            <w:vAlign w:val="center"/>
            <w:hideMark/>
          </w:tcPr>
          <w:p w:rsidR="00AA5204" w:rsidRPr="00AA5204" w:rsidRDefault="00AA5204" w:rsidP="00AA5204">
            <w:pPr>
              <w:jc w:val="center"/>
              <w:rPr>
                <w:rFonts w:asciiTheme="majorHAnsi" w:hAnsiTheme="majorHAnsi"/>
                <w:b/>
                <w:bCs/>
                <w:sz w:val="18"/>
                <w:szCs w:val="18"/>
              </w:rPr>
            </w:pPr>
            <w:r w:rsidRPr="00AA5204">
              <w:rPr>
                <w:rFonts w:asciiTheme="majorHAnsi" w:hAnsiTheme="majorHAnsi"/>
                <w:b/>
                <w:bCs/>
                <w:sz w:val="18"/>
                <w:szCs w:val="18"/>
              </w:rPr>
              <w:t>Единица измер.</w:t>
            </w:r>
          </w:p>
        </w:tc>
        <w:tc>
          <w:tcPr>
            <w:tcW w:w="1559" w:type="dxa"/>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Объект оценки</w:t>
            </w:r>
          </w:p>
        </w:tc>
        <w:tc>
          <w:tcPr>
            <w:tcW w:w="1560" w:type="dxa"/>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Аналог № 1</w:t>
            </w:r>
          </w:p>
        </w:tc>
        <w:tc>
          <w:tcPr>
            <w:tcW w:w="1701" w:type="dxa"/>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Аналог № 2</w:t>
            </w:r>
          </w:p>
        </w:tc>
        <w:tc>
          <w:tcPr>
            <w:tcW w:w="1701" w:type="dxa"/>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Аналог № 3</w:t>
            </w:r>
          </w:p>
        </w:tc>
      </w:tr>
      <w:tr w:rsidR="00AA5204" w:rsidRPr="00AA5204" w:rsidTr="00AA5204">
        <w:trPr>
          <w:trHeight w:val="20"/>
        </w:trPr>
        <w:tc>
          <w:tcPr>
            <w:tcW w:w="2240" w:type="dxa"/>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Дата продажи, предложения (оценки)</w:t>
            </w:r>
          </w:p>
        </w:tc>
        <w:tc>
          <w:tcPr>
            <w:tcW w:w="1319" w:type="dxa"/>
            <w:shd w:val="clear" w:color="auto" w:fill="auto"/>
            <w:vAlign w:val="center"/>
            <w:hideMark/>
          </w:tcPr>
          <w:p w:rsidR="00AA5204" w:rsidRPr="00AA5204" w:rsidRDefault="00AA5204" w:rsidP="00AA5204">
            <w:pPr>
              <w:jc w:val="center"/>
              <w:rPr>
                <w:rFonts w:asciiTheme="majorHAnsi" w:hAnsiTheme="majorHAnsi"/>
                <w:b/>
                <w:bCs/>
                <w:sz w:val="18"/>
                <w:szCs w:val="18"/>
              </w:rPr>
            </w:pPr>
          </w:p>
        </w:tc>
        <w:tc>
          <w:tcPr>
            <w:tcW w:w="1559" w:type="dxa"/>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Август 2017 г.</w:t>
            </w:r>
          </w:p>
        </w:tc>
        <w:tc>
          <w:tcPr>
            <w:tcW w:w="1560" w:type="dxa"/>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Август 2017 г.</w:t>
            </w:r>
          </w:p>
        </w:tc>
        <w:tc>
          <w:tcPr>
            <w:tcW w:w="1701" w:type="dxa"/>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Август 2017 г.</w:t>
            </w:r>
          </w:p>
        </w:tc>
        <w:tc>
          <w:tcPr>
            <w:tcW w:w="1701" w:type="dxa"/>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Август 2017 г.</w:t>
            </w:r>
          </w:p>
        </w:tc>
      </w:tr>
      <w:tr w:rsidR="00AA5204" w:rsidRPr="00AA5204" w:rsidTr="00AA5204">
        <w:trPr>
          <w:trHeight w:val="20"/>
        </w:trPr>
        <w:tc>
          <w:tcPr>
            <w:tcW w:w="2240" w:type="dxa"/>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Местоположение аналога</w:t>
            </w:r>
          </w:p>
        </w:tc>
        <w:tc>
          <w:tcPr>
            <w:tcW w:w="1319" w:type="dxa"/>
            <w:shd w:val="clear" w:color="auto" w:fill="auto"/>
            <w:vAlign w:val="center"/>
            <w:hideMark/>
          </w:tcPr>
          <w:p w:rsidR="00AA5204" w:rsidRPr="00AA5204" w:rsidRDefault="00AA5204" w:rsidP="00AA5204">
            <w:pPr>
              <w:jc w:val="center"/>
              <w:rPr>
                <w:rFonts w:asciiTheme="majorHAnsi" w:hAnsiTheme="majorHAnsi"/>
                <w:b/>
                <w:bCs/>
                <w:sz w:val="18"/>
                <w:szCs w:val="18"/>
              </w:rPr>
            </w:pPr>
          </w:p>
        </w:tc>
        <w:tc>
          <w:tcPr>
            <w:tcW w:w="1559"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Белгородская обл. г. Белгород, ул Сумская, 168</w:t>
            </w:r>
          </w:p>
        </w:tc>
        <w:tc>
          <w:tcPr>
            <w:tcW w:w="1560"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п. Маслова пристань, ул. Мая, 1 Белгородская область</w:t>
            </w:r>
          </w:p>
        </w:tc>
        <w:tc>
          <w:tcPr>
            <w:tcW w:w="1701"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Б. Хмельницкого пр-кт, 135 в Белгороде, в Белгородской области</w:t>
            </w:r>
          </w:p>
        </w:tc>
        <w:tc>
          <w:tcPr>
            <w:tcW w:w="1701"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Белгород, ул. Зеленая Поляна</w:t>
            </w:r>
          </w:p>
        </w:tc>
      </w:tr>
      <w:tr w:rsidR="00AA5204" w:rsidRPr="00AA5204" w:rsidTr="00AA5204">
        <w:trPr>
          <w:trHeight w:val="20"/>
        </w:trPr>
        <w:tc>
          <w:tcPr>
            <w:tcW w:w="2240" w:type="dxa"/>
            <w:shd w:val="clear" w:color="auto" w:fill="auto"/>
            <w:vAlign w:val="center"/>
            <w:hideMark/>
          </w:tcPr>
          <w:p w:rsidR="00AA5204" w:rsidRPr="00AA5204" w:rsidRDefault="00AA5204" w:rsidP="00AA5204">
            <w:pPr>
              <w:jc w:val="center"/>
              <w:rPr>
                <w:rFonts w:asciiTheme="majorHAnsi" w:hAnsiTheme="majorHAnsi"/>
                <w:sz w:val="18"/>
                <w:szCs w:val="18"/>
              </w:rPr>
            </w:pPr>
            <w:r w:rsidRPr="00AA5204">
              <w:rPr>
                <w:rFonts w:asciiTheme="majorHAnsi" w:hAnsiTheme="majorHAnsi"/>
                <w:sz w:val="18"/>
                <w:szCs w:val="18"/>
              </w:rPr>
              <w:t>Цена предложения</w:t>
            </w:r>
          </w:p>
        </w:tc>
        <w:tc>
          <w:tcPr>
            <w:tcW w:w="1319" w:type="dxa"/>
            <w:shd w:val="clear" w:color="auto" w:fill="auto"/>
            <w:vAlign w:val="center"/>
            <w:hideMark/>
          </w:tcPr>
          <w:p w:rsidR="00AA5204" w:rsidRPr="00AA5204" w:rsidRDefault="00AA5204" w:rsidP="00AA5204">
            <w:pPr>
              <w:jc w:val="center"/>
              <w:rPr>
                <w:rFonts w:asciiTheme="majorHAnsi" w:hAnsiTheme="majorHAnsi"/>
                <w:sz w:val="18"/>
                <w:szCs w:val="18"/>
              </w:rPr>
            </w:pPr>
            <w:r w:rsidRPr="00AA5204">
              <w:rPr>
                <w:rFonts w:asciiTheme="majorHAnsi" w:hAnsiTheme="majorHAnsi"/>
                <w:sz w:val="18"/>
                <w:szCs w:val="18"/>
              </w:rPr>
              <w:t>руб.</w:t>
            </w:r>
          </w:p>
        </w:tc>
        <w:tc>
          <w:tcPr>
            <w:tcW w:w="1559" w:type="dxa"/>
            <w:shd w:val="clear" w:color="auto" w:fill="auto"/>
            <w:vAlign w:val="center"/>
            <w:hideMark/>
          </w:tcPr>
          <w:p w:rsidR="00AA5204" w:rsidRPr="00AA5204" w:rsidRDefault="00AA5204" w:rsidP="00AA5204">
            <w:pPr>
              <w:jc w:val="center"/>
              <w:rPr>
                <w:rFonts w:asciiTheme="majorHAnsi" w:hAnsiTheme="majorHAnsi"/>
                <w:sz w:val="18"/>
                <w:szCs w:val="18"/>
              </w:rPr>
            </w:pPr>
          </w:p>
        </w:tc>
        <w:tc>
          <w:tcPr>
            <w:tcW w:w="1560" w:type="dxa"/>
            <w:shd w:val="clear" w:color="auto" w:fill="auto"/>
            <w:vAlign w:val="center"/>
            <w:hideMark/>
          </w:tcPr>
          <w:p w:rsidR="00AA5204" w:rsidRPr="00AA5204" w:rsidRDefault="00AA5204" w:rsidP="00AA5204">
            <w:pPr>
              <w:jc w:val="center"/>
              <w:rPr>
                <w:rFonts w:asciiTheme="majorHAnsi" w:hAnsiTheme="majorHAnsi"/>
                <w:sz w:val="18"/>
                <w:szCs w:val="18"/>
              </w:rPr>
            </w:pPr>
            <w:r w:rsidRPr="00AA5204">
              <w:rPr>
                <w:rFonts w:asciiTheme="majorHAnsi" w:hAnsiTheme="majorHAnsi"/>
                <w:sz w:val="18"/>
                <w:szCs w:val="18"/>
              </w:rPr>
              <w:t>35 000 000</w:t>
            </w:r>
          </w:p>
        </w:tc>
        <w:tc>
          <w:tcPr>
            <w:tcW w:w="1701" w:type="dxa"/>
            <w:shd w:val="clear" w:color="auto" w:fill="auto"/>
            <w:vAlign w:val="center"/>
            <w:hideMark/>
          </w:tcPr>
          <w:p w:rsidR="00AA5204" w:rsidRPr="00AA5204" w:rsidRDefault="00AA5204" w:rsidP="00AA5204">
            <w:pPr>
              <w:jc w:val="center"/>
              <w:rPr>
                <w:rFonts w:asciiTheme="majorHAnsi" w:hAnsiTheme="majorHAnsi"/>
                <w:sz w:val="18"/>
                <w:szCs w:val="18"/>
              </w:rPr>
            </w:pPr>
            <w:r w:rsidRPr="00AA5204">
              <w:rPr>
                <w:rFonts w:asciiTheme="majorHAnsi" w:hAnsiTheme="majorHAnsi"/>
                <w:sz w:val="18"/>
                <w:szCs w:val="18"/>
              </w:rPr>
              <w:t>100 000 000</w:t>
            </w:r>
          </w:p>
        </w:tc>
        <w:tc>
          <w:tcPr>
            <w:tcW w:w="1701" w:type="dxa"/>
            <w:shd w:val="clear" w:color="auto" w:fill="auto"/>
            <w:vAlign w:val="center"/>
            <w:hideMark/>
          </w:tcPr>
          <w:p w:rsidR="00AA5204" w:rsidRPr="00AA5204" w:rsidRDefault="00AA5204" w:rsidP="00AA5204">
            <w:pPr>
              <w:jc w:val="center"/>
              <w:rPr>
                <w:rFonts w:asciiTheme="majorHAnsi" w:hAnsiTheme="majorHAnsi"/>
                <w:sz w:val="18"/>
                <w:szCs w:val="18"/>
              </w:rPr>
            </w:pPr>
            <w:r w:rsidRPr="00AA5204">
              <w:rPr>
                <w:rFonts w:asciiTheme="majorHAnsi" w:hAnsiTheme="majorHAnsi"/>
                <w:sz w:val="18"/>
                <w:szCs w:val="18"/>
              </w:rPr>
              <w:t>35 000 000</w:t>
            </w:r>
          </w:p>
        </w:tc>
      </w:tr>
      <w:tr w:rsidR="00AA5204" w:rsidRPr="00AA5204" w:rsidTr="00AA5204">
        <w:trPr>
          <w:trHeight w:val="20"/>
        </w:trPr>
        <w:tc>
          <w:tcPr>
            <w:tcW w:w="2240" w:type="dxa"/>
            <w:shd w:val="clear" w:color="auto" w:fill="auto"/>
            <w:vAlign w:val="center"/>
            <w:hideMark/>
          </w:tcPr>
          <w:p w:rsidR="00AA5204" w:rsidRPr="00AA5204" w:rsidRDefault="00AA5204" w:rsidP="00AA5204">
            <w:pPr>
              <w:jc w:val="center"/>
              <w:rPr>
                <w:rFonts w:asciiTheme="majorHAnsi" w:hAnsiTheme="majorHAnsi"/>
                <w:sz w:val="18"/>
                <w:szCs w:val="18"/>
              </w:rPr>
            </w:pPr>
            <w:r w:rsidRPr="00AA5204">
              <w:rPr>
                <w:rFonts w:asciiTheme="majorHAnsi" w:hAnsiTheme="majorHAnsi"/>
                <w:sz w:val="18"/>
                <w:szCs w:val="18"/>
              </w:rPr>
              <w:t>Общая площадь</w:t>
            </w:r>
          </w:p>
        </w:tc>
        <w:tc>
          <w:tcPr>
            <w:tcW w:w="1319" w:type="dxa"/>
            <w:shd w:val="clear" w:color="auto" w:fill="auto"/>
            <w:vAlign w:val="center"/>
            <w:hideMark/>
          </w:tcPr>
          <w:p w:rsidR="00AA5204" w:rsidRPr="00AA5204" w:rsidRDefault="00AA5204" w:rsidP="00AA5204">
            <w:pPr>
              <w:jc w:val="center"/>
              <w:rPr>
                <w:rFonts w:asciiTheme="majorHAnsi" w:hAnsiTheme="majorHAnsi"/>
                <w:sz w:val="18"/>
                <w:szCs w:val="18"/>
              </w:rPr>
            </w:pPr>
            <w:r w:rsidRPr="00AA5204">
              <w:rPr>
                <w:rFonts w:asciiTheme="majorHAnsi" w:hAnsiTheme="majorHAnsi"/>
                <w:sz w:val="18"/>
                <w:szCs w:val="18"/>
              </w:rPr>
              <w:t>кв.м.</w:t>
            </w:r>
          </w:p>
        </w:tc>
        <w:tc>
          <w:tcPr>
            <w:tcW w:w="1559" w:type="dxa"/>
            <w:shd w:val="clear" w:color="auto" w:fill="auto"/>
            <w:vAlign w:val="center"/>
            <w:hideMark/>
          </w:tcPr>
          <w:p w:rsidR="00AA5204" w:rsidRPr="00AA5204" w:rsidRDefault="00AA5204" w:rsidP="00AA5204">
            <w:pPr>
              <w:jc w:val="center"/>
              <w:rPr>
                <w:rFonts w:asciiTheme="majorHAnsi" w:hAnsiTheme="majorHAnsi"/>
                <w:sz w:val="18"/>
                <w:szCs w:val="18"/>
              </w:rPr>
            </w:pPr>
            <w:r w:rsidRPr="00AA5204">
              <w:rPr>
                <w:rFonts w:asciiTheme="majorHAnsi" w:hAnsiTheme="majorHAnsi"/>
                <w:sz w:val="18"/>
                <w:szCs w:val="18"/>
              </w:rPr>
              <w:t>3149,60</w:t>
            </w:r>
          </w:p>
        </w:tc>
        <w:tc>
          <w:tcPr>
            <w:tcW w:w="1560" w:type="dxa"/>
            <w:shd w:val="clear" w:color="auto" w:fill="auto"/>
            <w:noWrap/>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1475</w:t>
            </w:r>
          </w:p>
        </w:tc>
        <w:tc>
          <w:tcPr>
            <w:tcW w:w="1701" w:type="dxa"/>
            <w:shd w:val="clear" w:color="auto" w:fill="auto"/>
            <w:noWrap/>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3634</w:t>
            </w:r>
          </w:p>
        </w:tc>
        <w:tc>
          <w:tcPr>
            <w:tcW w:w="1701" w:type="dxa"/>
            <w:shd w:val="clear" w:color="auto" w:fill="auto"/>
            <w:noWrap/>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1358</w:t>
            </w:r>
          </w:p>
        </w:tc>
      </w:tr>
      <w:tr w:rsidR="00AA5204" w:rsidRPr="00AA5204" w:rsidTr="00AA5204">
        <w:trPr>
          <w:trHeight w:val="20"/>
        </w:trPr>
        <w:tc>
          <w:tcPr>
            <w:tcW w:w="2240" w:type="dxa"/>
            <w:shd w:val="clear" w:color="auto" w:fill="auto"/>
            <w:vAlign w:val="center"/>
            <w:hideMark/>
          </w:tcPr>
          <w:p w:rsidR="00AA5204" w:rsidRPr="00AA5204" w:rsidRDefault="00AA5204" w:rsidP="00AA5204">
            <w:pPr>
              <w:jc w:val="center"/>
              <w:rPr>
                <w:rFonts w:asciiTheme="majorHAnsi" w:hAnsiTheme="majorHAnsi"/>
                <w:sz w:val="18"/>
                <w:szCs w:val="18"/>
              </w:rPr>
            </w:pPr>
            <w:r w:rsidRPr="00AA5204">
              <w:rPr>
                <w:rFonts w:asciiTheme="majorHAnsi" w:hAnsiTheme="majorHAnsi"/>
                <w:sz w:val="18"/>
                <w:szCs w:val="18"/>
              </w:rPr>
              <w:t>Цена за ед. площади</w:t>
            </w:r>
          </w:p>
        </w:tc>
        <w:tc>
          <w:tcPr>
            <w:tcW w:w="1319" w:type="dxa"/>
            <w:shd w:val="clear" w:color="auto" w:fill="auto"/>
            <w:vAlign w:val="center"/>
            <w:hideMark/>
          </w:tcPr>
          <w:p w:rsidR="00AA5204" w:rsidRPr="00AA5204" w:rsidRDefault="00AA5204" w:rsidP="00AA5204">
            <w:pPr>
              <w:jc w:val="center"/>
              <w:rPr>
                <w:rFonts w:asciiTheme="majorHAnsi" w:hAnsiTheme="majorHAnsi"/>
                <w:sz w:val="18"/>
                <w:szCs w:val="18"/>
              </w:rPr>
            </w:pPr>
          </w:p>
        </w:tc>
        <w:tc>
          <w:tcPr>
            <w:tcW w:w="1559" w:type="dxa"/>
            <w:shd w:val="clear" w:color="auto" w:fill="auto"/>
            <w:vAlign w:val="center"/>
            <w:hideMark/>
          </w:tcPr>
          <w:p w:rsidR="00AA5204" w:rsidRPr="00AA5204" w:rsidRDefault="00AA5204" w:rsidP="00AA5204">
            <w:pPr>
              <w:jc w:val="center"/>
              <w:rPr>
                <w:rFonts w:asciiTheme="majorHAnsi" w:hAnsiTheme="majorHAnsi"/>
                <w:sz w:val="18"/>
                <w:szCs w:val="18"/>
              </w:rPr>
            </w:pPr>
            <w:r w:rsidRPr="00AA5204">
              <w:rPr>
                <w:rFonts w:asciiTheme="majorHAnsi" w:hAnsiTheme="majorHAnsi"/>
                <w:sz w:val="18"/>
                <w:szCs w:val="18"/>
              </w:rPr>
              <w:t>х</w:t>
            </w:r>
          </w:p>
        </w:tc>
        <w:tc>
          <w:tcPr>
            <w:tcW w:w="1560" w:type="dxa"/>
            <w:shd w:val="clear" w:color="auto" w:fill="auto"/>
            <w:noWrap/>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23 729,00</w:t>
            </w:r>
          </w:p>
        </w:tc>
        <w:tc>
          <w:tcPr>
            <w:tcW w:w="1701" w:type="dxa"/>
            <w:shd w:val="clear" w:color="auto" w:fill="auto"/>
            <w:noWrap/>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27 518,00</w:t>
            </w:r>
          </w:p>
        </w:tc>
        <w:tc>
          <w:tcPr>
            <w:tcW w:w="1701" w:type="dxa"/>
            <w:shd w:val="clear" w:color="auto" w:fill="auto"/>
            <w:noWrap/>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25 773,00</w:t>
            </w:r>
          </w:p>
        </w:tc>
      </w:tr>
      <w:tr w:rsidR="00AA5204" w:rsidRPr="00AA5204" w:rsidTr="00AA5204">
        <w:trPr>
          <w:trHeight w:val="20"/>
        </w:trPr>
        <w:tc>
          <w:tcPr>
            <w:tcW w:w="2240" w:type="dxa"/>
            <w:shd w:val="clear" w:color="000000" w:fill="FFFFFF"/>
            <w:vAlign w:val="center"/>
            <w:hideMark/>
          </w:tcPr>
          <w:p w:rsidR="00AA5204" w:rsidRPr="00AA5204" w:rsidRDefault="00AA5204" w:rsidP="00AA5204">
            <w:pPr>
              <w:jc w:val="center"/>
              <w:rPr>
                <w:rFonts w:asciiTheme="majorHAnsi" w:hAnsiTheme="majorHAnsi"/>
                <w:sz w:val="18"/>
                <w:szCs w:val="18"/>
              </w:rPr>
            </w:pPr>
            <w:r w:rsidRPr="00AA5204">
              <w:rPr>
                <w:rFonts w:asciiTheme="majorHAnsi" w:hAnsiTheme="majorHAnsi"/>
                <w:sz w:val="18"/>
                <w:szCs w:val="18"/>
              </w:rPr>
              <w:t>Цена за ед. площади ОКС</w:t>
            </w:r>
          </w:p>
        </w:tc>
        <w:tc>
          <w:tcPr>
            <w:tcW w:w="1319" w:type="dxa"/>
            <w:shd w:val="clear" w:color="000000" w:fill="FFFFFF"/>
            <w:vAlign w:val="center"/>
            <w:hideMark/>
          </w:tcPr>
          <w:p w:rsidR="00AA5204" w:rsidRPr="00AA5204" w:rsidRDefault="00AA5204" w:rsidP="00AA5204">
            <w:pPr>
              <w:jc w:val="center"/>
              <w:rPr>
                <w:rFonts w:asciiTheme="majorHAnsi" w:hAnsiTheme="majorHAnsi"/>
                <w:sz w:val="18"/>
                <w:szCs w:val="18"/>
              </w:rPr>
            </w:pPr>
          </w:p>
        </w:tc>
        <w:tc>
          <w:tcPr>
            <w:tcW w:w="1559" w:type="dxa"/>
            <w:shd w:val="clear" w:color="000000" w:fill="FFFFFF"/>
            <w:vAlign w:val="center"/>
            <w:hideMark/>
          </w:tcPr>
          <w:p w:rsidR="00AA5204" w:rsidRPr="00AA5204" w:rsidRDefault="00AA5204" w:rsidP="00AA5204">
            <w:pPr>
              <w:jc w:val="center"/>
              <w:rPr>
                <w:rFonts w:asciiTheme="majorHAnsi" w:hAnsiTheme="majorHAnsi"/>
                <w:sz w:val="18"/>
                <w:szCs w:val="18"/>
              </w:rPr>
            </w:pPr>
          </w:p>
        </w:tc>
        <w:tc>
          <w:tcPr>
            <w:tcW w:w="1560" w:type="dxa"/>
            <w:shd w:val="clear" w:color="000000" w:fill="FFFFFF"/>
            <w:noWrap/>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23 729,00</w:t>
            </w:r>
          </w:p>
        </w:tc>
        <w:tc>
          <w:tcPr>
            <w:tcW w:w="1701" w:type="dxa"/>
            <w:shd w:val="clear" w:color="000000" w:fill="FFFFFF"/>
            <w:noWrap/>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27 518,00</w:t>
            </w:r>
          </w:p>
        </w:tc>
        <w:tc>
          <w:tcPr>
            <w:tcW w:w="1701" w:type="dxa"/>
            <w:shd w:val="clear" w:color="000000" w:fill="FFFFFF"/>
            <w:noWrap/>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25 773,00</w:t>
            </w:r>
          </w:p>
        </w:tc>
      </w:tr>
      <w:tr w:rsidR="00AA5204" w:rsidRPr="00AA5204" w:rsidTr="00AA5204">
        <w:trPr>
          <w:trHeight w:val="20"/>
        </w:trPr>
        <w:tc>
          <w:tcPr>
            <w:tcW w:w="3559" w:type="dxa"/>
            <w:gridSpan w:val="2"/>
            <w:shd w:val="clear" w:color="000000" w:fill="FFFFFF"/>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Корректировки по элементам сравнения</w:t>
            </w:r>
          </w:p>
        </w:tc>
        <w:tc>
          <w:tcPr>
            <w:tcW w:w="1559"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p>
        </w:tc>
        <w:tc>
          <w:tcPr>
            <w:tcW w:w="1560"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p>
        </w:tc>
      </w:tr>
      <w:tr w:rsidR="00AA5204" w:rsidRPr="00AA5204" w:rsidTr="00AA5204">
        <w:trPr>
          <w:trHeight w:val="20"/>
        </w:trPr>
        <w:tc>
          <w:tcPr>
            <w:tcW w:w="3559" w:type="dxa"/>
            <w:gridSpan w:val="2"/>
            <w:shd w:val="clear" w:color="000000" w:fill="FFFFFF"/>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Передаваемые имущественные права</w:t>
            </w:r>
          </w:p>
        </w:tc>
        <w:tc>
          <w:tcPr>
            <w:tcW w:w="1559"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Собственность</w:t>
            </w:r>
          </w:p>
        </w:tc>
        <w:tc>
          <w:tcPr>
            <w:tcW w:w="1560"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Собственность</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Собственность</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Собственность</w:t>
            </w: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Корректировка</w:t>
            </w:r>
          </w:p>
        </w:tc>
        <w:tc>
          <w:tcPr>
            <w:tcW w:w="1559"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p>
        </w:tc>
        <w:tc>
          <w:tcPr>
            <w:tcW w:w="1560"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1,00</w:t>
            </w:r>
          </w:p>
        </w:tc>
        <w:tc>
          <w:tcPr>
            <w:tcW w:w="1701"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1,00</w:t>
            </w:r>
          </w:p>
        </w:tc>
        <w:tc>
          <w:tcPr>
            <w:tcW w:w="1701"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1,00</w:t>
            </w: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Скорректированная цена</w:t>
            </w:r>
          </w:p>
        </w:tc>
        <w:tc>
          <w:tcPr>
            <w:tcW w:w="1559"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p>
        </w:tc>
        <w:tc>
          <w:tcPr>
            <w:tcW w:w="1560"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23 729,00</w:t>
            </w:r>
          </w:p>
        </w:tc>
        <w:tc>
          <w:tcPr>
            <w:tcW w:w="1701"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27 518,00</w:t>
            </w:r>
          </w:p>
        </w:tc>
        <w:tc>
          <w:tcPr>
            <w:tcW w:w="1701"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25 773,00</w:t>
            </w:r>
          </w:p>
        </w:tc>
      </w:tr>
      <w:tr w:rsidR="00AA5204" w:rsidRPr="00AA5204" w:rsidTr="00AA5204">
        <w:trPr>
          <w:trHeight w:val="20"/>
        </w:trPr>
        <w:tc>
          <w:tcPr>
            <w:tcW w:w="3559" w:type="dxa"/>
            <w:gridSpan w:val="2"/>
            <w:shd w:val="clear" w:color="000000" w:fill="FFFFFF"/>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Ограничения (обременения) этих прав</w:t>
            </w:r>
          </w:p>
        </w:tc>
        <w:tc>
          <w:tcPr>
            <w:tcW w:w="1559"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Ипотека</w:t>
            </w:r>
          </w:p>
        </w:tc>
        <w:tc>
          <w:tcPr>
            <w:tcW w:w="1560"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Отсутствуют</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Отсутствуют</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Отсутствуют</w:t>
            </w: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Корректировка</w:t>
            </w:r>
          </w:p>
        </w:tc>
        <w:tc>
          <w:tcPr>
            <w:tcW w:w="1559"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p>
        </w:tc>
        <w:tc>
          <w:tcPr>
            <w:tcW w:w="1560"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1,00</w:t>
            </w:r>
          </w:p>
        </w:tc>
        <w:tc>
          <w:tcPr>
            <w:tcW w:w="1701"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1,00</w:t>
            </w:r>
          </w:p>
        </w:tc>
        <w:tc>
          <w:tcPr>
            <w:tcW w:w="1701"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1,00</w:t>
            </w: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Скорректированная цена</w:t>
            </w:r>
          </w:p>
        </w:tc>
        <w:tc>
          <w:tcPr>
            <w:tcW w:w="1559"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p>
        </w:tc>
        <w:tc>
          <w:tcPr>
            <w:tcW w:w="1560"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23 729,00</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27518,00</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25773,00</w:t>
            </w: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Условия финансирования сделки</w:t>
            </w:r>
          </w:p>
        </w:tc>
        <w:tc>
          <w:tcPr>
            <w:tcW w:w="1559"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p>
        </w:tc>
        <w:tc>
          <w:tcPr>
            <w:tcW w:w="1560"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Типичные</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Типичные</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Типичные</w:t>
            </w: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Коректировка</w:t>
            </w:r>
          </w:p>
        </w:tc>
        <w:tc>
          <w:tcPr>
            <w:tcW w:w="1559"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p>
        </w:tc>
        <w:tc>
          <w:tcPr>
            <w:tcW w:w="1560"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1,00</w:t>
            </w:r>
          </w:p>
        </w:tc>
        <w:tc>
          <w:tcPr>
            <w:tcW w:w="1701"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1,00</w:t>
            </w:r>
          </w:p>
        </w:tc>
        <w:tc>
          <w:tcPr>
            <w:tcW w:w="1701"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1,00</w:t>
            </w: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Скорректированная цена</w:t>
            </w:r>
          </w:p>
        </w:tc>
        <w:tc>
          <w:tcPr>
            <w:tcW w:w="1559"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p>
        </w:tc>
        <w:tc>
          <w:tcPr>
            <w:tcW w:w="1560"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23 729,00</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27518,00</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25773,00</w:t>
            </w: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Условия продажи</w:t>
            </w:r>
          </w:p>
        </w:tc>
        <w:tc>
          <w:tcPr>
            <w:tcW w:w="1559"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p>
        </w:tc>
        <w:tc>
          <w:tcPr>
            <w:tcW w:w="1560"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Типичные</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Типичные</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Типичные</w:t>
            </w: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Корректировка</w:t>
            </w:r>
          </w:p>
        </w:tc>
        <w:tc>
          <w:tcPr>
            <w:tcW w:w="1559"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p>
        </w:tc>
        <w:tc>
          <w:tcPr>
            <w:tcW w:w="1560"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1,00</w:t>
            </w:r>
          </w:p>
        </w:tc>
        <w:tc>
          <w:tcPr>
            <w:tcW w:w="1701"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1,00</w:t>
            </w:r>
          </w:p>
        </w:tc>
        <w:tc>
          <w:tcPr>
            <w:tcW w:w="1701"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1,00</w:t>
            </w: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Скорректированная цена</w:t>
            </w:r>
          </w:p>
        </w:tc>
        <w:tc>
          <w:tcPr>
            <w:tcW w:w="1559"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p>
        </w:tc>
        <w:tc>
          <w:tcPr>
            <w:tcW w:w="1560"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23 729,00</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27518,00</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25773,00</w:t>
            </w: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 xml:space="preserve">Условия рынка. Изменения цен за период между датами сделки и </w:t>
            </w:r>
            <w:r w:rsidRPr="00AA5204">
              <w:rPr>
                <w:rFonts w:asciiTheme="majorHAnsi" w:hAnsiTheme="majorHAnsi"/>
                <w:b/>
                <w:bCs/>
                <w:color w:val="000000"/>
                <w:sz w:val="18"/>
                <w:szCs w:val="18"/>
              </w:rPr>
              <w:lastRenderedPageBreak/>
              <w:t>оценки</w:t>
            </w:r>
          </w:p>
        </w:tc>
        <w:tc>
          <w:tcPr>
            <w:tcW w:w="1559"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p>
        </w:tc>
        <w:tc>
          <w:tcPr>
            <w:tcW w:w="1560"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p>
        </w:tc>
      </w:tr>
      <w:tr w:rsidR="00AA5204" w:rsidRPr="00AA5204" w:rsidTr="00AA5204">
        <w:trPr>
          <w:trHeight w:val="20"/>
        </w:trPr>
        <w:tc>
          <w:tcPr>
            <w:tcW w:w="3559" w:type="dxa"/>
            <w:gridSpan w:val="2"/>
            <w:shd w:val="clear" w:color="000000" w:fill="FFFFFF"/>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Дата продажи, предложения (оценки)</w:t>
            </w:r>
          </w:p>
        </w:tc>
        <w:tc>
          <w:tcPr>
            <w:tcW w:w="1559"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Август 2017 г.</w:t>
            </w:r>
          </w:p>
        </w:tc>
        <w:tc>
          <w:tcPr>
            <w:tcW w:w="1560"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Август 2017 г.</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Август 2017 г.</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Август 2017 г.</w:t>
            </w:r>
          </w:p>
        </w:tc>
      </w:tr>
      <w:tr w:rsidR="00AA5204" w:rsidRPr="00AA5204" w:rsidTr="00AA5204">
        <w:trPr>
          <w:trHeight w:val="20"/>
        </w:trPr>
        <w:tc>
          <w:tcPr>
            <w:tcW w:w="3559" w:type="dxa"/>
            <w:gridSpan w:val="2"/>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Корректировка</w:t>
            </w:r>
          </w:p>
        </w:tc>
        <w:tc>
          <w:tcPr>
            <w:tcW w:w="1559"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p>
        </w:tc>
        <w:tc>
          <w:tcPr>
            <w:tcW w:w="1560"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w:t>
            </w: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Скорректированная цена</w:t>
            </w:r>
          </w:p>
        </w:tc>
        <w:tc>
          <w:tcPr>
            <w:tcW w:w="1559"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p>
        </w:tc>
        <w:tc>
          <w:tcPr>
            <w:tcW w:w="1560"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23729,00</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27 518,00</w:t>
            </w: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25 773,00</w:t>
            </w: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Скидка к ценам предложений</w:t>
            </w:r>
          </w:p>
        </w:tc>
        <w:tc>
          <w:tcPr>
            <w:tcW w:w="1559"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p>
        </w:tc>
        <w:tc>
          <w:tcPr>
            <w:tcW w:w="1560" w:type="dxa"/>
            <w:shd w:val="clear" w:color="auto" w:fill="auto"/>
            <w:vAlign w:val="center"/>
            <w:hideMark/>
          </w:tcPr>
          <w:p w:rsidR="00AA5204" w:rsidRPr="00AA5204" w:rsidRDefault="00AA5204" w:rsidP="00AA5204">
            <w:pPr>
              <w:jc w:val="center"/>
              <w:rPr>
                <w:rFonts w:asciiTheme="majorHAnsi" w:hAnsiTheme="majorHAnsi"/>
                <w:color w:val="000000"/>
                <w:sz w:val="18"/>
                <w:szCs w:val="18"/>
              </w:rPr>
            </w:pP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p>
        </w:tc>
        <w:tc>
          <w:tcPr>
            <w:tcW w:w="1701" w:type="dxa"/>
            <w:shd w:val="clear" w:color="000000" w:fill="FFFFFF"/>
            <w:vAlign w:val="center"/>
            <w:hideMark/>
          </w:tcPr>
          <w:p w:rsidR="00AA5204" w:rsidRPr="00AA5204" w:rsidRDefault="00AA5204" w:rsidP="00AA5204">
            <w:pPr>
              <w:jc w:val="center"/>
              <w:rPr>
                <w:rFonts w:asciiTheme="majorHAnsi" w:hAnsiTheme="majorHAnsi"/>
                <w:color w:val="000000"/>
                <w:sz w:val="18"/>
                <w:szCs w:val="18"/>
              </w:rPr>
            </w:pP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color w:val="000000"/>
                <w:sz w:val="18"/>
                <w:szCs w:val="18"/>
              </w:rPr>
            </w:pPr>
            <w:r w:rsidRPr="00AA5204">
              <w:rPr>
                <w:rFonts w:asciiTheme="majorHAnsi" w:hAnsiTheme="majorHAnsi"/>
                <w:color w:val="000000"/>
                <w:sz w:val="18"/>
                <w:szCs w:val="18"/>
              </w:rPr>
              <w:t>Корректировка</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p>
        </w:tc>
        <w:tc>
          <w:tcPr>
            <w:tcW w:w="1560"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16,9%</w:t>
            </w: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16,9%</w:t>
            </w: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16,9%</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color w:val="000000"/>
                <w:sz w:val="18"/>
                <w:szCs w:val="18"/>
              </w:rPr>
            </w:pPr>
            <w:r w:rsidRPr="00AA5204">
              <w:rPr>
                <w:rFonts w:asciiTheme="majorHAnsi" w:hAnsiTheme="majorHAnsi"/>
                <w:color w:val="000000"/>
                <w:sz w:val="18"/>
                <w:szCs w:val="18"/>
              </w:rPr>
              <w:t>Скорректированная цена</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19719,00</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22867,00</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21417,00</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Вид использования</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Нежилое здание  (Административно-бытовой комплекс )</w:t>
            </w: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Нежилое здание (административное, конторское)</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Отдельно стоящее здание коммерческого назначения</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Нежилое здание (административное, конторское)</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color w:val="000000"/>
                <w:sz w:val="18"/>
                <w:szCs w:val="18"/>
              </w:rPr>
            </w:pPr>
            <w:r w:rsidRPr="00AA5204">
              <w:rPr>
                <w:rFonts w:asciiTheme="majorHAnsi" w:hAnsiTheme="majorHAnsi"/>
                <w:color w:val="000000"/>
                <w:sz w:val="18"/>
                <w:szCs w:val="18"/>
              </w:rPr>
              <w:t>Корректировка</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1,00</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1,00</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1,00</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color w:val="000000"/>
                <w:sz w:val="18"/>
                <w:szCs w:val="18"/>
              </w:rPr>
            </w:pPr>
            <w:r w:rsidRPr="00AA5204">
              <w:rPr>
                <w:rFonts w:asciiTheme="majorHAnsi" w:hAnsiTheme="majorHAnsi"/>
                <w:color w:val="000000"/>
                <w:sz w:val="18"/>
                <w:szCs w:val="18"/>
              </w:rPr>
              <w:t>Скорректированная цена</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19719,00</w:t>
            </w: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22867,00</w:t>
            </w: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21417,00</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Местоположение объекта</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Белгородская обл. г. Белгород, ул Сумская, 168</w:t>
            </w: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п. Маслова пристань, ул. Мая, 1 Белгородская область</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Б. Хмельницкого пр-кт, 135 в Белгороде, в Белгородской области</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Белгород, ул. Зеленая Поляна</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Среднее значение коэффициента</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w:t>
            </w: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color w:val="000000"/>
                <w:sz w:val="18"/>
                <w:szCs w:val="18"/>
              </w:rPr>
            </w:pPr>
            <w:r w:rsidRPr="00AA5204">
              <w:rPr>
                <w:rFonts w:asciiTheme="majorHAnsi" w:hAnsiTheme="majorHAnsi"/>
                <w:color w:val="000000"/>
                <w:sz w:val="18"/>
                <w:szCs w:val="18"/>
              </w:rPr>
              <w:t>Корректировка</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1,00</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1,00</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1,00</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color w:val="000000"/>
                <w:sz w:val="18"/>
                <w:szCs w:val="18"/>
              </w:rPr>
            </w:pPr>
            <w:r w:rsidRPr="00AA5204">
              <w:rPr>
                <w:rFonts w:asciiTheme="majorHAnsi" w:hAnsiTheme="majorHAnsi"/>
                <w:color w:val="000000"/>
                <w:sz w:val="18"/>
                <w:szCs w:val="18"/>
              </w:rPr>
              <w:t>Скорректированная цена</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19719,00</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22867,00</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21417,00</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Физические характеристики объекта</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Площадь</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3 149,60</w:t>
            </w: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1475,00</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3634,00</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1358,00</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color w:val="000000"/>
                <w:sz w:val="18"/>
                <w:szCs w:val="18"/>
              </w:rPr>
            </w:pPr>
            <w:r w:rsidRPr="00AA5204">
              <w:rPr>
                <w:rFonts w:asciiTheme="majorHAnsi" w:hAnsiTheme="majorHAnsi"/>
                <w:color w:val="000000"/>
                <w:sz w:val="18"/>
                <w:szCs w:val="18"/>
              </w:rPr>
              <w:t>Корректировка</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0,94</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0,94</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color w:val="000000"/>
                <w:sz w:val="18"/>
                <w:szCs w:val="18"/>
              </w:rPr>
            </w:pPr>
            <w:r w:rsidRPr="00AA5204">
              <w:rPr>
                <w:rFonts w:asciiTheme="majorHAnsi" w:hAnsiTheme="majorHAnsi"/>
                <w:color w:val="000000"/>
                <w:sz w:val="18"/>
                <w:szCs w:val="18"/>
              </w:rPr>
              <w:t>Скорректированная цена</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18536,00</w:t>
            </w: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22867,00</w:t>
            </w: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20132,00</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Коммуникации</w:t>
            </w:r>
          </w:p>
        </w:tc>
        <w:tc>
          <w:tcPr>
            <w:tcW w:w="1559"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Коммуникации имеются</w:t>
            </w:r>
          </w:p>
        </w:tc>
        <w:tc>
          <w:tcPr>
            <w:tcW w:w="1560"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Коммуникации имеются</w:t>
            </w: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Коммуникации имеются</w:t>
            </w: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Коммуникации имеются</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color w:val="000000"/>
                <w:sz w:val="18"/>
                <w:szCs w:val="18"/>
              </w:rPr>
            </w:pPr>
            <w:r w:rsidRPr="00AA5204">
              <w:rPr>
                <w:rFonts w:asciiTheme="majorHAnsi" w:hAnsiTheme="majorHAnsi"/>
                <w:color w:val="000000"/>
                <w:sz w:val="18"/>
                <w:szCs w:val="18"/>
              </w:rPr>
              <w:t>Корректировка</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p>
        </w:tc>
        <w:tc>
          <w:tcPr>
            <w:tcW w:w="1560"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w:t>
            </w: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w:t>
            </w: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color w:val="000000"/>
                <w:sz w:val="18"/>
                <w:szCs w:val="18"/>
              </w:rPr>
            </w:pPr>
            <w:r w:rsidRPr="00AA5204">
              <w:rPr>
                <w:rFonts w:asciiTheme="majorHAnsi" w:hAnsiTheme="majorHAnsi"/>
                <w:color w:val="000000"/>
                <w:sz w:val="18"/>
                <w:szCs w:val="18"/>
              </w:rPr>
              <w:t>Скорректированная цена</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18536,00</w:t>
            </w: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22867,00</w:t>
            </w: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20132,00</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Техническое состояние</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Удовлетворительное</w:t>
            </w: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Сведения отсутствуют</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Сведения отсутствуют</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Сведения отсутствуют</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color w:val="000000"/>
                <w:sz w:val="18"/>
                <w:szCs w:val="18"/>
              </w:rPr>
            </w:pPr>
            <w:r w:rsidRPr="00AA5204">
              <w:rPr>
                <w:rFonts w:asciiTheme="majorHAnsi" w:hAnsiTheme="majorHAnsi"/>
                <w:color w:val="000000"/>
                <w:sz w:val="18"/>
                <w:szCs w:val="18"/>
              </w:rPr>
              <w:t>Корректировка</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w:t>
            </w: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w:t>
            </w:r>
          </w:p>
        </w:tc>
      </w:tr>
      <w:tr w:rsidR="001D61FD" w:rsidRPr="00AA5204" w:rsidTr="00AA5204">
        <w:trPr>
          <w:trHeight w:val="20"/>
        </w:trPr>
        <w:tc>
          <w:tcPr>
            <w:tcW w:w="2240" w:type="dxa"/>
            <w:shd w:val="clear" w:color="auto" w:fill="auto"/>
            <w:vAlign w:val="center"/>
            <w:hideMark/>
          </w:tcPr>
          <w:p w:rsidR="001D61FD" w:rsidRPr="00AA5204" w:rsidRDefault="001D61FD" w:rsidP="00AA5204">
            <w:pPr>
              <w:jc w:val="center"/>
              <w:rPr>
                <w:rFonts w:asciiTheme="majorHAnsi" w:hAnsiTheme="majorHAnsi"/>
                <w:color w:val="000000"/>
                <w:sz w:val="18"/>
                <w:szCs w:val="18"/>
              </w:rPr>
            </w:pPr>
          </w:p>
        </w:tc>
        <w:tc>
          <w:tcPr>
            <w:tcW w:w="1319" w:type="dxa"/>
            <w:shd w:val="clear" w:color="auto" w:fill="auto"/>
            <w:vAlign w:val="center"/>
            <w:hideMark/>
          </w:tcPr>
          <w:p w:rsidR="001D61FD" w:rsidRDefault="001D61FD">
            <w:pPr>
              <w:jc w:val="center"/>
              <w:rPr>
                <w:rFonts w:ascii="Cambria" w:hAnsi="Cambria"/>
                <w:color w:val="000000"/>
                <w:sz w:val="20"/>
                <w:szCs w:val="20"/>
              </w:rPr>
            </w:pPr>
            <w:r>
              <w:rPr>
                <w:rFonts w:ascii="Cambria" w:hAnsi="Cambria"/>
                <w:color w:val="000000"/>
                <w:sz w:val="20"/>
                <w:szCs w:val="20"/>
              </w:rPr>
              <w:t> </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w:t>
            </w: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w:t>
            </w:r>
          </w:p>
        </w:tc>
        <w:tc>
          <w:tcPr>
            <w:tcW w:w="1701" w:type="dxa"/>
            <w:shd w:val="clear" w:color="auto" w:fill="auto"/>
            <w:vAlign w:val="center"/>
            <w:hideMark/>
          </w:tcPr>
          <w:p w:rsidR="001D61FD" w:rsidRPr="001D61FD" w:rsidRDefault="001D61FD" w:rsidP="001D61FD">
            <w:pPr>
              <w:jc w:val="center"/>
              <w:rPr>
                <w:rFonts w:asciiTheme="majorHAnsi" w:hAnsiTheme="majorHAnsi"/>
                <w:color w:val="000000"/>
                <w:sz w:val="18"/>
                <w:szCs w:val="18"/>
              </w:rPr>
            </w:pPr>
            <w:r w:rsidRPr="001D61FD">
              <w:rPr>
                <w:rFonts w:asciiTheme="majorHAnsi" w:hAnsiTheme="majorHAnsi"/>
                <w:color w:val="000000"/>
                <w:sz w:val="18"/>
                <w:szCs w:val="18"/>
              </w:rPr>
              <w:t>1</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color w:val="000000"/>
                <w:sz w:val="18"/>
                <w:szCs w:val="18"/>
              </w:rPr>
            </w:pPr>
            <w:r w:rsidRPr="00AA5204">
              <w:rPr>
                <w:rFonts w:asciiTheme="majorHAnsi" w:hAnsiTheme="majorHAnsi"/>
                <w:color w:val="000000"/>
                <w:sz w:val="18"/>
                <w:szCs w:val="18"/>
              </w:rPr>
              <w:t>Скорретированная цена</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18536,00</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22867,00</w:t>
            </w:r>
          </w:p>
        </w:tc>
        <w:tc>
          <w:tcPr>
            <w:tcW w:w="1701"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20132,00</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Экономические характеристики</w:t>
            </w:r>
          </w:p>
        </w:tc>
        <w:tc>
          <w:tcPr>
            <w:tcW w:w="1559" w:type="dxa"/>
            <w:shd w:val="clear" w:color="auto" w:fill="auto"/>
            <w:vAlign w:val="bottom"/>
            <w:hideMark/>
          </w:tcPr>
          <w:p w:rsidR="001D61FD" w:rsidRPr="001D61FD" w:rsidRDefault="001D61FD" w:rsidP="001D61FD">
            <w:pPr>
              <w:jc w:val="center"/>
              <w:rPr>
                <w:rFonts w:ascii="Calibri" w:hAnsi="Calibri"/>
                <w:color w:val="000000"/>
                <w:sz w:val="18"/>
                <w:szCs w:val="18"/>
              </w:rPr>
            </w:pPr>
          </w:p>
        </w:tc>
        <w:tc>
          <w:tcPr>
            <w:tcW w:w="1560" w:type="dxa"/>
            <w:shd w:val="clear" w:color="000000" w:fill="FFFFFF"/>
            <w:vAlign w:val="bottom"/>
            <w:hideMark/>
          </w:tcPr>
          <w:p w:rsidR="001D61FD" w:rsidRPr="001D61FD" w:rsidRDefault="001D61FD" w:rsidP="001D61FD">
            <w:pPr>
              <w:jc w:val="center"/>
              <w:rPr>
                <w:rFonts w:ascii="Calibri" w:hAnsi="Calibri"/>
                <w:color w:val="000000"/>
                <w:sz w:val="18"/>
                <w:szCs w:val="18"/>
              </w:rPr>
            </w:pPr>
          </w:p>
        </w:tc>
        <w:tc>
          <w:tcPr>
            <w:tcW w:w="1701" w:type="dxa"/>
            <w:shd w:val="clear" w:color="000000" w:fill="FFFFFF"/>
            <w:vAlign w:val="bottom"/>
            <w:hideMark/>
          </w:tcPr>
          <w:p w:rsidR="001D61FD" w:rsidRPr="001D61FD" w:rsidRDefault="001D61FD" w:rsidP="001D61FD">
            <w:pPr>
              <w:jc w:val="center"/>
              <w:rPr>
                <w:rFonts w:ascii="Calibri" w:hAnsi="Calibri"/>
                <w:color w:val="000000"/>
                <w:sz w:val="18"/>
                <w:szCs w:val="18"/>
              </w:rPr>
            </w:pPr>
          </w:p>
        </w:tc>
        <w:tc>
          <w:tcPr>
            <w:tcW w:w="1701" w:type="dxa"/>
            <w:shd w:val="clear" w:color="000000" w:fill="FFFFFF"/>
            <w:vAlign w:val="bottom"/>
            <w:hideMark/>
          </w:tcPr>
          <w:p w:rsidR="001D61FD" w:rsidRPr="001D61FD" w:rsidRDefault="001D61FD" w:rsidP="001D61FD">
            <w:pPr>
              <w:jc w:val="center"/>
              <w:rPr>
                <w:rFonts w:ascii="Calibri" w:hAnsi="Calibri"/>
                <w:color w:val="000000"/>
                <w:sz w:val="18"/>
                <w:szCs w:val="18"/>
              </w:rPr>
            </w:pP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Уровень операционных расход</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Типичный</w:t>
            </w:r>
          </w:p>
        </w:tc>
        <w:tc>
          <w:tcPr>
            <w:tcW w:w="1560"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Типичный</w:t>
            </w: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Типичный</w:t>
            </w: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Типичный</w:t>
            </w: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Условия аренды</w:t>
            </w:r>
          </w:p>
        </w:tc>
        <w:tc>
          <w:tcPr>
            <w:tcW w:w="1559" w:type="dxa"/>
            <w:vMerge w:val="restart"/>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Не используется на правах аренды</w:t>
            </w:r>
          </w:p>
        </w:tc>
        <w:tc>
          <w:tcPr>
            <w:tcW w:w="4962" w:type="dxa"/>
            <w:gridSpan w:val="3"/>
            <w:vMerge w:val="restart"/>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Сведения отсутствуют. Не оказывают существенного влияния на результаты оценки.</w:t>
            </w: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Состав арендаторов</w:t>
            </w:r>
          </w:p>
        </w:tc>
        <w:tc>
          <w:tcPr>
            <w:tcW w:w="1559" w:type="dxa"/>
            <w:vMerge/>
            <w:vAlign w:val="center"/>
            <w:hideMark/>
          </w:tcPr>
          <w:p w:rsidR="00AA5204" w:rsidRPr="00AA5204" w:rsidRDefault="00AA5204" w:rsidP="00AA5204">
            <w:pPr>
              <w:jc w:val="center"/>
              <w:rPr>
                <w:rFonts w:asciiTheme="majorHAnsi" w:hAnsiTheme="majorHAnsi"/>
                <w:color w:val="000000"/>
                <w:sz w:val="18"/>
                <w:szCs w:val="18"/>
              </w:rPr>
            </w:pPr>
          </w:p>
        </w:tc>
        <w:tc>
          <w:tcPr>
            <w:tcW w:w="4962" w:type="dxa"/>
            <w:gridSpan w:val="3"/>
            <w:vMerge/>
            <w:vAlign w:val="center"/>
            <w:hideMark/>
          </w:tcPr>
          <w:p w:rsidR="00AA5204" w:rsidRPr="00AA5204" w:rsidRDefault="00AA5204" w:rsidP="00AA5204">
            <w:pPr>
              <w:jc w:val="center"/>
              <w:rPr>
                <w:rFonts w:asciiTheme="majorHAnsi" w:hAnsiTheme="majorHAnsi"/>
                <w:color w:val="000000"/>
                <w:sz w:val="18"/>
                <w:szCs w:val="18"/>
              </w:rPr>
            </w:pP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Иные характеристики</w:t>
            </w:r>
          </w:p>
        </w:tc>
        <w:tc>
          <w:tcPr>
            <w:tcW w:w="1559" w:type="dxa"/>
            <w:shd w:val="clear" w:color="auto" w:fill="auto"/>
            <w:vAlign w:val="bottom"/>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Отсутствуют</w:t>
            </w:r>
          </w:p>
        </w:tc>
        <w:tc>
          <w:tcPr>
            <w:tcW w:w="4962" w:type="dxa"/>
            <w:gridSpan w:val="3"/>
            <w:shd w:val="clear" w:color="auto" w:fill="auto"/>
            <w:vAlign w:val="center"/>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Сведения о других характеристиках не используются.</w:t>
            </w:r>
          </w:p>
        </w:tc>
      </w:tr>
      <w:tr w:rsidR="00AA5204" w:rsidRPr="00AA5204" w:rsidTr="00AA5204">
        <w:trPr>
          <w:trHeight w:val="20"/>
        </w:trPr>
        <w:tc>
          <w:tcPr>
            <w:tcW w:w="3559" w:type="dxa"/>
            <w:gridSpan w:val="2"/>
            <w:shd w:val="clear" w:color="auto" w:fill="auto"/>
            <w:vAlign w:val="center"/>
            <w:hideMark/>
          </w:tcPr>
          <w:p w:rsidR="00AA5204" w:rsidRPr="00AA5204" w:rsidRDefault="00AA5204"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Корректировка</w:t>
            </w:r>
          </w:p>
        </w:tc>
        <w:tc>
          <w:tcPr>
            <w:tcW w:w="1559" w:type="dxa"/>
            <w:shd w:val="clear" w:color="auto" w:fill="auto"/>
            <w:vAlign w:val="bottom"/>
            <w:hideMark/>
          </w:tcPr>
          <w:p w:rsidR="00AA5204" w:rsidRPr="00AA5204" w:rsidRDefault="00AA5204" w:rsidP="00AA5204">
            <w:pPr>
              <w:jc w:val="center"/>
              <w:rPr>
                <w:rFonts w:asciiTheme="majorHAnsi" w:hAnsiTheme="majorHAnsi"/>
                <w:color w:val="000000"/>
                <w:sz w:val="18"/>
                <w:szCs w:val="18"/>
              </w:rPr>
            </w:pPr>
          </w:p>
        </w:tc>
        <w:tc>
          <w:tcPr>
            <w:tcW w:w="1560" w:type="dxa"/>
            <w:shd w:val="clear" w:color="000000" w:fill="FFFFFF"/>
            <w:vAlign w:val="bottom"/>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w:t>
            </w:r>
          </w:p>
        </w:tc>
        <w:tc>
          <w:tcPr>
            <w:tcW w:w="1701" w:type="dxa"/>
            <w:shd w:val="clear" w:color="000000" w:fill="FFFFFF"/>
            <w:vAlign w:val="bottom"/>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w:t>
            </w:r>
          </w:p>
        </w:tc>
        <w:tc>
          <w:tcPr>
            <w:tcW w:w="1701" w:type="dxa"/>
            <w:shd w:val="clear" w:color="000000" w:fill="FFFFFF"/>
            <w:vAlign w:val="bottom"/>
            <w:hideMark/>
          </w:tcPr>
          <w:p w:rsidR="00AA5204" w:rsidRPr="00AA5204" w:rsidRDefault="00AA5204" w:rsidP="00AA5204">
            <w:pPr>
              <w:jc w:val="center"/>
              <w:rPr>
                <w:rFonts w:asciiTheme="majorHAnsi" w:hAnsiTheme="majorHAnsi"/>
                <w:color w:val="000000"/>
                <w:sz w:val="18"/>
                <w:szCs w:val="18"/>
              </w:rPr>
            </w:pPr>
            <w:r w:rsidRPr="00AA5204">
              <w:rPr>
                <w:rFonts w:asciiTheme="majorHAnsi" w:hAnsiTheme="majorHAnsi"/>
                <w:color w:val="000000"/>
                <w:sz w:val="18"/>
                <w:szCs w:val="18"/>
              </w:rPr>
              <w:t>1</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b/>
                <w:bCs/>
                <w:color w:val="000000"/>
                <w:sz w:val="18"/>
                <w:szCs w:val="18"/>
              </w:rPr>
            </w:pPr>
            <w:r w:rsidRPr="00AA5204">
              <w:rPr>
                <w:rFonts w:asciiTheme="majorHAnsi" w:hAnsiTheme="majorHAnsi"/>
                <w:b/>
                <w:bCs/>
                <w:color w:val="000000"/>
                <w:sz w:val="18"/>
                <w:szCs w:val="18"/>
              </w:rPr>
              <w:t>Скорректированная цена</w:t>
            </w:r>
          </w:p>
        </w:tc>
        <w:tc>
          <w:tcPr>
            <w:tcW w:w="1559" w:type="dxa"/>
            <w:shd w:val="clear" w:color="auto" w:fill="auto"/>
            <w:vAlign w:val="bottom"/>
            <w:hideMark/>
          </w:tcPr>
          <w:p w:rsidR="001D61FD" w:rsidRPr="001D61FD" w:rsidRDefault="001D61FD" w:rsidP="001D61FD">
            <w:pPr>
              <w:jc w:val="center"/>
              <w:rPr>
                <w:rFonts w:ascii="Calibri" w:hAnsi="Calibri"/>
                <w:color w:val="000000"/>
                <w:sz w:val="18"/>
                <w:szCs w:val="18"/>
              </w:rPr>
            </w:pPr>
          </w:p>
        </w:tc>
        <w:tc>
          <w:tcPr>
            <w:tcW w:w="1560" w:type="dxa"/>
            <w:shd w:val="clear" w:color="000000" w:fill="FFFFFF"/>
            <w:vAlign w:val="bottom"/>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18536,00</w:t>
            </w:r>
          </w:p>
        </w:tc>
        <w:tc>
          <w:tcPr>
            <w:tcW w:w="1701" w:type="dxa"/>
            <w:shd w:val="clear" w:color="000000" w:fill="FFFFFF"/>
            <w:vAlign w:val="bottom"/>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22867,00</w:t>
            </w:r>
          </w:p>
        </w:tc>
        <w:tc>
          <w:tcPr>
            <w:tcW w:w="1701" w:type="dxa"/>
            <w:shd w:val="clear" w:color="000000" w:fill="FFFFFF"/>
            <w:vAlign w:val="bottom"/>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20132,00</w:t>
            </w: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color w:val="000000"/>
                <w:sz w:val="18"/>
                <w:szCs w:val="18"/>
              </w:rPr>
            </w:pPr>
            <w:r w:rsidRPr="00AA5204">
              <w:rPr>
                <w:rFonts w:asciiTheme="majorHAnsi" w:hAnsiTheme="majorHAnsi"/>
                <w:color w:val="000000"/>
                <w:sz w:val="18"/>
                <w:szCs w:val="18"/>
              </w:rPr>
              <w:t>Цена  за ед.  общей площади, руб.</w:t>
            </w:r>
          </w:p>
        </w:tc>
        <w:tc>
          <w:tcPr>
            <w:tcW w:w="1559" w:type="dxa"/>
            <w:shd w:val="clear" w:color="auto" w:fill="auto"/>
            <w:vAlign w:val="center"/>
            <w:hideMark/>
          </w:tcPr>
          <w:p w:rsidR="001D61FD" w:rsidRPr="001D61FD" w:rsidRDefault="001D61FD" w:rsidP="001D61FD">
            <w:pPr>
              <w:jc w:val="center"/>
              <w:rPr>
                <w:rFonts w:ascii="Cambria" w:hAnsi="Cambria"/>
                <w:color w:val="000000"/>
                <w:sz w:val="18"/>
                <w:szCs w:val="18"/>
              </w:rPr>
            </w:pPr>
            <w:r w:rsidRPr="001D61FD">
              <w:rPr>
                <w:rFonts w:ascii="Cambria" w:hAnsi="Cambria"/>
                <w:color w:val="000000"/>
                <w:sz w:val="18"/>
                <w:szCs w:val="18"/>
              </w:rPr>
              <w:t>20 511,67</w:t>
            </w: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p>
        </w:tc>
      </w:tr>
      <w:tr w:rsidR="001D61FD" w:rsidRPr="00AA5204" w:rsidTr="00AA5204">
        <w:trPr>
          <w:trHeight w:val="20"/>
        </w:trPr>
        <w:tc>
          <w:tcPr>
            <w:tcW w:w="3559" w:type="dxa"/>
            <w:gridSpan w:val="2"/>
            <w:shd w:val="clear" w:color="auto" w:fill="auto"/>
            <w:vAlign w:val="center"/>
            <w:hideMark/>
          </w:tcPr>
          <w:p w:rsidR="001D61FD" w:rsidRPr="00AA5204" w:rsidRDefault="001D61FD" w:rsidP="00AA5204">
            <w:pPr>
              <w:jc w:val="center"/>
              <w:rPr>
                <w:rFonts w:asciiTheme="majorHAnsi" w:hAnsiTheme="majorHAnsi"/>
                <w:color w:val="000000"/>
                <w:sz w:val="18"/>
                <w:szCs w:val="18"/>
              </w:rPr>
            </w:pPr>
            <w:r w:rsidRPr="00AA5204">
              <w:rPr>
                <w:rFonts w:asciiTheme="majorHAnsi" w:hAnsiTheme="majorHAnsi"/>
                <w:color w:val="000000"/>
                <w:sz w:val="18"/>
                <w:szCs w:val="18"/>
              </w:rPr>
              <w:t>Стоимость ОКС, руб.</w:t>
            </w:r>
          </w:p>
        </w:tc>
        <w:tc>
          <w:tcPr>
            <w:tcW w:w="1559" w:type="dxa"/>
            <w:shd w:val="clear" w:color="auto" w:fill="auto"/>
            <w:vAlign w:val="center"/>
            <w:hideMark/>
          </w:tcPr>
          <w:p w:rsidR="001D61FD" w:rsidRPr="001D61FD" w:rsidRDefault="001D61FD" w:rsidP="001D61FD">
            <w:pPr>
              <w:jc w:val="center"/>
              <w:rPr>
                <w:rFonts w:ascii="Cambria" w:hAnsi="Cambria"/>
                <w:b/>
                <w:bCs/>
                <w:color w:val="000000"/>
                <w:sz w:val="18"/>
                <w:szCs w:val="18"/>
              </w:rPr>
            </w:pPr>
            <w:r w:rsidRPr="001D61FD">
              <w:rPr>
                <w:rFonts w:ascii="Cambria" w:hAnsi="Cambria"/>
                <w:b/>
                <w:bCs/>
                <w:color w:val="000000"/>
                <w:sz w:val="18"/>
                <w:szCs w:val="18"/>
              </w:rPr>
              <w:t>64 603 545,0</w:t>
            </w:r>
          </w:p>
        </w:tc>
        <w:tc>
          <w:tcPr>
            <w:tcW w:w="1560" w:type="dxa"/>
            <w:shd w:val="clear" w:color="auto" w:fill="auto"/>
            <w:vAlign w:val="center"/>
            <w:hideMark/>
          </w:tcPr>
          <w:p w:rsidR="001D61FD" w:rsidRPr="001D61FD" w:rsidRDefault="001D61FD" w:rsidP="001D61FD">
            <w:pPr>
              <w:jc w:val="center"/>
              <w:rPr>
                <w:rFonts w:ascii="Cambria" w:hAnsi="Cambria"/>
                <w:color w:val="000000"/>
                <w:sz w:val="18"/>
                <w:szCs w:val="18"/>
              </w:rPr>
            </w:pP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p>
        </w:tc>
        <w:tc>
          <w:tcPr>
            <w:tcW w:w="1701" w:type="dxa"/>
            <w:shd w:val="clear" w:color="000000" w:fill="FFFFFF"/>
            <w:vAlign w:val="center"/>
            <w:hideMark/>
          </w:tcPr>
          <w:p w:rsidR="001D61FD" w:rsidRPr="001D61FD" w:rsidRDefault="001D61FD" w:rsidP="001D61FD">
            <w:pPr>
              <w:jc w:val="center"/>
              <w:rPr>
                <w:rFonts w:ascii="Cambria" w:hAnsi="Cambria"/>
                <w:color w:val="000000"/>
                <w:sz w:val="18"/>
                <w:szCs w:val="18"/>
              </w:rPr>
            </w:pPr>
          </w:p>
        </w:tc>
      </w:tr>
    </w:tbl>
    <w:p w:rsidR="00AA5204" w:rsidRPr="00D461C3" w:rsidRDefault="00AA5204" w:rsidP="00AA5204">
      <w:pPr>
        <w:tabs>
          <w:tab w:val="center" w:pos="4677"/>
          <w:tab w:val="right" w:pos="9355"/>
        </w:tabs>
        <w:spacing w:before="120" w:after="120" w:line="276" w:lineRule="auto"/>
        <w:jc w:val="center"/>
        <w:rPr>
          <w:rFonts w:asciiTheme="majorHAnsi" w:eastAsiaTheme="minorHAnsi" w:hAnsiTheme="majorHAnsi" w:cstheme="minorBidi"/>
          <w:b/>
          <w:sz w:val="20"/>
          <w:szCs w:val="23"/>
          <w:lang w:eastAsia="en-US"/>
        </w:rPr>
      </w:pPr>
      <w:r w:rsidRPr="00D461C3">
        <w:rPr>
          <w:rFonts w:asciiTheme="majorHAnsi" w:eastAsiaTheme="minorHAnsi" w:hAnsiTheme="majorHAnsi" w:cstheme="minorBidi"/>
          <w:b/>
          <w:sz w:val="20"/>
          <w:szCs w:val="23"/>
          <w:lang w:eastAsia="en-US"/>
        </w:rPr>
        <w:t>Использованные корректировки:</w:t>
      </w:r>
    </w:p>
    <w:p w:rsidR="00AA520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ПЕРЕДАВАЕМЫЕ ИМУЩЕСТВЕННЫЕ ПРАВА. </w:t>
      </w:r>
      <w:r w:rsidRPr="00091DE4">
        <w:rPr>
          <w:rFonts w:ascii="Cambria" w:eastAsiaTheme="minorHAnsi" w:hAnsi="Cambria" w:cs="Cambria"/>
          <w:color w:val="000000"/>
          <w:sz w:val="20"/>
          <w:szCs w:val="20"/>
          <w:lang w:eastAsia="en-US"/>
        </w:rPr>
        <w:t>В связи с тем, что оцениваемый объект и объекты-аналоги находятся в собственности, корректировка не вводилась.</w:t>
      </w:r>
    </w:p>
    <w:p w:rsidR="00AA5204" w:rsidRPr="00091DE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color w:val="000000"/>
          <w:sz w:val="20"/>
          <w:szCs w:val="20"/>
          <w:lang w:eastAsia="en-US"/>
        </w:rPr>
        <w:t xml:space="preserve"> </w:t>
      </w:r>
    </w:p>
    <w:p w:rsidR="00AA520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ОГРАНИЧЕНИЯ ЭТИХ ПРАВ. </w:t>
      </w:r>
      <w:r w:rsidRPr="00091DE4">
        <w:rPr>
          <w:rFonts w:ascii="Cambria" w:eastAsiaTheme="minorHAnsi" w:hAnsi="Cambria" w:cs="Cambria"/>
          <w:color w:val="000000"/>
          <w:sz w:val="20"/>
          <w:szCs w:val="20"/>
          <w:lang w:eastAsia="en-US"/>
        </w:rPr>
        <w:t xml:space="preserve">Корректировка отсутствует. </w:t>
      </w:r>
    </w:p>
    <w:p w:rsidR="00AA5204" w:rsidRPr="00091DE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p>
    <w:p w:rsidR="00AA520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УСЛОВИЯ ФИНАНСИРОВАНИЯ. </w:t>
      </w:r>
      <w:r w:rsidRPr="00091DE4">
        <w:rPr>
          <w:rFonts w:ascii="Cambria" w:eastAsiaTheme="minorHAnsi" w:hAnsi="Cambria" w:cs="Cambria"/>
          <w:color w:val="000000"/>
          <w:sz w:val="20"/>
          <w:szCs w:val="20"/>
          <w:lang w:eastAsia="en-US"/>
        </w:rPr>
        <w:t xml:space="preserve">Предусматривается оплата всех объектов денежными средствами покупателей. Корректировка отсутствует. </w:t>
      </w:r>
    </w:p>
    <w:p w:rsidR="00AA5204" w:rsidRPr="00091DE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p>
    <w:p w:rsidR="00AA520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УСЛОВИЯ ПРОДАЖИ </w:t>
      </w:r>
      <w:r w:rsidRPr="00091DE4">
        <w:rPr>
          <w:rFonts w:ascii="Cambria" w:eastAsiaTheme="minorHAnsi" w:hAnsi="Cambria" w:cs="Cambria"/>
          <w:color w:val="000000"/>
          <w:sz w:val="20"/>
          <w:szCs w:val="20"/>
          <w:lang w:eastAsia="en-US"/>
        </w:rPr>
        <w:t>типичные – корректировка отсутствует.</w:t>
      </w:r>
    </w:p>
    <w:p w:rsidR="00AA5204" w:rsidRPr="00091DE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p>
    <w:p w:rsidR="00AA5204" w:rsidRPr="00091DE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УСЛОВИЯ РЫНКА: </w:t>
      </w:r>
    </w:p>
    <w:p w:rsidR="00AA5204" w:rsidRPr="00091DE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ИЗМЕНЕНИЕ ЦЕН ЗА ПЕРИОД МЕЖДУ ДАТАМИ СДЕЛКИ И ОЦЕНКИ. </w:t>
      </w:r>
    </w:p>
    <w:p w:rsidR="00AA5204" w:rsidRPr="00091DE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color w:val="000000"/>
          <w:sz w:val="20"/>
          <w:szCs w:val="20"/>
          <w:lang w:eastAsia="en-US"/>
        </w:rPr>
        <w:t xml:space="preserve">Ситуация на рынке может измениться со времени продажи сравнимого объекта на дату проведения оценки оцениваемого объекта. Причиной произошедших изменений могут быть такие факторы, как инфляция, изменившийся спрос и изменившееся предложение. Само по себе время не является поводом для внесения поправок, корректировка оправдывается изменениями экономической ситуации за рассматриваемый промежуток времени. </w:t>
      </w:r>
    </w:p>
    <w:p w:rsidR="00AA520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color w:val="000000"/>
          <w:sz w:val="20"/>
          <w:szCs w:val="20"/>
          <w:lang w:eastAsia="en-US"/>
        </w:rPr>
        <w:t xml:space="preserve">Корректировка не вводилась. </w:t>
      </w:r>
    </w:p>
    <w:p w:rsidR="00AA5204" w:rsidRPr="00091DE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p>
    <w:p w:rsidR="00AA5204" w:rsidRPr="0016120D" w:rsidRDefault="00AA5204" w:rsidP="00AA5204">
      <w:pPr>
        <w:autoSpaceDE w:val="0"/>
        <w:autoSpaceDN w:val="0"/>
        <w:adjustRightInd w:val="0"/>
        <w:spacing w:after="120" w:line="240" w:lineRule="exact"/>
        <w:ind w:firstLine="709"/>
        <w:jc w:val="both"/>
        <w:rPr>
          <w:rFonts w:asciiTheme="majorHAnsi" w:eastAsia="Arial Unicode MS" w:hAnsiTheme="majorHAnsi" w:cstheme="minorBidi"/>
          <w:b/>
          <w:sz w:val="20"/>
          <w:szCs w:val="23"/>
          <w:lang w:eastAsia="en-US"/>
        </w:rPr>
      </w:pPr>
      <w:r w:rsidRPr="00091DE4">
        <w:rPr>
          <w:rFonts w:ascii="Cambria" w:eastAsiaTheme="minorHAnsi" w:hAnsi="Cambria" w:cs="Cambria"/>
          <w:b/>
          <w:bCs/>
          <w:color w:val="000000"/>
          <w:sz w:val="20"/>
          <w:szCs w:val="20"/>
          <w:lang w:eastAsia="en-US"/>
        </w:rPr>
        <w:lastRenderedPageBreak/>
        <w:t xml:space="preserve">СКИДКИ К ЦЕНАМ ПРЕДЛОЖЕНИЙ. Корректировка рассчитана </w:t>
      </w:r>
      <w:r w:rsidRPr="001148A3">
        <w:rPr>
          <w:rFonts w:asciiTheme="majorHAnsi" w:eastAsiaTheme="minorHAnsi" w:hAnsiTheme="majorHAnsi" w:cstheme="minorBidi"/>
          <w:sz w:val="20"/>
          <w:szCs w:val="23"/>
          <w:lang w:eastAsia="en-US"/>
        </w:rPr>
        <w:t>Подобранные для объекта оценки аналоги –  выставленные с целью публичной оферты цены предложения. Как правило, продавец на рынке недвижимости и арендных ставок недвижимости, готов идти на уступки по цене, и реальная сделка происходит ниже цены предложения. Расчетным путем поправку на назначение цены не произвести.</w:t>
      </w:r>
    </w:p>
    <w:p w:rsidR="00AA5204" w:rsidRPr="001148A3" w:rsidRDefault="00AA5204" w:rsidP="00AA5204">
      <w:pPr>
        <w:ind w:firstLine="709"/>
        <w:jc w:val="both"/>
        <w:rPr>
          <w:rFonts w:asciiTheme="majorHAnsi" w:eastAsiaTheme="minorHAnsi" w:hAnsiTheme="majorHAnsi" w:cstheme="minorBidi"/>
          <w:sz w:val="20"/>
          <w:szCs w:val="23"/>
          <w:lang w:eastAsia="en-US"/>
        </w:rPr>
      </w:pPr>
      <w:r w:rsidRPr="001148A3">
        <w:rPr>
          <w:rFonts w:asciiTheme="majorHAnsi" w:eastAsiaTheme="minorHAnsi" w:hAnsiTheme="majorHAnsi" w:cstheme="minorBidi"/>
          <w:sz w:val="20"/>
          <w:szCs w:val="23"/>
          <w:lang w:eastAsia="en-US"/>
        </w:rPr>
        <w:t xml:space="preserve">Информация о ценах сделок с объектами недвижимости, о реальных, соответствующим рыночным условиям, в основном является закрытой и не разглашается третьим лицам. Как правило, информация об этих сделках недоступна, поэтому для проведения сравнительного анализа оценщик использует цены предложения на сравниваемые объекты и, существующие на рынке на дату оценки  предложения по объектам-аналогам. </w:t>
      </w:r>
    </w:p>
    <w:p w:rsidR="00AA5204" w:rsidRPr="001148A3" w:rsidRDefault="00AA5204" w:rsidP="00AA5204">
      <w:pPr>
        <w:ind w:firstLine="709"/>
        <w:jc w:val="both"/>
        <w:rPr>
          <w:rFonts w:asciiTheme="majorHAnsi" w:eastAsiaTheme="minorHAnsi" w:hAnsiTheme="majorHAnsi" w:cstheme="minorBidi"/>
          <w:sz w:val="20"/>
          <w:szCs w:val="23"/>
          <w:lang w:eastAsia="en-US"/>
        </w:rPr>
      </w:pPr>
      <w:r w:rsidRPr="001148A3">
        <w:rPr>
          <w:rFonts w:asciiTheme="majorHAnsi" w:eastAsiaTheme="minorHAnsi" w:hAnsiTheme="majorHAnsi" w:cstheme="minorBidi"/>
          <w:sz w:val="20"/>
          <w:szCs w:val="23"/>
          <w:lang w:eastAsia="en-US"/>
        </w:rPr>
        <w:t>С учетом сложившейся практики в оценке объектов недвижимости и тенденции развития рынков недвижимости в РФ применение цен предложения является неизбежным. Для использования таких цен требуется включать в расчеты дополнительную корректировку: «скидку на торг».</w:t>
      </w:r>
    </w:p>
    <w:p w:rsidR="00AA5204" w:rsidRDefault="00AA5204" w:rsidP="00AA5204">
      <w:pPr>
        <w:ind w:firstLine="709"/>
        <w:jc w:val="both"/>
        <w:rPr>
          <w:rFonts w:asciiTheme="majorHAnsi" w:eastAsiaTheme="minorHAnsi" w:hAnsiTheme="majorHAnsi" w:cstheme="minorBidi"/>
          <w:sz w:val="20"/>
          <w:szCs w:val="23"/>
          <w:lang w:eastAsia="en-US"/>
        </w:rPr>
      </w:pPr>
      <w:r w:rsidRPr="001148A3">
        <w:rPr>
          <w:rFonts w:asciiTheme="majorHAnsi" w:eastAsiaTheme="minorHAnsi" w:hAnsiTheme="majorHAnsi" w:cstheme="minorBidi"/>
          <w:sz w:val="20"/>
          <w:szCs w:val="23"/>
          <w:lang w:eastAsia="en-US"/>
        </w:rPr>
        <w:t xml:space="preserve">Наиболее оптимальным методом расчета такой скидки является изучение истории продаж ряда объектов и сопоставление цен сделок с ценами предложения. К сожалению, применение данного метода крайне ограничено: профессиональные участники рынка неохотно предоставляют необходимую информацию. </w:t>
      </w:r>
    </w:p>
    <w:p w:rsidR="00AA5204" w:rsidRDefault="00AA5204" w:rsidP="00AA5204">
      <w:pPr>
        <w:ind w:firstLine="709"/>
        <w:jc w:val="both"/>
        <w:rPr>
          <w:rFonts w:eastAsiaTheme="majorEastAsia" w:cstheme="majorBidi"/>
          <w:b/>
          <w:bCs/>
          <w:sz w:val="28"/>
          <w:szCs w:val="28"/>
        </w:rPr>
      </w:pPr>
      <w:r>
        <w:rPr>
          <w:rFonts w:ascii="Cambria" w:eastAsiaTheme="minorHAnsi" w:hAnsi="Cambria" w:cs="Cambria"/>
          <w:color w:val="000000"/>
          <w:sz w:val="20"/>
          <w:szCs w:val="20"/>
          <w:lang w:eastAsia="en-US"/>
        </w:rPr>
        <w:t>П</w:t>
      </w:r>
      <w:r w:rsidRPr="00091DE4">
        <w:rPr>
          <w:rFonts w:ascii="Cambria" w:eastAsiaTheme="minorHAnsi" w:hAnsi="Cambria" w:cs="Cambria"/>
          <w:color w:val="000000"/>
          <w:sz w:val="20"/>
          <w:szCs w:val="20"/>
          <w:lang w:eastAsia="en-US"/>
        </w:rPr>
        <w:t xml:space="preserve">о результатам исследований (Справочник оценщика недвижимости. Том </w:t>
      </w:r>
      <w:r w:rsidR="001D61FD">
        <w:rPr>
          <w:rFonts w:ascii="Cambria" w:eastAsiaTheme="minorHAnsi" w:hAnsi="Cambria" w:cs="Cambria"/>
          <w:color w:val="000000"/>
          <w:sz w:val="20"/>
          <w:szCs w:val="20"/>
          <w:lang w:eastAsia="en-US"/>
        </w:rPr>
        <w:t>2</w:t>
      </w:r>
      <w:r w:rsidRPr="00091DE4">
        <w:rPr>
          <w:rFonts w:ascii="Cambria" w:eastAsiaTheme="minorHAnsi" w:hAnsi="Cambria" w:cs="Cambria"/>
          <w:color w:val="000000"/>
          <w:sz w:val="20"/>
          <w:szCs w:val="20"/>
          <w:lang w:eastAsia="en-US"/>
        </w:rPr>
        <w:t>. Часть 2 «</w:t>
      </w:r>
      <w:r w:rsidR="001D61FD">
        <w:rPr>
          <w:rFonts w:ascii="Cambria" w:eastAsiaTheme="minorHAnsi" w:hAnsi="Cambria" w:cs="Cambria"/>
          <w:color w:val="000000"/>
          <w:sz w:val="20"/>
          <w:szCs w:val="20"/>
          <w:lang w:eastAsia="en-US"/>
        </w:rPr>
        <w:t>Офисно-торговая</w:t>
      </w:r>
      <w:r w:rsidRPr="00091DE4">
        <w:rPr>
          <w:rFonts w:ascii="Cambria" w:eastAsiaTheme="minorHAnsi" w:hAnsi="Cambria" w:cs="Cambria"/>
          <w:color w:val="000000"/>
          <w:sz w:val="20"/>
          <w:szCs w:val="20"/>
          <w:lang w:eastAsia="en-US"/>
        </w:rPr>
        <w:t xml:space="preserve"> недвижимость и сходные типы объектов» 2016 г. Нижний Новгород: Приволжский центр методического и информационного обеспечения оценки) и составляет 1</w:t>
      </w:r>
      <w:r w:rsidR="001D61FD">
        <w:rPr>
          <w:rFonts w:ascii="Cambria" w:eastAsiaTheme="minorHAnsi" w:hAnsi="Cambria" w:cs="Cambria"/>
          <w:color w:val="000000"/>
          <w:sz w:val="20"/>
          <w:szCs w:val="20"/>
          <w:lang w:eastAsia="en-US"/>
        </w:rPr>
        <w:t>6,9</w:t>
      </w:r>
      <w:r w:rsidRPr="00091DE4">
        <w:rPr>
          <w:rFonts w:ascii="Cambria" w:eastAsiaTheme="minorHAnsi" w:hAnsi="Cambria" w:cs="Cambria"/>
          <w:color w:val="000000"/>
          <w:sz w:val="20"/>
          <w:szCs w:val="20"/>
          <w:lang w:eastAsia="en-US"/>
        </w:rPr>
        <w:t xml:space="preserve"> %.</w:t>
      </w:r>
    </w:p>
    <w:p w:rsidR="001D61FD" w:rsidRDefault="001D61FD" w:rsidP="00AA5204">
      <w:pPr>
        <w:ind w:firstLine="709"/>
        <w:jc w:val="both"/>
        <w:rPr>
          <w:noProof/>
        </w:rPr>
      </w:pPr>
    </w:p>
    <w:p w:rsidR="00AA5204" w:rsidRDefault="001D61FD" w:rsidP="00AA5204">
      <w:pPr>
        <w:ind w:firstLine="709"/>
        <w:jc w:val="both"/>
        <w:rPr>
          <w:rFonts w:eastAsiaTheme="majorEastAsia" w:cstheme="majorBidi"/>
          <w:b/>
          <w:bCs/>
          <w:sz w:val="28"/>
          <w:szCs w:val="28"/>
        </w:rPr>
      </w:pPr>
      <w:r>
        <w:rPr>
          <w:noProof/>
        </w:rPr>
        <w:drawing>
          <wp:inline distT="0" distB="0" distL="0" distR="0" wp14:anchorId="78B7963B" wp14:editId="360B4873">
            <wp:extent cx="5199321" cy="5950332"/>
            <wp:effectExtent l="0" t="0" r="0" b="0"/>
            <wp:docPr id="15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10"/>
                    <a:srcRect l="41696" t="16615" r="27162" b="19954"/>
                    <a:stretch/>
                  </pic:blipFill>
                  <pic:spPr bwMode="auto">
                    <a:xfrm>
                      <a:off x="0" y="0"/>
                      <a:ext cx="5205157" cy="5957011"/>
                    </a:xfrm>
                    <a:prstGeom prst="rect">
                      <a:avLst/>
                    </a:prstGeom>
                    <a:ln>
                      <a:noFill/>
                    </a:ln>
                    <a:extLst>
                      <a:ext uri="{53640926-AAD7-44D8-BBD7-CCE9431645EC}">
                        <a14:shadowObscured xmlns:a14="http://schemas.microsoft.com/office/drawing/2010/main"/>
                      </a:ext>
                    </a:extLst>
                  </pic:spPr>
                </pic:pic>
              </a:graphicData>
            </a:graphic>
          </wp:inline>
        </w:drawing>
      </w:r>
    </w:p>
    <w:p w:rsidR="00AA5204" w:rsidRDefault="00AA5204" w:rsidP="00AA5204">
      <w:pPr>
        <w:jc w:val="center"/>
        <w:rPr>
          <w:rFonts w:eastAsiaTheme="majorEastAsia" w:cstheme="majorBidi"/>
          <w:b/>
          <w:bCs/>
          <w:sz w:val="28"/>
          <w:szCs w:val="28"/>
        </w:rPr>
      </w:pPr>
    </w:p>
    <w:p w:rsidR="00AA5204" w:rsidRDefault="00AA5204" w:rsidP="00AA5204">
      <w:pPr>
        <w:jc w:val="center"/>
        <w:rPr>
          <w:rFonts w:eastAsiaTheme="majorEastAsia" w:cstheme="majorBidi"/>
          <w:b/>
          <w:bCs/>
          <w:sz w:val="28"/>
          <w:szCs w:val="28"/>
        </w:rPr>
      </w:pPr>
    </w:p>
    <w:p w:rsidR="00AA520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ВИД ИСПОЛЬЗОВАНИЯ. </w:t>
      </w:r>
      <w:r w:rsidRPr="00091DE4">
        <w:rPr>
          <w:rFonts w:ascii="Cambria" w:eastAsiaTheme="minorHAnsi" w:hAnsi="Cambria" w:cs="Cambria"/>
          <w:color w:val="000000"/>
          <w:sz w:val="20"/>
          <w:szCs w:val="20"/>
          <w:lang w:eastAsia="en-US"/>
        </w:rPr>
        <w:t xml:space="preserve">Корректировка отсутствует. </w:t>
      </w:r>
    </w:p>
    <w:p w:rsidR="00AA520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p>
    <w:p w:rsidR="00AA5204" w:rsidRPr="00091DE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МЕСТОПОЛОЖЕНИЕ ОБЪЕКТА </w:t>
      </w:r>
    </w:p>
    <w:p w:rsidR="00AA5204" w:rsidRDefault="00AA5204" w:rsidP="00AA5204">
      <w:pPr>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color w:val="000000"/>
          <w:sz w:val="20"/>
          <w:szCs w:val="20"/>
          <w:lang w:eastAsia="en-US"/>
        </w:rPr>
        <w:t xml:space="preserve">Местоположение объекта учитывает различие в уровне цен, характерных для расположения аналогов и оцениваемого объекта. На величину поправки на местоположение оказывают влияние: уровень развития рынка недвижимости в районе, в котором расположен объект-аналог, удаленность от центра города, удаленность от остановок транспорта. </w:t>
      </w:r>
      <w:r w:rsidRPr="00091DE4">
        <w:rPr>
          <w:rFonts w:ascii="Cambria" w:eastAsiaTheme="minorHAnsi" w:hAnsi="Cambria" w:cs="Cambria"/>
          <w:b/>
          <w:bCs/>
          <w:color w:val="000000"/>
          <w:sz w:val="20"/>
          <w:szCs w:val="20"/>
          <w:lang w:eastAsia="en-US"/>
        </w:rPr>
        <w:t xml:space="preserve">Корректировка рассчитана </w:t>
      </w:r>
      <w:r w:rsidRPr="00091DE4">
        <w:rPr>
          <w:rFonts w:ascii="Cambria" w:eastAsiaTheme="minorHAnsi" w:hAnsi="Cambria" w:cs="Cambria"/>
          <w:color w:val="000000"/>
          <w:sz w:val="20"/>
          <w:szCs w:val="20"/>
          <w:lang w:eastAsia="en-US"/>
        </w:rPr>
        <w:t xml:space="preserve">по результатам исследований (Справочник оценщика недвижимости. Том </w:t>
      </w:r>
      <w:r w:rsidR="00471C8E">
        <w:rPr>
          <w:rFonts w:ascii="Cambria" w:eastAsiaTheme="minorHAnsi" w:hAnsi="Cambria" w:cs="Cambria"/>
          <w:color w:val="000000"/>
          <w:sz w:val="20"/>
          <w:szCs w:val="20"/>
          <w:lang w:eastAsia="en-US"/>
        </w:rPr>
        <w:t>2</w:t>
      </w:r>
      <w:r w:rsidRPr="00091DE4">
        <w:rPr>
          <w:rFonts w:ascii="Cambria" w:eastAsiaTheme="minorHAnsi" w:hAnsi="Cambria" w:cs="Cambria"/>
          <w:color w:val="000000"/>
          <w:sz w:val="20"/>
          <w:szCs w:val="20"/>
          <w:lang w:eastAsia="en-US"/>
        </w:rPr>
        <w:t xml:space="preserve">. Часть </w:t>
      </w:r>
      <w:r w:rsidR="00471C8E">
        <w:rPr>
          <w:rFonts w:ascii="Cambria" w:eastAsiaTheme="minorHAnsi" w:hAnsi="Cambria" w:cs="Cambria"/>
          <w:color w:val="000000"/>
          <w:sz w:val="20"/>
          <w:szCs w:val="20"/>
          <w:lang w:eastAsia="en-US"/>
        </w:rPr>
        <w:t>2</w:t>
      </w:r>
      <w:r w:rsidRPr="00091DE4">
        <w:rPr>
          <w:rFonts w:ascii="Cambria" w:eastAsiaTheme="minorHAnsi" w:hAnsi="Cambria" w:cs="Cambria"/>
          <w:color w:val="000000"/>
          <w:sz w:val="20"/>
          <w:szCs w:val="20"/>
          <w:lang w:eastAsia="en-US"/>
        </w:rPr>
        <w:t xml:space="preserve"> </w:t>
      </w:r>
      <w:r w:rsidR="00471C8E">
        <w:rPr>
          <w:rFonts w:ascii="Cambria" w:eastAsiaTheme="minorHAnsi" w:hAnsi="Cambria" w:cs="Cambria"/>
          <w:color w:val="000000"/>
          <w:sz w:val="20"/>
          <w:szCs w:val="20"/>
          <w:lang w:eastAsia="en-US"/>
        </w:rPr>
        <w:t>Торгово-офисная</w:t>
      </w:r>
      <w:r w:rsidRPr="00091DE4">
        <w:rPr>
          <w:rFonts w:ascii="Cambria" w:eastAsiaTheme="minorHAnsi" w:hAnsi="Cambria" w:cs="Cambria"/>
          <w:color w:val="000000"/>
          <w:sz w:val="20"/>
          <w:szCs w:val="20"/>
          <w:lang w:eastAsia="en-US"/>
        </w:rPr>
        <w:t xml:space="preserve"> недвижимость</w:t>
      </w:r>
      <w:r w:rsidR="00471C8E">
        <w:rPr>
          <w:rFonts w:ascii="Cambria" w:eastAsiaTheme="minorHAnsi" w:hAnsi="Cambria" w:cs="Cambria"/>
          <w:color w:val="000000"/>
          <w:sz w:val="20"/>
          <w:szCs w:val="20"/>
          <w:lang w:eastAsia="en-US"/>
        </w:rPr>
        <w:t>.</w:t>
      </w:r>
      <w:r w:rsidRPr="00091DE4">
        <w:rPr>
          <w:rFonts w:ascii="Cambria" w:eastAsiaTheme="minorHAnsi" w:hAnsi="Cambria" w:cs="Cambria"/>
          <w:color w:val="000000"/>
          <w:sz w:val="20"/>
          <w:szCs w:val="20"/>
          <w:lang w:eastAsia="en-US"/>
        </w:rPr>
        <w:t xml:space="preserve"> Нижний Новгород 2016: Приволжский центр методического и информационного обеспечения оценки).</w:t>
      </w:r>
    </w:p>
    <w:p w:rsidR="00471C8E" w:rsidRDefault="00471C8E" w:rsidP="00AA5204">
      <w:pPr>
        <w:ind w:firstLine="709"/>
        <w:jc w:val="both"/>
        <w:rPr>
          <w:rFonts w:eastAsiaTheme="majorEastAsia" w:cstheme="majorBidi"/>
          <w:b/>
          <w:bCs/>
          <w:sz w:val="28"/>
          <w:szCs w:val="28"/>
        </w:rPr>
      </w:pPr>
    </w:p>
    <w:p w:rsidR="00AA5204" w:rsidRDefault="00471C8E" w:rsidP="00A6391D">
      <w:pPr>
        <w:jc w:val="center"/>
        <w:rPr>
          <w:rFonts w:eastAsiaTheme="majorEastAsia" w:cstheme="majorBidi"/>
          <w:b/>
          <w:bCs/>
          <w:sz w:val="28"/>
          <w:szCs w:val="28"/>
        </w:rPr>
      </w:pPr>
      <w:r>
        <w:rPr>
          <w:rFonts w:eastAsiaTheme="majorEastAsia" w:cstheme="majorBidi"/>
          <w:b/>
          <w:bCs/>
          <w:noProof/>
          <w:sz w:val="28"/>
          <w:szCs w:val="28"/>
        </w:rPr>
        <w:drawing>
          <wp:inline distT="0" distB="0" distL="0" distR="0" wp14:anchorId="69E736B9" wp14:editId="662B33F7">
            <wp:extent cx="6390166" cy="1733106"/>
            <wp:effectExtent l="0" t="0" r="0" b="0"/>
            <wp:docPr id="161" name="Рисунок 161" descr="C:\Users\e.perevozchikova.INT\Desktop\jI--56XoG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e.perevozchikova.INT\Desktop\jI--56XoGho.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l="3036" t="56498" r="53510" b="34361"/>
                    <a:stretch/>
                  </pic:blipFill>
                  <pic:spPr bwMode="auto">
                    <a:xfrm>
                      <a:off x="0" y="0"/>
                      <a:ext cx="6395051" cy="1734431"/>
                    </a:xfrm>
                    <a:prstGeom prst="rect">
                      <a:avLst/>
                    </a:prstGeom>
                    <a:noFill/>
                    <a:ln>
                      <a:noFill/>
                    </a:ln>
                    <a:extLst>
                      <a:ext uri="{53640926-AAD7-44D8-BBD7-CCE9431645EC}">
                        <a14:shadowObscured xmlns:a14="http://schemas.microsoft.com/office/drawing/2010/main"/>
                      </a:ext>
                    </a:extLst>
                  </pic:spPr>
                </pic:pic>
              </a:graphicData>
            </a:graphic>
          </wp:inline>
        </w:drawing>
      </w:r>
    </w:p>
    <w:p w:rsidR="00AA5204" w:rsidRPr="00091DE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ФИЗИЧЕСКИЕ ХАРАКТЕРИСТИКИ ОБЪЕКТА </w:t>
      </w:r>
    </w:p>
    <w:p w:rsidR="00AA5204" w:rsidRPr="00091DE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КОРРЕКТИРОВКА НА ПЛОЩАДЬ. </w:t>
      </w:r>
    </w:p>
    <w:p w:rsidR="00AA520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color w:val="000000"/>
          <w:sz w:val="20"/>
          <w:szCs w:val="20"/>
          <w:lang w:eastAsia="en-US"/>
        </w:rPr>
        <w:t xml:space="preserve">Рассчитана по результатам исследований (Справочник оценщика недвижимости. </w:t>
      </w:r>
      <w:r w:rsidR="00471C8E" w:rsidRPr="00471C8E">
        <w:rPr>
          <w:rFonts w:ascii="Cambria" w:eastAsiaTheme="minorHAnsi" w:hAnsi="Cambria" w:cs="Cambria"/>
          <w:color w:val="000000"/>
          <w:sz w:val="20"/>
          <w:szCs w:val="20"/>
          <w:lang w:eastAsia="en-US"/>
        </w:rPr>
        <w:t xml:space="preserve">Том 2. Часть 2 Торгово-офисная недвижимость. Нижний Новгород 2016: Приволжский центр методического и информационного обеспечения оценки </w:t>
      </w:r>
      <w:r w:rsidRPr="00091DE4">
        <w:rPr>
          <w:rFonts w:ascii="Cambria" w:eastAsiaTheme="minorHAnsi" w:hAnsi="Cambria" w:cs="Cambria"/>
          <w:color w:val="000000"/>
          <w:sz w:val="20"/>
          <w:szCs w:val="20"/>
          <w:lang w:eastAsia="en-US"/>
        </w:rPr>
        <w:t xml:space="preserve">методического и информационного обеспечения оценки). </w:t>
      </w:r>
    </w:p>
    <w:p w:rsidR="00471C8E" w:rsidRDefault="00471C8E" w:rsidP="00AA5204">
      <w:pPr>
        <w:autoSpaceDE w:val="0"/>
        <w:autoSpaceDN w:val="0"/>
        <w:adjustRightInd w:val="0"/>
        <w:ind w:firstLine="709"/>
        <w:jc w:val="both"/>
        <w:rPr>
          <w:rFonts w:ascii="Cambria" w:eastAsiaTheme="minorHAnsi" w:hAnsi="Cambria" w:cs="Cambria"/>
          <w:color w:val="000000"/>
          <w:sz w:val="20"/>
          <w:szCs w:val="20"/>
          <w:lang w:eastAsia="en-US"/>
        </w:rPr>
      </w:pPr>
    </w:p>
    <w:p w:rsidR="00AA5204" w:rsidRDefault="00471C8E" w:rsidP="00471C8E">
      <w:pPr>
        <w:autoSpaceDE w:val="0"/>
        <w:autoSpaceDN w:val="0"/>
        <w:adjustRightInd w:val="0"/>
        <w:jc w:val="center"/>
        <w:rPr>
          <w:rFonts w:ascii="Cambria" w:eastAsiaTheme="minorHAnsi" w:hAnsi="Cambria" w:cs="Cambria"/>
          <w:color w:val="000000"/>
          <w:sz w:val="20"/>
          <w:szCs w:val="20"/>
          <w:lang w:eastAsia="en-US"/>
        </w:rPr>
      </w:pPr>
      <w:r>
        <w:rPr>
          <w:rFonts w:eastAsiaTheme="majorEastAsia" w:cstheme="majorBidi"/>
          <w:b/>
          <w:bCs/>
          <w:noProof/>
          <w:sz w:val="28"/>
          <w:szCs w:val="28"/>
        </w:rPr>
        <w:drawing>
          <wp:inline distT="0" distB="0" distL="0" distR="0" wp14:anchorId="227585FD" wp14:editId="11A20D09">
            <wp:extent cx="4824488" cy="4671662"/>
            <wp:effectExtent l="0" t="76200" r="0" b="53340"/>
            <wp:docPr id="160" name="Рисунок 160" descr="C:\Users\e.perevozchikova.INT\Desktop\rjX52rqF4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e.perevozchikova.INT\Desktop\rjX52rqF48c.jpg"/>
                    <pic:cNvPicPr>
                      <a:picLocks noChangeAspect="1" noChangeArrowheads="1"/>
                    </pic:cNvPicPr>
                  </pic:nvPicPr>
                  <pic:blipFill rotWithShape="1">
                    <a:blip r:embed="rId112">
                      <a:extLst>
                        <a:ext uri="{28A0092B-C50C-407E-A947-70E740481C1C}">
                          <a14:useLocalDpi xmlns:a14="http://schemas.microsoft.com/office/drawing/2010/main" val="0"/>
                        </a:ext>
                      </a:extLst>
                    </a:blip>
                    <a:srcRect l="49905" t="35155" r="9023" b="26520"/>
                    <a:stretch/>
                  </pic:blipFill>
                  <pic:spPr bwMode="auto">
                    <a:xfrm rot="5400000">
                      <a:off x="0" y="0"/>
                      <a:ext cx="4876400" cy="4721929"/>
                    </a:xfrm>
                    <a:prstGeom prst="rect">
                      <a:avLst/>
                    </a:prstGeom>
                    <a:noFill/>
                    <a:ln>
                      <a:noFill/>
                    </a:ln>
                    <a:extLst>
                      <a:ext uri="{53640926-AAD7-44D8-BBD7-CCE9431645EC}">
                        <a14:shadowObscured xmlns:a14="http://schemas.microsoft.com/office/drawing/2010/main"/>
                      </a:ext>
                    </a:extLst>
                  </pic:spPr>
                </pic:pic>
              </a:graphicData>
            </a:graphic>
          </wp:inline>
        </w:drawing>
      </w:r>
    </w:p>
    <w:p w:rsidR="00AA5204" w:rsidRPr="00091DE4" w:rsidRDefault="00AA5204" w:rsidP="00AA5204">
      <w:pPr>
        <w:autoSpaceDE w:val="0"/>
        <w:autoSpaceDN w:val="0"/>
        <w:adjustRightInd w:val="0"/>
        <w:jc w:val="center"/>
        <w:rPr>
          <w:rFonts w:ascii="Cambria" w:eastAsiaTheme="minorHAnsi" w:hAnsi="Cambria" w:cs="Cambria"/>
          <w:color w:val="000000"/>
          <w:sz w:val="20"/>
          <w:szCs w:val="20"/>
          <w:lang w:eastAsia="en-US"/>
        </w:rPr>
      </w:pPr>
    </w:p>
    <w:p w:rsidR="00AA5204" w:rsidRDefault="00AA5204" w:rsidP="00AA5204">
      <w:pPr>
        <w:ind w:firstLine="709"/>
        <w:jc w:val="both"/>
        <w:rPr>
          <w:rFonts w:ascii="Cambria" w:eastAsiaTheme="minorHAnsi" w:hAnsi="Cambria" w:cs="Cambria"/>
          <w:color w:val="000000"/>
          <w:sz w:val="20"/>
          <w:szCs w:val="20"/>
          <w:lang w:eastAsia="en-US"/>
        </w:rPr>
      </w:pPr>
      <w:r w:rsidRPr="00091DE4">
        <w:rPr>
          <w:rFonts w:ascii="Cambria" w:eastAsiaTheme="minorHAnsi" w:hAnsi="Cambria" w:cs="Cambria"/>
          <w:b/>
          <w:bCs/>
          <w:color w:val="000000"/>
          <w:sz w:val="20"/>
          <w:szCs w:val="20"/>
          <w:lang w:eastAsia="en-US"/>
        </w:rPr>
        <w:t xml:space="preserve">КОММУНИКАЦИИ. </w:t>
      </w:r>
      <w:r w:rsidRPr="00091DE4">
        <w:rPr>
          <w:rFonts w:ascii="Cambria" w:eastAsiaTheme="minorHAnsi" w:hAnsi="Cambria" w:cs="Cambria"/>
          <w:color w:val="000000"/>
          <w:sz w:val="20"/>
          <w:szCs w:val="20"/>
          <w:lang w:eastAsia="en-US"/>
        </w:rPr>
        <w:t>Коммуникации имеются. Корректировка отсутствует.</w:t>
      </w:r>
    </w:p>
    <w:p w:rsidR="00AA5204" w:rsidRDefault="00AA5204" w:rsidP="00AA5204">
      <w:pPr>
        <w:ind w:firstLine="709"/>
        <w:jc w:val="both"/>
        <w:rPr>
          <w:rFonts w:eastAsiaTheme="majorEastAsia" w:cstheme="majorBidi"/>
          <w:b/>
          <w:bCs/>
          <w:sz w:val="28"/>
          <w:szCs w:val="28"/>
        </w:rPr>
      </w:pPr>
    </w:p>
    <w:p w:rsidR="00AA520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AA714B">
        <w:rPr>
          <w:rFonts w:ascii="Cambria" w:eastAsiaTheme="minorHAnsi" w:hAnsi="Cambria" w:cs="Cambria"/>
          <w:b/>
          <w:bCs/>
          <w:color w:val="000000"/>
          <w:sz w:val="20"/>
          <w:szCs w:val="20"/>
          <w:lang w:eastAsia="en-US"/>
        </w:rPr>
        <w:t xml:space="preserve">ТЕХНИЧЕСКОЕ СОСТОЯНИЕ. </w:t>
      </w:r>
      <w:r w:rsidRPr="00AA714B">
        <w:rPr>
          <w:rFonts w:ascii="Cambria" w:eastAsiaTheme="minorHAnsi" w:hAnsi="Cambria" w:cs="Cambria"/>
          <w:color w:val="000000"/>
          <w:sz w:val="20"/>
          <w:szCs w:val="20"/>
          <w:lang w:eastAsia="en-US"/>
        </w:rPr>
        <w:t xml:space="preserve">Основываясь на опыте, если в объявлениях не указывают состояние помещений, то они предлагаются обычно в рабочем состоянии, т.е. в состоянии, позволяющем эксплуатировать недвижимость и с ремонтом как минимум удовлетворительным. Корректировка не вводилась. </w:t>
      </w:r>
    </w:p>
    <w:p w:rsidR="00AA5204" w:rsidRPr="00AA714B"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p>
    <w:p w:rsidR="00AA5204" w:rsidRPr="00AA714B"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AA714B">
        <w:rPr>
          <w:rFonts w:ascii="Cambria" w:eastAsiaTheme="minorHAnsi" w:hAnsi="Cambria" w:cs="Cambria"/>
          <w:b/>
          <w:bCs/>
          <w:color w:val="000000"/>
          <w:sz w:val="20"/>
          <w:szCs w:val="20"/>
          <w:lang w:eastAsia="en-US"/>
        </w:rPr>
        <w:t xml:space="preserve">ЭКОНОМИЧЕСКИЕ ХАРАКТЕРИСТИКИ: </w:t>
      </w:r>
    </w:p>
    <w:p w:rsidR="00AA520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AA714B">
        <w:rPr>
          <w:rFonts w:ascii="Cambria" w:eastAsiaTheme="minorHAnsi" w:hAnsi="Cambria" w:cs="Cambria"/>
          <w:b/>
          <w:bCs/>
          <w:color w:val="000000"/>
          <w:sz w:val="20"/>
          <w:szCs w:val="20"/>
          <w:lang w:eastAsia="en-US"/>
        </w:rPr>
        <w:t>УРОВЕНЬ ОПЕРАЦИОННЫХ РАСХОДОВ</w:t>
      </w:r>
      <w:r w:rsidRPr="00AA714B">
        <w:rPr>
          <w:rFonts w:ascii="Cambria" w:eastAsiaTheme="minorHAnsi" w:hAnsi="Cambria" w:cs="Cambria"/>
          <w:color w:val="000000"/>
          <w:sz w:val="20"/>
          <w:szCs w:val="20"/>
          <w:lang w:eastAsia="en-US"/>
        </w:rPr>
        <w:t xml:space="preserve">. Типичный для аналогичных объектов, составляет от 0,5 до 3% эффективного валового дохода от использования недвижимости. Корректировка отсутствует. </w:t>
      </w:r>
    </w:p>
    <w:p w:rsidR="00AA5204" w:rsidRPr="00AA714B"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p>
    <w:p w:rsidR="00AA520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AA714B">
        <w:rPr>
          <w:rFonts w:ascii="Cambria" w:eastAsiaTheme="minorHAnsi" w:hAnsi="Cambria" w:cs="Cambria"/>
          <w:b/>
          <w:bCs/>
          <w:color w:val="000000"/>
          <w:sz w:val="20"/>
          <w:szCs w:val="20"/>
          <w:lang w:eastAsia="en-US"/>
        </w:rPr>
        <w:t>УРОВЕНЬ АРЕНДЫ, СОСТАВ АРЕНДАТОРОВ</w:t>
      </w:r>
      <w:r w:rsidRPr="00AA714B">
        <w:rPr>
          <w:rFonts w:ascii="Cambria" w:eastAsiaTheme="minorHAnsi" w:hAnsi="Cambria" w:cs="Cambria"/>
          <w:color w:val="000000"/>
          <w:sz w:val="20"/>
          <w:szCs w:val="20"/>
          <w:lang w:eastAsia="en-US"/>
        </w:rPr>
        <w:t xml:space="preserve">. Корректировка отсутствует. </w:t>
      </w:r>
    </w:p>
    <w:p w:rsidR="00AA5204" w:rsidRPr="00AA714B"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p>
    <w:p w:rsidR="00AA520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AA714B">
        <w:rPr>
          <w:rFonts w:ascii="Cambria" w:eastAsiaTheme="minorHAnsi" w:hAnsi="Cambria" w:cs="Cambria"/>
          <w:b/>
          <w:bCs/>
          <w:color w:val="000000"/>
          <w:sz w:val="20"/>
          <w:szCs w:val="20"/>
          <w:lang w:eastAsia="en-US"/>
        </w:rPr>
        <w:t>ИНЫЕ ХАРАКТЕРИСТИКИ</w:t>
      </w:r>
      <w:r w:rsidRPr="00AA714B">
        <w:rPr>
          <w:rFonts w:ascii="Cambria" w:eastAsiaTheme="minorHAnsi" w:hAnsi="Cambria" w:cs="Cambria"/>
          <w:color w:val="000000"/>
          <w:sz w:val="20"/>
          <w:szCs w:val="20"/>
          <w:lang w:eastAsia="en-US"/>
        </w:rPr>
        <w:t xml:space="preserve">. Корректировка отсутствует. </w:t>
      </w:r>
    </w:p>
    <w:p w:rsidR="00AA5204" w:rsidRPr="00AA714B"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p>
    <w:p w:rsidR="00AA5204"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r w:rsidRPr="00AA714B">
        <w:rPr>
          <w:rFonts w:ascii="Cambria" w:eastAsiaTheme="minorHAnsi" w:hAnsi="Cambria" w:cs="Cambria"/>
          <w:b/>
          <w:bCs/>
          <w:color w:val="000000"/>
          <w:sz w:val="20"/>
          <w:szCs w:val="20"/>
          <w:lang w:eastAsia="en-US"/>
        </w:rPr>
        <w:t xml:space="preserve">НАЛИЧИЕ ДВИЖИМОГО ИМУЩЕСТВА, НЕ СВЯЗАННОГО С НЕДВИЖИМОСТЬЮ. </w:t>
      </w:r>
      <w:r w:rsidRPr="00AA714B">
        <w:rPr>
          <w:rFonts w:ascii="Cambria" w:eastAsiaTheme="minorHAnsi" w:hAnsi="Cambria" w:cs="Cambria"/>
          <w:color w:val="000000"/>
          <w:sz w:val="20"/>
          <w:szCs w:val="20"/>
          <w:lang w:eastAsia="en-US"/>
        </w:rPr>
        <w:t xml:space="preserve">Корректировка отсутствует. </w:t>
      </w:r>
    </w:p>
    <w:p w:rsidR="00AA5204" w:rsidRPr="00AA714B" w:rsidRDefault="00AA5204" w:rsidP="00AA5204">
      <w:pPr>
        <w:autoSpaceDE w:val="0"/>
        <w:autoSpaceDN w:val="0"/>
        <w:adjustRightInd w:val="0"/>
        <w:ind w:firstLine="709"/>
        <w:jc w:val="both"/>
        <w:rPr>
          <w:rFonts w:ascii="Cambria" w:eastAsiaTheme="minorHAnsi" w:hAnsi="Cambria" w:cs="Cambria"/>
          <w:color w:val="000000"/>
          <w:sz w:val="20"/>
          <w:szCs w:val="20"/>
          <w:lang w:eastAsia="en-US"/>
        </w:rPr>
      </w:pPr>
    </w:p>
    <w:p w:rsidR="00AA5204" w:rsidRDefault="00AA5204" w:rsidP="00AA5204">
      <w:pPr>
        <w:ind w:firstLine="709"/>
        <w:jc w:val="both"/>
        <w:rPr>
          <w:rFonts w:ascii="Cambria" w:eastAsiaTheme="minorHAnsi" w:hAnsi="Cambria" w:cs="Cambria"/>
          <w:color w:val="000000"/>
          <w:sz w:val="20"/>
          <w:szCs w:val="20"/>
          <w:lang w:eastAsia="en-US"/>
        </w:rPr>
      </w:pPr>
      <w:r w:rsidRPr="00AA714B">
        <w:rPr>
          <w:rFonts w:ascii="Cambria" w:eastAsiaTheme="minorHAnsi" w:hAnsi="Cambria" w:cs="Cambria"/>
          <w:b/>
          <w:bCs/>
          <w:color w:val="000000"/>
          <w:sz w:val="20"/>
          <w:szCs w:val="20"/>
          <w:lang w:eastAsia="en-US"/>
        </w:rPr>
        <w:t xml:space="preserve">ДРУГИЕ ХАРАКТЕРИСТИКИ. </w:t>
      </w:r>
      <w:r w:rsidRPr="00AA714B">
        <w:rPr>
          <w:rFonts w:ascii="Cambria" w:eastAsiaTheme="minorHAnsi" w:hAnsi="Cambria" w:cs="Cambria"/>
          <w:color w:val="000000"/>
          <w:sz w:val="20"/>
          <w:szCs w:val="20"/>
          <w:lang w:eastAsia="en-US"/>
        </w:rPr>
        <w:t>Корректировка отсутствует.</w:t>
      </w:r>
    </w:p>
    <w:p w:rsidR="00AA714B" w:rsidRPr="00AA714B" w:rsidRDefault="00AA714B" w:rsidP="00AA714B">
      <w:pPr>
        <w:spacing w:before="480" w:after="120"/>
        <w:ind w:firstLine="709"/>
        <w:jc w:val="both"/>
        <w:rPr>
          <w:rFonts w:asciiTheme="majorHAnsi" w:eastAsiaTheme="minorHAnsi" w:hAnsiTheme="majorHAnsi" w:cstheme="minorBidi"/>
          <w:bCs/>
          <w:iCs/>
          <w:sz w:val="22"/>
          <w:szCs w:val="22"/>
          <w:lang w:eastAsia="en-US"/>
        </w:rPr>
      </w:pPr>
      <w:r w:rsidRPr="00AA714B">
        <w:rPr>
          <w:rFonts w:asciiTheme="majorHAnsi" w:eastAsiaTheme="minorHAnsi" w:hAnsiTheme="majorHAnsi" w:cstheme="minorBidi"/>
          <w:b/>
          <w:bCs/>
          <w:i/>
          <w:iCs/>
          <w:sz w:val="20"/>
          <w:szCs w:val="22"/>
          <w:shd w:val="clear" w:color="auto" w:fill="FFFFFF" w:themeFill="background1"/>
          <w:lang w:eastAsia="en-US"/>
        </w:rPr>
        <w:t>Вывод</w:t>
      </w:r>
      <w:r w:rsidRPr="00AA714B">
        <w:rPr>
          <w:rFonts w:asciiTheme="majorHAnsi" w:eastAsiaTheme="minorHAnsi" w:hAnsiTheme="majorHAnsi" w:cstheme="minorBidi"/>
          <w:b/>
          <w:bCs/>
          <w:i/>
          <w:iCs/>
          <w:sz w:val="20"/>
          <w:szCs w:val="22"/>
          <w:lang w:eastAsia="en-US"/>
        </w:rPr>
        <w:t>:</w:t>
      </w:r>
      <w:r>
        <w:rPr>
          <w:rFonts w:asciiTheme="majorHAnsi" w:eastAsiaTheme="minorHAnsi" w:hAnsiTheme="majorHAnsi" w:cstheme="minorBidi"/>
          <w:b/>
          <w:bCs/>
          <w:iCs/>
          <w:sz w:val="20"/>
          <w:szCs w:val="22"/>
          <w:lang w:eastAsia="en-US"/>
        </w:rPr>
        <w:t xml:space="preserve">  </w:t>
      </w:r>
      <w:r w:rsidRPr="00AA714B">
        <w:rPr>
          <w:rFonts w:asciiTheme="majorHAnsi" w:eastAsiaTheme="minorHAnsi" w:hAnsiTheme="majorHAnsi" w:cstheme="minorBidi"/>
          <w:bCs/>
          <w:iCs/>
          <w:sz w:val="20"/>
          <w:szCs w:val="22"/>
          <w:lang w:eastAsia="en-US"/>
        </w:rPr>
        <w:t>Стоимость  объект</w:t>
      </w:r>
      <w:r>
        <w:rPr>
          <w:rFonts w:asciiTheme="majorHAnsi" w:eastAsiaTheme="minorHAnsi" w:hAnsiTheme="majorHAnsi" w:cstheme="minorBidi"/>
          <w:bCs/>
          <w:iCs/>
          <w:sz w:val="20"/>
          <w:szCs w:val="22"/>
          <w:lang w:eastAsia="en-US"/>
        </w:rPr>
        <w:t>а</w:t>
      </w:r>
      <w:r w:rsidRPr="00AA714B">
        <w:rPr>
          <w:rFonts w:asciiTheme="majorHAnsi" w:eastAsiaTheme="minorHAnsi" w:hAnsiTheme="majorHAnsi" w:cstheme="minorBidi"/>
          <w:bCs/>
          <w:iCs/>
          <w:sz w:val="20"/>
          <w:szCs w:val="22"/>
          <w:lang w:eastAsia="en-US"/>
        </w:rPr>
        <w:t xml:space="preserve"> </w:t>
      </w:r>
      <w:r w:rsidR="00711FC6">
        <w:rPr>
          <w:rFonts w:asciiTheme="majorHAnsi" w:eastAsiaTheme="minorHAnsi" w:hAnsiTheme="majorHAnsi" w:cstheme="minorBidi"/>
          <w:bCs/>
          <w:iCs/>
          <w:sz w:val="20"/>
          <w:szCs w:val="22"/>
          <w:lang w:eastAsia="en-US"/>
        </w:rPr>
        <w:t>оценки</w:t>
      </w:r>
      <w:r>
        <w:rPr>
          <w:rFonts w:asciiTheme="majorHAnsi" w:eastAsiaTheme="minorHAnsi" w:hAnsiTheme="majorHAnsi" w:cstheme="minorBidi"/>
          <w:bCs/>
          <w:iCs/>
          <w:sz w:val="20"/>
          <w:szCs w:val="22"/>
          <w:lang w:eastAsia="en-US"/>
        </w:rPr>
        <w:t xml:space="preserve"> – нежилого </w:t>
      </w:r>
      <w:r w:rsidR="00471C8E">
        <w:rPr>
          <w:rFonts w:asciiTheme="majorHAnsi" w:eastAsiaTheme="minorHAnsi" w:hAnsiTheme="majorHAnsi" w:cstheme="minorBidi"/>
          <w:bCs/>
          <w:iCs/>
          <w:sz w:val="20"/>
          <w:szCs w:val="22"/>
          <w:lang w:eastAsia="en-US"/>
        </w:rPr>
        <w:t>производственного комплекса</w:t>
      </w:r>
      <w:r w:rsidRPr="00AA714B">
        <w:rPr>
          <w:rFonts w:asciiTheme="majorHAnsi" w:eastAsiaTheme="minorHAnsi" w:hAnsiTheme="majorHAnsi" w:cstheme="minorBidi"/>
          <w:bCs/>
          <w:iCs/>
          <w:sz w:val="20"/>
          <w:szCs w:val="22"/>
          <w:lang w:eastAsia="en-US"/>
        </w:rPr>
        <w:t>,</w:t>
      </w:r>
      <w:r>
        <w:rPr>
          <w:rFonts w:asciiTheme="majorHAnsi" w:eastAsiaTheme="minorHAnsi" w:hAnsiTheme="majorHAnsi" w:cstheme="minorBidi"/>
          <w:bCs/>
          <w:iCs/>
          <w:sz w:val="20"/>
          <w:szCs w:val="22"/>
          <w:lang w:eastAsia="en-US"/>
        </w:rPr>
        <w:t xml:space="preserve"> расположенного по адресу: </w:t>
      </w:r>
      <w:r w:rsidR="00471C8E" w:rsidRPr="00471C8E">
        <w:rPr>
          <w:rFonts w:asciiTheme="majorHAnsi" w:eastAsiaTheme="minorHAnsi" w:hAnsiTheme="majorHAnsi" w:cstheme="minorBidi"/>
          <w:bCs/>
          <w:iCs/>
          <w:sz w:val="20"/>
          <w:szCs w:val="22"/>
          <w:lang w:eastAsia="en-US"/>
        </w:rPr>
        <w:t>Белгородская обл. г. Белгород, ул</w:t>
      </w:r>
      <w:r w:rsidR="000517A8">
        <w:rPr>
          <w:rFonts w:asciiTheme="majorHAnsi" w:eastAsiaTheme="minorHAnsi" w:hAnsiTheme="majorHAnsi" w:cstheme="minorBidi"/>
          <w:bCs/>
          <w:iCs/>
          <w:sz w:val="20"/>
          <w:szCs w:val="22"/>
          <w:lang w:eastAsia="en-US"/>
        </w:rPr>
        <w:t>.</w:t>
      </w:r>
      <w:r w:rsidR="00471C8E" w:rsidRPr="00471C8E">
        <w:rPr>
          <w:rFonts w:asciiTheme="majorHAnsi" w:eastAsiaTheme="minorHAnsi" w:hAnsiTheme="majorHAnsi" w:cstheme="minorBidi"/>
          <w:bCs/>
          <w:iCs/>
          <w:sz w:val="20"/>
          <w:szCs w:val="22"/>
          <w:lang w:eastAsia="en-US"/>
        </w:rPr>
        <w:t xml:space="preserve"> Мирная, 21</w:t>
      </w:r>
      <w:r w:rsidR="00471C8E">
        <w:rPr>
          <w:rFonts w:asciiTheme="majorHAnsi" w:eastAsiaTheme="minorHAnsi" w:hAnsiTheme="majorHAnsi" w:cstheme="minorBidi"/>
          <w:bCs/>
          <w:iCs/>
          <w:sz w:val="20"/>
          <w:szCs w:val="22"/>
          <w:lang w:eastAsia="en-US"/>
        </w:rPr>
        <w:t xml:space="preserve">, </w:t>
      </w:r>
      <w:r w:rsidRPr="00AA714B">
        <w:rPr>
          <w:rFonts w:asciiTheme="majorHAnsi" w:eastAsiaTheme="minorHAnsi" w:hAnsiTheme="majorHAnsi" w:cstheme="minorBidi"/>
          <w:bCs/>
          <w:iCs/>
          <w:sz w:val="20"/>
          <w:szCs w:val="22"/>
          <w:lang w:eastAsia="en-US"/>
        </w:rPr>
        <w:t>рассчитанная сравнительным подхо</w:t>
      </w:r>
      <w:r>
        <w:rPr>
          <w:rFonts w:asciiTheme="majorHAnsi" w:eastAsiaTheme="minorHAnsi" w:hAnsiTheme="majorHAnsi" w:cstheme="minorBidi"/>
          <w:bCs/>
          <w:iCs/>
          <w:sz w:val="20"/>
          <w:szCs w:val="22"/>
          <w:lang w:eastAsia="en-US"/>
        </w:rPr>
        <w:t>дом по состоянию на дату оценки, с учетом</w:t>
      </w:r>
      <w:r w:rsidRPr="00AA714B">
        <w:rPr>
          <w:rFonts w:asciiTheme="majorHAnsi" w:eastAsiaTheme="minorHAnsi" w:hAnsiTheme="majorHAnsi" w:cstheme="minorBidi"/>
          <w:bCs/>
          <w:iCs/>
          <w:sz w:val="20"/>
          <w:szCs w:val="22"/>
          <w:lang w:eastAsia="en-US"/>
        </w:rPr>
        <w:t xml:space="preserve"> НДС составляет:</w:t>
      </w:r>
    </w:p>
    <w:p w:rsidR="000517A8" w:rsidRDefault="00471C8E" w:rsidP="00960AC6">
      <w:pPr>
        <w:jc w:val="center"/>
        <w:rPr>
          <w:rFonts w:asciiTheme="majorHAnsi" w:eastAsiaTheme="minorHAnsi" w:hAnsiTheme="majorHAnsi" w:cstheme="minorBidi"/>
          <w:b/>
          <w:bCs/>
          <w:iCs/>
          <w:sz w:val="20"/>
          <w:szCs w:val="22"/>
          <w:lang w:eastAsia="en-US"/>
        </w:rPr>
      </w:pPr>
      <w:r>
        <w:rPr>
          <w:rFonts w:asciiTheme="majorHAnsi" w:eastAsiaTheme="minorHAnsi" w:hAnsiTheme="majorHAnsi" w:cstheme="minorBidi"/>
          <w:b/>
          <w:bCs/>
          <w:iCs/>
          <w:sz w:val="20"/>
          <w:szCs w:val="22"/>
          <w:lang w:eastAsia="en-US"/>
        </w:rPr>
        <w:t>97 529 754</w:t>
      </w:r>
      <w:r w:rsidRPr="00471C8E">
        <w:rPr>
          <w:rFonts w:asciiTheme="majorHAnsi" w:eastAsiaTheme="minorHAnsi" w:hAnsiTheme="majorHAnsi" w:cstheme="minorBidi"/>
          <w:b/>
          <w:bCs/>
          <w:iCs/>
          <w:sz w:val="20"/>
          <w:szCs w:val="22"/>
          <w:lang w:eastAsia="en-US"/>
        </w:rPr>
        <w:t xml:space="preserve">   </w:t>
      </w:r>
      <w:r w:rsidR="00AA714B" w:rsidRPr="00AA714B">
        <w:rPr>
          <w:rFonts w:asciiTheme="majorHAnsi" w:eastAsiaTheme="minorHAnsi" w:hAnsiTheme="majorHAnsi" w:cstheme="minorBidi"/>
          <w:b/>
          <w:bCs/>
          <w:iCs/>
          <w:sz w:val="20"/>
          <w:szCs w:val="22"/>
          <w:lang w:eastAsia="en-US"/>
        </w:rPr>
        <w:t xml:space="preserve">руб. </w:t>
      </w:r>
    </w:p>
    <w:p w:rsidR="00960AC6" w:rsidRDefault="00AA714B" w:rsidP="00960AC6">
      <w:pPr>
        <w:jc w:val="center"/>
        <w:rPr>
          <w:rFonts w:asciiTheme="majorHAnsi" w:eastAsiaTheme="minorHAnsi" w:hAnsiTheme="majorHAnsi" w:cstheme="minorBidi"/>
          <w:b/>
          <w:bCs/>
          <w:iCs/>
          <w:sz w:val="20"/>
          <w:szCs w:val="22"/>
          <w:lang w:eastAsia="en-US"/>
        </w:rPr>
      </w:pPr>
      <w:r w:rsidRPr="00AA714B">
        <w:rPr>
          <w:rFonts w:asciiTheme="majorHAnsi" w:eastAsiaTheme="minorHAnsi" w:hAnsiTheme="majorHAnsi" w:cstheme="minorBidi"/>
          <w:b/>
          <w:bCs/>
          <w:iCs/>
          <w:sz w:val="20"/>
          <w:szCs w:val="22"/>
          <w:lang w:eastAsia="en-US"/>
        </w:rPr>
        <w:t>(</w:t>
      </w:r>
      <w:r w:rsidR="00471C8E">
        <w:rPr>
          <w:rFonts w:asciiTheme="majorHAnsi" w:eastAsiaTheme="minorHAnsi" w:hAnsiTheme="majorHAnsi" w:cstheme="minorBidi"/>
          <w:b/>
          <w:bCs/>
          <w:iCs/>
          <w:sz w:val="20"/>
          <w:szCs w:val="22"/>
          <w:lang w:eastAsia="en-US"/>
        </w:rPr>
        <w:t>Девяносто семь</w:t>
      </w:r>
      <w:r>
        <w:rPr>
          <w:rFonts w:asciiTheme="majorHAnsi" w:eastAsiaTheme="minorHAnsi" w:hAnsiTheme="majorHAnsi" w:cstheme="minorBidi"/>
          <w:b/>
          <w:bCs/>
          <w:iCs/>
          <w:sz w:val="20"/>
          <w:szCs w:val="22"/>
          <w:lang w:eastAsia="en-US"/>
        </w:rPr>
        <w:t xml:space="preserve"> </w:t>
      </w:r>
      <w:r w:rsidRPr="00AA714B">
        <w:rPr>
          <w:rFonts w:asciiTheme="majorHAnsi" w:eastAsiaTheme="minorHAnsi" w:hAnsiTheme="majorHAnsi" w:cstheme="minorBidi"/>
          <w:b/>
          <w:bCs/>
          <w:iCs/>
          <w:sz w:val="20"/>
          <w:szCs w:val="22"/>
          <w:lang w:eastAsia="en-US"/>
        </w:rPr>
        <w:t>миллион</w:t>
      </w:r>
      <w:r w:rsidR="00471C8E">
        <w:rPr>
          <w:rFonts w:asciiTheme="majorHAnsi" w:eastAsiaTheme="minorHAnsi" w:hAnsiTheme="majorHAnsi" w:cstheme="minorBidi"/>
          <w:b/>
          <w:bCs/>
          <w:iCs/>
          <w:sz w:val="20"/>
          <w:szCs w:val="22"/>
          <w:lang w:eastAsia="en-US"/>
        </w:rPr>
        <w:t>ов</w:t>
      </w:r>
      <w:r w:rsidRPr="00AA714B">
        <w:rPr>
          <w:rFonts w:asciiTheme="majorHAnsi" w:eastAsiaTheme="minorHAnsi" w:hAnsiTheme="majorHAnsi" w:cstheme="minorBidi"/>
          <w:b/>
          <w:bCs/>
          <w:iCs/>
          <w:sz w:val="20"/>
          <w:szCs w:val="22"/>
          <w:lang w:eastAsia="en-US"/>
        </w:rPr>
        <w:t xml:space="preserve"> </w:t>
      </w:r>
      <w:r w:rsidR="00471C8E">
        <w:rPr>
          <w:rFonts w:asciiTheme="majorHAnsi" w:eastAsiaTheme="minorHAnsi" w:hAnsiTheme="majorHAnsi" w:cstheme="minorBidi"/>
          <w:b/>
          <w:bCs/>
          <w:iCs/>
          <w:sz w:val="20"/>
          <w:szCs w:val="22"/>
          <w:lang w:eastAsia="en-US"/>
        </w:rPr>
        <w:t>пятьсот двадцать девять</w:t>
      </w:r>
      <w:r w:rsidRPr="00AA714B">
        <w:rPr>
          <w:rFonts w:asciiTheme="majorHAnsi" w:eastAsiaTheme="minorHAnsi" w:hAnsiTheme="majorHAnsi" w:cstheme="minorBidi"/>
          <w:b/>
          <w:bCs/>
          <w:iCs/>
          <w:sz w:val="20"/>
          <w:szCs w:val="22"/>
          <w:lang w:eastAsia="en-US"/>
        </w:rPr>
        <w:t xml:space="preserve"> тысяч </w:t>
      </w:r>
      <w:r>
        <w:rPr>
          <w:rFonts w:asciiTheme="majorHAnsi" w:eastAsiaTheme="minorHAnsi" w:hAnsiTheme="majorHAnsi" w:cstheme="minorBidi"/>
          <w:b/>
          <w:bCs/>
          <w:iCs/>
          <w:sz w:val="20"/>
          <w:szCs w:val="22"/>
          <w:lang w:eastAsia="en-US"/>
        </w:rPr>
        <w:t xml:space="preserve">семьсот </w:t>
      </w:r>
      <w:r w:rsidR="000517A8">
        <w:rPr>
          <w:rFonts w:asciiTheme="majorHAnsi" w:eastAsiaTheme="minorHAnsi" w:hAnsiTheme="majorHAnsi" w:cstheme="minorBidi"/>
          <w:b/>
          <w:bCs/>
          <w:iCs/>
          <w:sz w:val="20"/>
          <w:szCs w:val="22"/>
          <w:lang w:eastAsia="en-US"/>
        </w:rPr>
        <w:t>пят</w:t>
      </w:r>
      <w:r>
        <w:rPr>
          <w:rFonts w:asciiTheme="majorHAnsi" w:eastAsiaTheme="minorHAnsi" w:hAnsiTheme="majorHAnsi" w:cstheme="minorBidi"/>
          <w:b/>
          <w:bCs/>
          <w:iCs/>
          <w:sz w:val="20"/>
          <w:szCs w:val="22"/>
          <w:lang w:eastAsia="en-US"/>
        </w:rPr>
        <w:t xml:space="preserve">ьдесят </w:t>
      </w:r>
      <w:r w:rsidR="000517A8">
        <w:rPr>
          <w:rFonts w:asciiTheme="majorHAnsi" w:eastAsiaTheme="minorHAnsi" w:hAnsiTheme="majorHAnsi" w:cstheme="minorBidi"/>
          <w:b/>
          <w:bCs/>
          <w:iCs/>
          <w:sz w:val="20"/>
          <w:szCs w:val="22"/>
          <w:lang w:eastAsia="en-US"/>
        </w:rPr>
        <w:t xml:space="preserve">четыре </w:t>
      </w:r>
      <w:r w:rsidRPr="00AA714B">
        <w:rPr>
          <w:rFonts w:asciiTheme="majorHAnsi" w:eastAsiaTheme="minorHAnsi" w:hAnsiTheme="majorHAnsi" w:cstheme="minorBidi"/>
          <w:b/>
          <w:bCs/>
          <w:iCs/>
          <w:sz w:val="20"/>
          <w:szCs w:val="22"/>
          <w:lang w:eastAsia="en-US"/>
        </w:rPr>
        <w:t>рубл</w:t>
      </w:r>
      <w:r w:rsidR="000517A8">
        <w:rPr>
          <w:rFonts w:asciiTheme="majorHAnsi" w:eastAsiaTheme="minorHAnsi" w:hAnsiTheme="majorHAnsi" w:cstheme="minorBidi"/>
          <w:b/>
          <w:bCs/>
          <w:iCs/>
          <w:sz w:val="20"/>
          <w:szCs w:val="22"/>
          <w:lang w:eastAsia="en-US"/>
        </w:rPr>
        <w:t>я</w:t>
      </w:r>
      <w:r w:rsidRPr="00AA714B">
        <w:rPr>
          <w:rFonts w:asciiTheme="majorHAnsi" w:eastAsiaTheme="minorHAnsi" w:hAnsiTheme="majorHAnsi" w:cstheme="minorBidi"/>
          <w:b/>
          <w:bCs/>
          <w:iCs/>
          <w:sz w:val="20"/>
          <w:szCs w:val="22"/>
          <w:lang w:eastAsia="en-US"/>
        </w:rPr>
        <w:t>)</w:t>
      </w:r>
    </w:p>
    <w:p w:rsidR="000517A8" w:rsidRPr="00AA714B" w:rsidRDefault="000517A8" w:rsidP="000517A8">
      <w:pPr>
        <w:spacing w:before="480" w:after="120"/>
        <w:ind w:firstLine="709"/>
        <w:jc w:val="both"/>
        <w:rPr>
          <w:rFonts w:asciiTheme="majorHAnsi" w:eastAsiaTheme="minorHAnsi" w:hAnsiTheme="majorHAnsi" w:cstheme="minorBidi"/>
          <w:bCs/>
          <w:iCs/>
          <w:sz w:val="22"/>
          <w:szCs w:val="22"/>
          <w:lang w:eastAsia="en-US"/>
        </w:rPr>
      </w:pPr>
      <w:r w:rsidRPr="00AA714B">
        <w:rPr>
          <w:rFonts w:asciiTheme="majorHAnsi" w:eastAsiaTheme="minorHAnsi" w:hAnsiTheme="majorHAnsi" w:cstheme="minorBidi"/>
          <w:bCs/>
          <w:iCs/>
          <w:sz w:val="20"/>
          <w:szCs w:val="22"/>
          <w:lang w:eastAsia="en-US"/>
        </w:rPr>
        <w:t>Стоимость  объект</w:t>
      </w:r>
      <w:r>
        <w:rPr>
          <w:rFonts w:asciiTheme="majorHAnsi" w:eastAsiaTheme="minorHAnsi" w:hAnsiTheme="majorHAnsi" w:cstheme="minorBidi"/>
          <w:bCs/>
          <w:iCs/>
          <w:sz w:val="20"/>
          <w:szCs w:val="22"/>
          <w:lang w:eastAsia="en-US"/>
        </w:rPr>
        <w:t>а</w:t>
      </w:r>
      <w:r w:rsidRPr="00AA714B">
        <w:rPr>
          <w:rFonts w:asciiTheme="majorHAnsi" w:eastAsiaTheme="minorHAnsi" w:hAnsiTheme="majorHAnsi" w:cstheme="minorBidi"/>
          <w:bCs/>
          <w:iCs/>
          <w:sz w:val="20"/>
          <w:szCs w:val="22"/>
          <w:lang w:eastAsia="en-US"/>
        </w:rPr>
        <w:t xml:space="preserve"> </w:t>
      </w:r>
      <w:r>
        <w:rPr>
          <w:rFonts w:asciiTheme="majorHAnsi" w:eastAsiaTheme="minorHAnsi" w:hAnsiTheme="majorHAnsi" w:cstheme="minorBidi"/>
          <w:bCs/>
          <w:iCs/>
          <w:sz w:val="20"/>
          <w:szCs w:val="22"/>
          <w:lang w:eastAsia="en-US"/>
        </w:rPr>
        <w:t>оценки – нежилого административного-бытового комплекса</w:t>
      </w:r>
      <w:r w:rsidRPr="00AA714B">
        <w:rPr>
          <w:rFonts w:asciiTheme="majorHAnsi" w:eastAsiaTheme="minorHAnsi" w:hAnsiTheme="majorHAnsi" w:cstheme="minorBidi"/>
          <w:bCs/>
          <w:iCs/>
          <w:sz w:val="20"/>
          <w:szCs w:val="22"/>
          <w:lang w:eastAsia="en-US"/>
        </w:rPr>
        <w:t>,</w:t>
      </w:r>
      <w:r>
        <w:rPr>
          <w:rFonts w:asciiTheme="majorHAnsi" w:eastAsiaTheme="minorHAnsi" w:hAnsiTheme="majorHAnsi" w:cstheme="minorBidi"/>
          <w:bCs/>
          <w:iCs/>
          <w:sz w:val="20"/>
          <w:szCs w:val="22"/>
          <w:lang w:eastAsia="en-US"/>
        </w:rPr>
        <w:t xml:space="preserve"> расположенного по адресу: </w:t>
      </w:r>
      <w:r w:rsidRPr="00471C8E">
        <w:rPr>
          <w:rFonts w:asciiTheme="majorHAnsi" w:eastAsiaTheme="minorHAnsi" w:hAnsiTheme="majorHAnsi" w:cstheme="minorBidi"/>
          <w:bCs/>
          <w:iCs/>
          <w:sz w:val="20"/>
          <w:szCs w:val="22"/>
          <w:lang w:eastAsia="en-US"/>
        </w:rPr>
        <w:t>Белгородская обл. г. Белгород, ул</w:t>
      </w:r>
      <w:r>
        <w:rPr>
          <w:rFonts w:asciiTheme="majorHAnsi" w:eastAsiaTheme="minorHAnsi" w:hAnsiTheme="majorHAnsi" w:cstheme="minorBidi"/>
          <w:bCs/>
          <w:iCs/>
          <w:sz w:val="20"/>
          <w:szCs w:val="22"/>
          <w:lang w:eastAsia="en-US"/>
        </w:rPr>
        <w:t>.</w:t>
      </w:r>
      <w:r w:rsidRPr="00471C8E">
        <w:rPr>
          <w:rFonts w:asciiTheme="majorHAnsi" w:eastAsiaTheme="minorHAnsi" w:hAnsiTheme="majorHAnsi" w:cstheme="minorBidi"/>
          <w:bCs/>
          <w:iCs/>
          <w:sz w:val="20"/>
          <w:szCs w:val="22"/>
          <w:lang w:eastAsia="en-US"/>
        </w:rPr>
        <w:t xml:space="preserve"> </w:t>
      </w:r>
      <w:r>
        <w:rPr>
          <w:rFonts w:asciiTheme="majorHAnsi" w:eastAsiaTheme="minorHAnsi" w:hAnsiTheme="majorHAnsi" w:cstheme="minorBidi"/>
          <w:bCs/>
          <w:iCs/>
          <w:sz w:val="20"/>
          <w:szCs w:val="22"/>
          <w:lang w:eastAsia="en-US"/>
        </w:rPr>
        <w:t>Сумская</w:t>
      </w:r>
      <w:r w:rsidRPr="00471C8E">
        <w:rPr>
          <w:rFonts w:asciiTheme="majorHAnsi" w:eastAsiaTheme="minorHAnsi" w:hAnsiTheme="majorHAnsi" w:cstheme="minorBidi"/>
          <w:bCs/>
          <w:iCs/>
          <w:sz w:val="20"/>
          <w:szCs w:val="22"/>
          <w:lang w:eastAsia="en-US"/>
        </w:rPr>
        <w:t xml:space="preserve">, </w:t>
      </w:r>
      <w:r>
        <w:rPr>
          <w:rFonts w:asciiTheme="majorHAnsi" w:eastAsiaTheme="minorHAnsi" w:hAnsiTheme="majorHAnsi" w:cstheme="minorBidi"/>
          <w:bCs/>
          <w:iCs/>
          <w:sz w:val="20"/>
          <w:szCs w:val="22"/>
          <w:lang w:eastAsia="en-US"/>
        </w:rPr>
        <w:t xml:space="preserve">168, </w:t>
      </w:r>
      <w:r w:rsidRPr="00AA714B">
        <w:rPr>
          <w:rFonts w:asciiTheme="majorHAnsi" w:eastAsiaTheme="minorHAnsi" w:hAnsiTheme="majorHAnsi" w:cstheme="minorBidi"/>
          <w:bCs/>
          <w:iCs/>
          <w:sz w:val="20"/>
          <w:szCs w:val="22"/>
          <w:lang w:eastAsia="en-US"/>
        </w:rPr>
        <w:t>рассчитанная сравнительным подхо</w:t>
      </w:r>
      <w:r>
        <w:rPr>
          <w:rFonts w:asciiTheme="majorHAnsi" w:eastAsiaTheme="minorHAnsi" w:hAnsiTheme="majorHAnsi" w:cstheme="minorBidi"/>
          <w:bCs/>
          <w:iCs/>
          <w:sz w:val="20"/>
          <w:szCs w:val="22"/>
          <w:lang w:eastAsia="en-US"/>
        </w:rPr>
        <w:t>дом по состоянию на дату оценки, с учетом</w:t>
      </w:r>
      <w:r w:rsidRPr="00AA714B">
        <w:rPr>
          <w:rFonts w:asciiTheme="majorHAnsi" w:eastAsiaTheme="minorHAnsi" w:hAnsiTheme="majorHAnsi" w:cstheme="minorBidi"/>
          <w:bCs/>
          <w:iCs/>
          <w:sz w:val="20"/>
          <w:szCs w:val="22"/>
          <w:lang w:eastAsia="en-US"/>
        </w:rPr>
        <w:t xml:space="preserve"> НДС составляет:</w:t>
      </w:r>
    </w:p>
    <w:p w:rsidR="000517A8" w:rsidRDefault="000517A8" w:rsidP="000517A8">
      <w:pPr>
        <w:jc w:val="center"/>
        <w:rPr>
          <w:rFonts w:asciiTheme="majorHAnsi" w:eastAsiaTheme="minorHAnsi" w:hAnsiTheme="majorHAnsi" w:cstheme="minorBidi"/>
          <w:b/>
          <w:bCs/>
          <w:iCs/>
          <w:sz w:val="20"/>
          <w:szCs w:val="22"/>
          <w:lang w:eastAsia="en-US"/>
        </w:rPr>
      </w:pPr>
      <w:r w:rsidRPr="000517A8">
        <w:rPr>
          <w:rFonts w:asciiTheme="majorHAnsi" w:eastAsiaTheme="minorHAnsi" w:hAnsiTheme="majorHAnsi" w:cstheme="minorBidi"/>
          <w:b/>
          <w:bCs/>
          <w:iCs/>
          <w:sz w:val="20"/>
          <w:szCs w:val="22"/>
          <w:lang w:eastAsia="en-US"/>
        </w:rPr>
        <w:t xml:space="preserve">64 603 545   </w:t>
      </w:r>
      <w:r w:rsidRPr="00AA714B">
        <w:rPr>
          <w:rFonts w:asciiTheme="majorHAnsi" w:eastAsiaTheme="minorHAnsi" w:hAnsiTheme="majorHAnsi" w:cstheme="minorBidi"/>
          <w:b/>
          <w:bCs/>
          <w:iCs/>
          <w:sz w:val="20"/>
          <w:szCs w:val="22"/>
          <w:lang w:eastAsia="en-US"/>
        </w:rPr>
        <w:t xml:space="preserve">руб. </w:t>
      </w:r>
    </w:p>
    <w:p w:rsidR="000517A8" w:rsidRDefault="000517A8" w:rsidP="000517A8">
      <w:pPr>
        <w:jc w:val="center"/>
        <w:rPr>
          <w:rFonts w:asciiTheme="majorHAnsi" w:eastAsiaTheme="minorHAnsi" w:hAnsiTheme="majorHAnsi" w:cstheme="minorBidi"/>
          <w:b/>
          <w:bCs/>
          <w:iCs/>
          <w:sz w:val="20"/>
          <w:szCs w:val="22"/>
          <w:lang w:eastAsia="en-US"/>
        </w:rPr>
      </w:pPr>
      <w:r w:rsidRPr="00AA714B">
        <w:rPr>
          <w:rFonts w:asciiTheme="majorHAnsi" w:eastAsiaTheme="minorHAnsi" w:hAnsiTheme="majorHAnsi" w:cstheme="minorBidi"/>
          <w:b/>
          <w:bCs/>
          <w:iCs/>
          <w:sz w:val="20"/>
          <w:szCs w:val="22"/>
          <w:lang w:eastAsia="en-US"/>
        </w:rPr>
        <w:t>(</w:t>
      </w:r>
      <w:r>
        <w:rPr>
          <w:rFonts w:asciiTheme="majorHAnsi" w:eastAsiaTheme="minorHAnsi" w:hAnsiTheme="majorHAnsi" w:cstheme="minorBidi"/>
          <w:b/>
          <w:bCs/>
          <w:iCs/>
          <w:sz w:val="20"/>
          <w:szCs w:val="22"/>
          <w:lang w:eastAsia="en-US"/>
        </w:rPr>
        <w:t xml:space="preserve">Шестьдесят четыре </w:t>
      </w:r>
      <w:r w:rsidRPr="00AA714B">
        <w:rPr>
          <w:rFonts w:asciiTheme="majorHAnsi" w:eastAsiaTheme="minorHAnsi" w:hAnsiTheme="majorHAnsi" w:cstheme="minorBidi"/>
          <w:b/>
          <w:bCs/>
          <w:iCs/>
          <w:sz w:val="20"/>
          <w:szCs w:val="22"/>
          <w:lang w:eastAsia="en-US"/>
        </w:rPr>
        <w:t>миллион</w:t>
      </w:r>
      <w:r>
        <w:rPr>
          <w:rFonts w:asciiTheme="majorHAnsi" w:eastAsiaTheme="minorHAnsi" w:hAnsiTheme="majorHAnsi" w:cstheme="minorBidi"/>
          <w:b/>
          <w:bCs/>
          <w:iCs/>
          <w:sz w:val="20"/>
          <w:szCs w:val="22"/>
          <w:lang w:eastAsia="en-US"/>
        </w:rPr>
        <w:t>а</w:t>
      </w:r>
      <w:r w:rsidRPr="00AA714B">
        <w:rPr>
          <w:rFonts w:asciiTheme="majorHAnsi" w:eastAsiaTheme="minorHAnsi" w:hAnsiTheme="majorHAnsi" w:cstheme="minorBidi"/>
          <w:b/>
          <w:bCs/>
          <w:iCs/>
          <w:sz w:val="20"/>
          <w:szCs w:val="22"/>
          <w:lang w:eastAsia="en-US"/>
        </w:rPr>
        <w:t xml:space="preserve"> </w:t>
      </w:r>
      <w:r>
        <w:rPr>
          <w:rFonts w:asciiTheme="majorHAnsi" w:eastAsiaTheme="minorHAnsi" w:hAnsiTheme="majorHAnsi" w:cstheme="minorBidi"/>
          <w:b/>
          <w:bCs/>
          <w:iCs/>
          <w:sz w:val="20"/>
          <w:szCs w:val="22"/>
          <w:lang w:eastAsia="en-US"/>
        </w:rPr>
        <w:t>шестьсот три</w:t>
      </w:r>
      <w:r w:rsidRPr="00AA714B">
        <w:rPr>
          <w:rFonts w:asciiTheme="majorHAnsi" w:eastAsiaTheme="minorHAnsi" w:hAnsiTheme="majorHAnsi" w:cstheme="minorBidi"/>
          <w:b/>
          <w:bCs/>
          <w:iCs/>
          <w:sz w:val="20"/>
          <w:szCs w:val="22"/>
          <w:lang w:eastAsia="en-US"/>
        </w:rPr>
        <w:t xml:space="preserve"> тысяч</w:t>
      </w:r>
      <w:r>
        <w:rPr>
          <w:rFonts w:asciiTheme="majorHAnsi" w:eastAsiaTheme="minorHAnsi" w:hAnsiTheme="majorHAnsi" w:cstheme="minorBidi"/>
          <w:b/>
          <w:bCs/>
          <w:iCs/>
          <w:sz w:val="20"/>
          <w:szCs w:val="22"/>
          <w:lang w:eastAsia="en-US"/>
        </w:rPr>
        <w:t>и</w:t>
      </w:r>
      <w:r w:rsidRPr="00AA714B">
        <w:rPr>
          <w:rFonts w:asciiTheme="majorHAnsi" w:eastAsiaTheme="minorHAnsi" w:hAnsiTheme="majorHAnsi" w:cstheme="minorBidi"/>
          <w:b/>
          <w:bCs/>
          <w:iCs/>
          <w:sz w:val="20"/>
          <w:szCs w:val="22"/>
          <w:lang w:eastAsia="en-US"/>
        </w:rPr>
        <w:t xml:space="preserve"> </w:t>
      </w:r>
      <w:r>
        <w:rPr>
          <w:rFonts w:asciiTheme="majorHAnsi" w:eastAsiaTheme="minorHAnsi" w:hAnsiTheme="majorHAnsi" w:cstheme="minorBidi"/>
          <w:b/>
          <w:bCs/>
          <w:iCs/>
          <w:sz w:val="20"/>
          <w:szCs w:val="22"/>
          <w:lang w:eastAsia="en-US"/>
        </w:rPr>
        <w:t xml:space="preserve">пятьсот сорок пять </w:t>
      </w:r>
      <w:r w:rsidRPr="00AA714B">
        <w:rPr>
          <w:rFonts w:asciiTheme="majorHAnsi" w:eastAsiaTheme="minorHAnsi" w:hAnsiTheme="majorHAnsi" w:cstheme="minorBidi"/>
          <w:b/>
          <w:bCs/>
          <w:iCs/>
          <w:sz w:val="20"/>
          <w:szCs w:val="22"/>
          <w:lang w:eastAsia="en-US"/>
        </w:rPr>
        <w:t>рубл</w:t>
      </w:r>
      <w:r>
        <w:rPr>
          <w:rFonts w:asciiTheme="majorHAnsi" w:eastAsiaTheme="minorHAnsi" w:hAnsiTheme="majorHAnsi" w:cstheme="minorBidi"/>
          <w:b/>
          <w:bCs/>
          <w:iCs/>
          <w:sz w:val="20"/>
          <w:szCs w:val="22"/>
          <w:lang w:eastAsia="en-US"/>
        </w:rPr>
        <w:t>ей</w:t>
      </w:r>
      <w:r w:rsidRPr="00AA714B">
        <w:rPr>
          <w:rFonts w:asciiTheme="majorHAnsi" w:eastAsiaTheme="minorHAnsi" w:hAnsiTheme="majorHAnsi" w:cstheme="minorBidi"/>
          <w:b/>
          <w:bCs/>
          <w:iCs/>
          <w:sz w:val="20"/>
          <w:szCs w:val="22"/>
          <w:lang w:eastAsia="en-US"/>
        </w:rPr>
        <w:t>)</w:t>
      </w:r>
    </w:p>
    <w:p w:rsidR="000517A8" w:rsidRDefault="000517A8" w:rsidP="00960AC6">
      <w:pPr>
        <w:jc w:val="center"/>
        <w:rPr>
          <w:rFonts w:asciiTheme="majorHAnsi" w:eastAsiaTheme="minorHAnsi" w:hAnsiTheme="majorHAnsi" w:cstheme="minorBidi"/>
          <w:b/>
          <w:bCs/>
          <w:iCs/>
          <w:sz w:val="20"/>
          <w:szCs w:val="22"/>
          <w:lang w:eastAsia="en-US"/>
        </w:rPr>
      </w:pPr>
    </w:p>
    <w:p w:rsidR="00960AC6" w:rsidRDefault="00960AC6"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Default="000517A8" w:rsidP="00960AC6">
      <w:pPr>
        <w:jc w:val="center"/>
        <w:rPr>
          <w:rFonts w:asciiTheme="majorHAnsi" w:eastAsiaTheme="minorHAnsi" w:hAnsiTheme="majorHAnsi" w:cstheme="minorBidi"/>
          <w:b/>
          <w:bCs/>
          <w:iCs/>
          <w:sz w:val="20"/>
          <w:szCs w:val="22"/>
          <w:lang w:eastAsia="en-US"/>
        </w:rPr>
      </w:pPr>
    </w:p>
    <w:p w:rsidR="000517A8" w:rsidRPr="00960AC6" w:rsidRDefault="000517A8" w:rsidP="00960AC6">
      <w:pPr>
        <w:jc w:val="center"/>
        <w:rPr>
          <w:rFonts w:asciiTheme="majorHAnsi" w:eastAsiaTheme="minorHAnsi" w:hAnsiTheme="majorHAnsi" w:cstheme="minorBidi"/>
          <w:b/>
          <w:bCs/>
          <w:iCs/>
          <w:sz w:val="20"/>
          <w:szCs w:val="22"/>
          <w:lang w:eastAsia="en-US"/>
        </w:rPr>
      </w:pPr>
    </w:p>
    <w:p w:rsidR="00960AC6" w:rsidRDefault="00960AC6" w:rsidP="00960AC6">
      <w:pPr>
        <w:pStyle w:val="af3"/>
        <w:keepNext/>
        <w:keepLines/>
        <w:numPr>
          <w:ilvl w:val="2"/>
          <w:numId w:val="24"/>
        </w:numPr>
        <w:spacing w:before="240"/>
        <w:outlineLvl w:val="2"/>
        <w:rPr>
          <w:rFonts w:asciiTheme="majorHAnsi" w:eastAsiaTheme="majorEastAsia" w:hAnsiTheme="majorHAnsi" w:cstheme="majorBidi"/>
          <w:b/>
          <w:bCs/>
          <w:sz w:val="20"/>
          <w:szCs w:val="22"/>
          <w:lang w:eastAsia="en-US"/>
        </w:rPr>
      </w:pPr>
      <w:bookmarkStart w:id="80" w:name="_Toc491763309"/>
      <w:r w:rsidRPr="00960AC6">
        <w:rPr>
          <w:rFonts w:asciiTheme="majorHAnsi" w:eastAsiaTheme="majorEastAsia" w:hAnsiTheme="majorHAnsi" w:cstheme="majorBidi"/>
          <w:b/>
          <w:bCs/>
          <w:sz w:val="20"/>
          <w:szCs w:val="22"/>
          <w:lang w:eastAsia="en-US"/>
        </w:rPr>
        <w:lastRenderedPageBreak/>
        <w:t>Доходный подход</w:t>
      </w:r>
      <w:bookmarkEnd w:id="80"/>
    </w:p>
    <w:p w:rsidR="00960AC6" w:rsidRPr="00960AC6" w:rsidRDefault="00960AC6" w:rsidP="00960AC6">
      <w:pPr>
        <w:pStyle w:val="af3"/>
        <w:keepNext/>
        <w:keepLines/>
        <w:spacing w:before="240"/>
        <w:ind w:left="1080" w:firstLine="0"/>
        <w:outlineLvl w:val="2"/>
        <w:rPr>
          <w:rFonts w:asciiTheme="majorHAnsi" w:eastAsiaTheme="majorEastAsia" w:hAnsiTheme="majorHAnsi" w:cstheme="majorBidi"/>
          <w:b/>
          <w:bCs/>
          <w:sz w:val="20"/>
          <w:szCs w:val="22"/>
          <w:lang w:eastAsia="en-US"/>
        </w:rPr>
      </w:pPr>
    </w:p>
    <w:p w:rsidR="000517A8" w:rsidRPr="000517A8" w:rsidRDefault="000517A8" w:rsidP="000517A8">
      <w:pPr>
        <w:autoSpaceDE w:val="0"/>
        <w:autoSpaceDN w:val="0"/>
        <w:adjustRightInd w:val="0"/>
        <w:ind w:firstLine="709"/>
        <w:jc w:val="both"/>
        <w:rPr>
          <w:rFonts w:ascii="Cambria" w:eastAsiaTheme="minorHAnsi" w:hAnsi="Cambria" w:cs="Cambria"/>
          <w:color w:val="000000"/>
          <w:sz w:val="20"/>
          <w:szCs w:val="20"/>
          <w:lang w:eastAsia="en-US"/>
        </w:rPr>
      </w:pPr>
      <w:r w:rsidRPr="000517A8">
        <w:rPr>
          <w:rFonts w:ascii="Cambria" w:eastAsiaTheme="minorHAnsi" w:hAnsi="Cambria" w:cs="Cambria"/>
          <w:color w:val="000000"/>
          <w:sz w:val="20"/>
          <w:szCs w:val="20"/>
          <w:lang w:eastAsia="en-US"/>
        </w:rPr>
        <w:t xml:space="preserve">Доходный подход основан на допущении того, что стоимость объекта пропорциональна доходу, который он может обеспечить при разумной эксплуатации. Приведенная к текущей стоимости сумма будущих доходов служит ориентиром того, сколько готов заплатить за оцениваемое предприятие потенциальный инвестор. </w:t>
      </w:r>
    </w:p>
    <w:p w:rsidR="000517A8" w:rsidRPr="000517A8" w:rsidRDefault="000517A8" w:rsidP="000517A8">
      <w:pPr>
        <w:autoSpaceDE w:val="0"/>
        <w:autoSpaceDN w:val="0"/>
        <w:adjustRightInd w:val="0"/>
        <w:ind w:firstLine="709"/>
        <w:jc w:val="both"/>
        <w:rPr>
          <w:rFonts w:ascii="Cambria" w:eastAsiaTheme="minorHAnsi" w:hAnsi="Cambria" w:cs="Cambria"/>
          <w:color w:val="000000"/>
          <w:sz w:val="20"/>
          <w:szCs w:val="20"/>
          <w:lang w:eastAsia="en-US"/>
        </w:rPr>
      </w:pPr>
      <w:r w:rsidRPr="000517A8">
        <w:rPr>
          <w:rFonts w:ascii="Cambria" w:eastAsiaTheme="minorHAnsi" w:hAnsi="Cambria" w:cs="Cambria"/>
          <w:color w:val="000000"/>
          <w:sz w:val="20"/>
          <w:szCs w:val="20"/>
          <w:lang w:eastAsia="en-US"/>
        </w:rPr>
        <w:t>При оценке объектов основных средств методы доходного подхода предполагают поэтапное решение задачи. Сначала рассчитывается чистый доход от функционирования административной системы. Причем, исходя из принципа замещения, принято считать, что доход, приносимый недвижимостью в случае размещения в ней доходного бизнеса, равен экономии на аренде, т.е. аналогичен доходу, полученному от сдачи здания в аренду. В оценке недвижимости, в отличие от оценки бизнеса, принято пренебрегать различием в рисках аренды и бизнеса. Далее с помощью метода дисконтирования доходов или метода капитализации определяется стоимость активов.</w:t>
      </w:r>
    </w:p>
    <w:p w:rsidR="000517A8" w:rsidRPr="000517A8" w:rsidRDefault="000517A8" w:rsidP="000517A8">
      <w:pPr>
        <w:autoSpaceDE w:val="0"/>
        <w:autoSpaceDN w:val="0"/>
        <w:adjustRightInd w:val="0"/>
        <w:ind w:firstLine="709"/>
        <w:jc w:val="both"/>
        <w:rPr>
          <w:rFonts w:ascii="Cambria" w:eastAsiaTheme="minorHAnsi" w:hAnsi="Cambria" w:cs="Cambria"/>
          <w:color w:val="000000"/>
          <w:sz w:val="20"/>
          <w:szCs w:val="20"/>
          <w:lang w:eastAsia="en-US"/>
        </w:rPr>
      </w:pPr>
      <w:r w:rsidRPr="000517A8">
        <w:rPr>
          <w:rFonts w:asciiTheme="majorHAnsi" w:eastAsiaTheme="majorEastAsia" w:hAnsiTheme="majorHAnsi" w:cstheme="majorBidi"/>
          <w:bCs/>
          <w:sz w:val="20"/>
          <w:szCs w:val="22"/>
          <w:lang w:eastAsia="en-US"/>
        </w:rPr>
        <w:t xml:space="preserve">Доходный подход основывается на принципе, по которому текущая рыночная стоимость объекта есть текущая стоимость будущих чистых доходов, генерируемых объектом оценки. Существует два метода, которые наиболее часто применяются для пересчёта чистого дохода в текущую стоимость: метод капитализации прибыли и метод дисконтированных будущих денежных потоков. </w:t>
      </w:r>
    </w:p>
    <w:p w:rsidR="000517A8" w:rsidRPr="000517A8" w:rsidRDefault="000517A8" w:rsidP="000517A8">
      <w:pPr>
        <w:autoSpaceDE w:val="0"/>
        <w:autoSpaceDN w:val="0"/>
        <w:adjustRightInd w:val="0"/>
        <w:ind w:firstLine="709"/>
        <w:jc w:val="both"/>
        <w:rPr>
          <w:rFonts w:asciiTheme="majorHAnsi" w:eastAsiaTheme="majorEastAsia" w:hAnsiTheme="majorHAnsi" w:cstheme="majorBidi"/>
          <w:bCs/>
          <w:sz w:val="20"/>
          <w:szCs w:val="22"/>
          <w:lang w:eastAsia="en-US"/>
        </w:rPr>
      </w:pPr>
      <w:r w:rsidRPr="000517A8">
        <w:rPr>
          <w:rFonts w:asciiTheme="majorHAnsi" w:eastAsiaTheme="majorEastAsia" w:hAnsiTheme="majorHAnsi" w:cstheme="majorBidi"/>
          <w:bCs/>
          <w:sz w:val="20"/>
          <w:szCs w:val="22"/>
          <w:lang w:eastAsia="en-US"/>
        </w:rPr>
        <w:t xml:space="preserve">Применяя доходный подход к оценке, оценщик должен: </w:t>
      </w:r>
    </w:p>
    <w:p w:rsidR="000517A8" w:rsidRPr="000517A8" w:rsidRDefault="000517A8" w:rsidP="000517A8">
      <w:pPr>
        <w:keepNext/>
        <w:keepLines/>
        <w:spacing w:before="120" w:after="120"/>
        <w:ind w:firstLine="709"/>
        <w:contextualSpacing/>
        <w:jc w:val="both"/>
        <w:outlineLvl w:val="2"/>
        <w:rPr>
          <w:rFonts w:asciiTheme="majorHAnsi" w:eastAsiaTheme="majorEastAsia" w:hAnsiTheme="majorHAnsi" w:cstheme="majorBidi"/>
          <w:bCs/>
          <w:sz w:val="20"/>
          <w:szCs w:val="22"/>
          <w:lang w:eastAsia="en-US" w:bidi="en-US"/>
        </w:rPr>
      </w:pPr>
      <w:bookmarkStart w:id="81" w:name="_Toc489031715"/>
      <w:bookmarkStart w:id="82" w:name="_Toc491763310"/>
      <w:r w:rsidRPr="000517A8">
        <w:rPr>
          <w:rFonts w:asciiTheme="majorHAnsi" w:eastAsiaTheme="majorEastAsia" w:hAnsiTheme="majorHAnsi" w:cstheme="majorBidi"/>
          <w:bCs/>
          <w:sz w:val="20"/>
          <w:szCs w:val="22"/>
          <w:lang w:eastAsia="en-US" w:bidi="en-US"/>
        </w:rPr>
        <w:t>а) установить период прогнозирования. Под периодом прогнозирования понимается период в будущем, на который от даты оценки производится прогнозирование количественных характеристик факторов, влияющих на величину будущих доходов;</w:t>
      </w:r>
      <w:bookmarkEnd w:id="81"/>
      <w:bookmarkEnd w:id="82"/>
      <w:r w:rsidRPr="000517A8">
        <w:rPr>
          <w:rFonts w:asciiTheme="majorHAnsi" w:eastAsiaTheme="majorEastAsia" w:hAnsiTheme="majorHAnsi" w:cstheme="majorBidi"/>
          <w:bCs/>
          <w:sz w:val="20"/>
          <w:szCs w:val="22"/>
          <w:lang w:eastAsia="en-US" w:bidi="en-US"/>
        </w:rPr>
        <w:t xml:space="preserve"> </w:t>
      </w:r>
    </w:p>
    <w:p w:rsidR="000517A8" w:rsidRPr="000517A8" w:rsidRDefault="000517A8" w:rsidP="000517A8">
      <w:pPr>
        <w:keepNext/>
        <w:keepLines/>
        <w:spacing w:before="120" w:after="120"/>
        <w:ind w:firstLine="709"/>
        <w:contextualSpacing/>
        <w:jc w:val="both"/>
        <w:outlineLvl w:val="2"/>
        <w:rPr>
          <w:rFonts w:asciiTheme="majorHAnsi" w:eastAsiaTheme="majorEastAsia" w:hAnsiTheme="majorHAnsi" w:cstheme="majorBidi"/>
          <w:bCs/>
          <w:sz w:val="20"/>
          <w:szCs w:val="22"/>
          <w:lang w:eastAsia="en-US" w:bidi="en-US"/>
        </w:rPr>
      </w:pPr>
      <w:bookmarkStart w:id="83" w:name="_Toc489031716"/>
      <w:bookmarkStart w:id="84" w:name="_Toc491763311"/>
      <w:r w:rsidRPr="000517A8">
        <w:rPr>
          <w:rFonts w:asciiTheme="majorHAnsi" w:eastAsiaTheme="majorEastAsia" w:hAnsiTheme="majorHAnsi" w:cstheme="majorBidi"/>
          <w:bCs/>
          <w:sz w:val="20"/>
          <w:szCs w:val="22"/>
          <w:lang w:eastAsia="en-US" w:bidi="en-US"/>
        </w:rPr>
        <w:t>б) исследовать способность объекта оценки приносить поток доходов в течение периода прогнозирования, а также сделать заключение о способности объекта приносить поток доходов в период после периода прогнозирования;</w:t>
      </w:r>
      <w:bookmarkEnd w:id="83"/>
      <w:bookmarkEnd w:id="84"/>
      <w:r w:rsidRPr="000517A8">
        <w:rPr>
          <w:rFonts w:asciiTheme="majorHAnsi" w:eastAsiaTheme="majorEastAsia" w:hAnsiTheme="majorHAnsi" w:cstheme="majorBidi"/>
          <w:bCs/>
          <w:sz w:val="20"/>
          <w:szCs w:val="22"/>
          <w:lang w:eastAsia="en-US" w:bidi="en-US"/>
        </w:rPr>
        <w:t xml:space="preserve"> </w:t>
      </w:r>
    </w:p>
    <w:p w:rsidR="000517A8" w:rsidRPr="000517A8" w:rsidRDefault="000517A8" w:rsidP="000517A8">
      <w:pPr>
        <w:keepNext/>
        <w:keepLines/>
        <w:spacing w:before="120" w:after="120"/>
        <w:ind w:firstLine="709"/>
        <w:contextualSpacing/>
        <w:jc w:val="both"/>
        <w:outlineLvl w:val="2"/>
        <w:rPr>
          <w:rFonts w:asciiTheme="majorHAnsi" w:eastAsiaTheme="majorEastAsia" w:hAnsiTheme="majorHAnsi" w:cstheme="majorBidi"/>
          <w:bCs/>
          <w:sz w:val="20"/>
          <w:szCs w:val="22"/>
          <w:lang w:eastAsia="en-US" w:bidi="en-US"/>
        </w:rPr>
      </w:pPr>
      <w:bookmarkStart w:id="85" w:name="_Toc489031717"/>
      <w:bookmarkStart w:id="86" w:name="_Toc491763312"/>
      <w:r w:rsidRPr="000517A8">
        <w:rPr>
          <w:rFonts w:asciiTheme="majorHAnsi" w:eastAsiaTheme="majorEastAsia" w:hAnsiTheme="majorHAnsi" w:cstheme="majorBidi"/>
          <w:bCs/>
          <w:sz w:val="20"/>
          <w:szCs w:val="22"/>
          <w:lang w:eastAsia="en-US" w:bidi="en-US"/>
        </w:rPr>
        <w:t>в) определить ставку дисконтирования, отражающую доходность вложений в сопоставимые с объектом оценки по уровню риска объекты инвестирования, используемую для приведения будущих потоков доходов к дате оценки;</w:t>
      </w:r>
      <w:bookmarkEnd w:id="85"/>
      <w:bookmarkEnd w:id="86"/>
      <w:r w:rsidRPr="000517A8">
        <w:rPr>
          <w:rFonts w:asciiTheme="majorHAnsi" w:eastAsiaTheme="majorEastAsia" w:hAnsiTheme="majorHAnsi" w:cstheme="majorBidi"/>
          <w:bCs/>
          <w:sz w:val="20"/>
          <w:szCs w:val="22"/>
          <w:lang w:eastAsia="en-US" w:bidi="en-US"/>
        </w:rPr>
        <w:t xml:space="preserve"> </w:t>
      </w:r>
    </w:p>
    <w:p w:rsidR="000517A8" w:rsidRPr="000517A8" w:rsidRDefault="000517A8" w:rsidP="000517A8">
      <w:pPr>
        <w:keepNext/>
        <w:keepLines/>
        <w:spacing w:before="120" w:after="120"/>
        <w:ind w:firstLine="709"/>
        <w:contextualSpacing/>
        <w:jc w:val="both"/>
        <w:outlineLvl w:val="2"/>
        <w:rPr>
          <w:rFonts w:asciiTheme="majorHAnsi" w:eastAsiaTheme="majorEastAsia" w:hAnsiTheme="majorHAnsi" w:cstheme="majorBidi"/>
          <w:bCs/>
          <w:sz w:val="20"/>
          <w:szCs w:val="22"/>
          <w:lang w:eastAsia="en-US" w:bidi="en-US"/>
        </w:rPr>
      </w:pPr>
      <w:bookmarkStart w:id="87" w:name="_Toc489031718"/>
      <w:bookmarkStart w:id="88" w:name="_Toc491763313"/>
      <w:r w:rsidRPr="000517A8">
        <w:rPr>
          <w:rFonts w:asciiTheme="majorHAnsi" w:eastAsiaTheme="majorEastAsia" w:hAnsiTheme="majorHAnsi" w:cstheme="majorBidi"/>
          <w:bCs/>
          <w:sz w:val="20"/>
          <w:szCs w:val="22"/>
          <w:lang w:eastAsia="en-US" w:bidi="en-US"/>
        </w:rPr>
        <w:t>г) осуществить процедуру приведения потока ожидаемых доходов в период прогнозирования, а также доходов после периода прогнозирования в стоимость на дату оценки.</w:t>
      </w:r>
      <w:bookmarkEnd w:id="87"/>
      <w:bookmarkEnd w:id="88"/>
      <w:r w:rsidRPr="000517A8">
        <w:rPr>
          <w:rFonts w:asciiTheme="majorHAnsi" w:eastAsiaTheme="majorEastAsia" w:hAnsiTheme="majorHAnsi" w:cstheme="majorBidi"/>
          <w:bCs/>
          <w:sz w:val="20"/>
          <w:szCs w:val="22"/>
          <w:lang w:eastAsia="en-US" w:bidi="en-US"/>
        </w:rPr>
        <w:t xml:space="preserve"> </w:t>
      </w:r>
    </w:p>
    <w:p w:rsidR="000517A8" w:rsidRPr="000517A8" w:rsidRDefault="000517A8" w:rsidP="000517A8">
      <w:pPr>
        <w:keepNext/>
        <w:keepLines/>
        <w:spacing w:before="120" w:after="120"/>
        <w:contextualSpacing/>
        <w:jc w:val="center"/>
        <w:outlineLvl w:val="2"/>
        <w:rPr>
          <w:rFonts w:asciiTheme="majorHAnsi" w:eastAsiaTheme="majorEastAsia" w:hAnsiTheme="majorHAnsi" w:cstheme="majorBidi"/>
          <w:b/>
          <w:bCs/>
          <w:i/>
          <w:iCs/>
          <w:sz w:val="20"/>
          <w:szCs w:val="22"/>
          <w:lang w:eastAsia="en-US" w:bidi="en-US"/>
        </w:rPr>
      </w:pPr>
      <w:r w:rsidRPr="000517A8">
        <w:rPr>
          <w:rFonts w:asciiTheme="majorHAnsi" w:eastAsiaTheme="majorEastAsia" w:hAnsiTheme="majorHAnsi" w:cstheme="majorBidi"/>
          <w:b/>
          <w:bCs/>
          <w:i/>
          <w:iCs/>
          <w:sz w:val="20"/>
          <w:szCs w:val="22"/>
          <w:lang w:eastAsia="en-US" w:bidi="en-US"/>
        </w:rPr>
        <w:t xml:space="preserve">         </w:t>
      </w:r>
      <w:bookmarkStart w:id="89" w:name="_Toc489031719"/>
      <w:bookmarkStart w:id="90" w:name="_Toc491763314"/>
      <w:r w:rsidRPr="000517A8">
        <w:rPr>
          <w:rFonts w:asciiTheme="majorHAnsi" w:eastAsiaTheme="majorEastAsia" w:hAnsiTheme="majorHAnsi" w:cstheme="majorBidi"/>
          <w:b/>
          <w:bCs/>
          <w:i/>
          <w:iCs/>
          <w:sz w:val="20"/>
          <w:szCs w:val="22"/>
          <w:lang w:eastAsia="en-US" w:bidi="en-US"/>
        </w:rPr>
        <w:t>Обоснование выбора примененных оценщиком методов оценки в рамках доходного подхода</w:t>
      </w:r>
      <w:bookmarkEnd w:id="89"/>
      <w:bookmarkEnd w:id="90"/>
    </w:p>
    <w:p w:rsidR="000517A8" w:rsidRPr="000517A8" w:rsidRDefault="000517A8" w:rsidP="000517A8">
      <w:pPr>
        <w:keepNext/>
        <w:keepLines/>
        <w:spacing w:before="120" w:after="120"/>
        <w:ind w:firstLine="709"/>
        <w:contextualSpacing/>
        <w:jc w:val="both"/>
        <w:outlineLvl w:val="2"/>
        <w:rPr>
          <w:rFonts w:asciiTheme="majorHAnsi" w:eastAsiaTheme="majorEastAsia" w:hAnsiTheme="majorHAnsi" w:cstheme="majorBidi"/>
          <w:bCs/>
          <w:sz w:val="20"/>
          <w:szCs w:val="22"/>
          <w:lang w:eastAsia="en-US" w:bidi="en-US"/>
        </w:rPr>
      </w:pPr>
      <w:bookmarkStart w:id="91" w:name="_Toc489031720"/>
      <w:bookmarkStart w:id="92" w:name="_Toc491763315"/>
      <w:r w:rsidRPr="000517A8">
        <w:rPr>
          <w:rFonts w:asciiTheme="majorHAnsi" w:eastAsiaTheme="majorEastAsia" w:hAnsiTheme="majorHAnsi" w:cstheme="majorBidi"/>
          <w:bCs/>
          <w:i/>
          <w:iCs/>
          <w:sz w:val="20"/>
          <w:szCs w:val="22"/>
          <w:lang w:eastAsia="en-US" w:bidi="en-US"/>
        </w:rPr>
        <w:t xml:space="preserve">Метод капитализации </w:t>
      </w:r>
      <w:r w:rsidRPr="000517A8">
        <w:rPr>
          <w:rFonts w:asciiTheme="majorHAnsi" w:eastAsiaTheme="majorEastAsia" w:hAnsiTheme="majorHAnsi" w:cstheme="majorBidi"/>
          <w:bCs/>
          <w:sz w:val="20"/>
          <w:szCs w:val="22"/>
          <w:lang w:eastAsia="en-US" w:bidi="en-US"/>
        </w:rPr>
        <w:t>прибыли используется, когда ожидается, что предприятие в течение длительного срока будет получать примерно одинаковые величины прибыли (или темпы ее роста будут постоянны). При этом в качестве периода прогнозирования используются сведения о периоде в течение всей экономической жизни объекта, а в качестве ставки дисконтирования используется ставка с учетом возврата капитала на вложенные инвестиции (ставка капитализации).</w:t>
      </w:r>
      <w:bookmarkEnd w:id="91"/>
      <w:bookmarkEnd w:id="92"/>
      <w:r w:rsidRPr="000517A8">
        <w:rPr>
          <w:rFonts w:asciiTheme="majorHAnsi" w:eastAsiaTheme="majorEastAsia" w:hAnsiTheme="majorHAnsi" w:cstheme="majorBidi"/>
          <w:bCs/>
          <w:sz w:val="20"/>
          <w:szCs w:val="22"/>
          <w:lang w:eastAsia="en-US" w:bidi="en-US"/>
        </w:rPr>
        <w:t xml:space="preserve"> </w:t>
      </w:r>
    </w:p>
    <w:p w:rsidR="000517A8" w:rsidRPr="000517A8" w:rsidRDefault="000517A8" w:rsidP="000517A8">
      <w:pPr>
        <w:keepNext/>
        <w:keepLines/>
        <w:spacing w:before="120" w:after="120"/>
        <w:ind w:firstLine="709"/>
        <w:contextualSpacing/>
        <w:jc w:val="both"/>
        <w:outlineLvl w:val="2"/>
        <w:rPr>
          <w:rFonts w:asciiTheme="majorHAnsi" w:eastAsiaTheme="majorEastAsia" w:hAnsiTheme="majorHAnsi" w:cstheme="majorBidi"/>
          <w:bCs/>
          <w:sz w:val="20"/>
          <w:szCs w:val="22"/>
          <w:lang w:eastAsia="en-US" w:bidi="en-US"/>
        </w:rPr>
      </w:pPr>
      <w:bookmarkStart w:id="93" w:name="_Toc489031721"/>
      <w:bookmarkStart w:id="94" w:name="_Toc491763316"/>
      <w:r w:rsidRPr="000517A8">
        <w:rPr>
          <w:rFonts w:asciiTheme="majorHAnsi" w:eastAsiaTheme="majorEastAsia" w:hAnsiTheme="majorHAnsi" w:cstheme="majorBidi"/>
          <w:bCs/>
          <w:i/>
          <w:iCs/>
          <w:sz w:val="20"/>
          <w:szCs w:val="22"/>
          <w:lang w:eastAsia="en-US" w:bidi="en-US"/>
        </w:rPr>
        <w:t xml:space="preserve">Метод дисконтированных денежных потоков </w:t>
      </w:r>
      <w:r w:rsidRPr="000517A8">
        <w:rPr>
          <w:rFonts w:asciiTheme="majorHAnsi" w:eastAsiaTheme="majorEastAsia" w:hAnsiTheme="majorHAnsi" w:cstheme="majorBidi"/>
          <w:bCs/>
          <w:sz w:val="20"/>
          <w:szCs w:val="22"/>
          <w:lang w:eastAsia="en-US" w:bidi="en-US"/>
        </w:rPr>
        <w:t>используется, когда можно обоснованно спрогнозировать будущие денежные потоки. Предполагается, что будущие денежные потоки могут существенно отличаться от текущих, прогнозируемые будущие денежные потоки являются положительными величинами для большинства прогнозных лет, а денежный поток в последний год прогнозного периода будет значительной положительной величиной. Другими словами, метод более применим, когда не удается сделать предположение в отношении стабильности дохода и/или его постоянного, равномерного темпа роста. Однако прогноз будущих доходов зачастую оказывается столь слабо определенным, что лица, принимающие решения по результатам оценки, отказываются пользоваться им. Еще более часто признается невозможность получения достоверного прогноза. В этих случаях данный подход становится неприемлемым.</w:t>
      </w:r>
      <w:bookmarkEnd w:id="93"/>
      <w:bookmarkEnd w:id="94"/>
      <w:r w:rsidRPr="000517A8">
        <w:rPr>
          <w:rFonts w:asciiTheme="majorHAnsi" w:eastAsiaTheme="majorEastAsia" w:hAnsiTheme="majorHAnsi" w:cstheme="majorBidi"/>
          <w:bCs/>
          <w:sz w:val="20"/>
          <w:szCs w:val="22"/>
          <w:lang w:eastAsia="en-US" w:bidi="en-US"/>
        </w:rPr>
        <w:t xml:space="preserve"> </w:t>
      </w:r>
    </w:p>
    <w:p w:rsidR="000517A8" w:rsidRPr="000517A8" w:rsidRDefault="000517A8" w:rsidP="000517A8">
      <w:pPr>
        <w:keepNext/>
        <w:keepLines/>
        <w:spacing w:before="120" w:after="120"/>
        <w:ind w:firstLine="709"/>
        <w:contextualSpacing/>
        <w:jc w:val="both"/>
        <w:outlineLvl w:val="2"/>
        <w:rPr>
          <w:rFonts w:asciiTheme="majorHAnsi" w:eastAsiaTheme="majorEastAsia" w:hAnsiTheme="majorHAnsi" w:cstheme="majorBidi"/>
          <w:bCs/>
          <w:sz w:val="20"/>
          <w:szCs w:val="22"/>
          <w:lang w:eastAsia="en-US" w:bidi="en-US"/>
        </w:rPr>
      </w:pPr>
      <w:bookmarkStart w:id="95" w:name="_Toc489031722"/>
      <w:bookmarkStart w:id="96" w:name="_Toc491763317"/>
      <w:r w:rsidRPr="000517A8">
        <w:rPr>
          <w:rFonts w:asciiTheme="majorHAnsi" w:eastAsiaTheme="majorEastAsia" w:hAnsiTheme="majorHAnsi" w:cstheme="majorBidi"/>
          <w:bCs/>
          <w:sz w:val="20"/>
          <w:szCs w:val="22"/>
          <w:lang w:eastAsia="en-US" w:bidi="en-US"/>
        </w:rPr>
        <w:t>В обоих методах происходит преобразование будущих потоков доходов от объекта недвижимости в его стоимость с учетом с учетом уровня риска, характерного для данного объекта. Различаются они лишь способом преобразования потока доходов.</w:t>
      </w:r>
      <w:bookmarkEnd w:id="95"/>
      <w:bookmarkEnd w:id="96"/>
      <w:r w:rsidRPr="000517A8">
        <w:rPr>
          <w:rFonts w:asciiTheme="majorHAnsi" w:eastAsiaTheme="majorEastAsia" w:hAnsiTheme="majorHAnsi" w:cstheme="majorBidi"/>
          <w:bCs/>
          <w:sz w:val="20"/>
          <w:szCs w:val="22"/>
          <w:lang w:eastAsia="en-US" w:bidi="en-US"/>
        </w:rPr>
        <w:t xml:space="preserve"> </w:t>
      </w:r>
    </w:p>
    <w:p w:rsidR="000517A8" w:rsidRPr="000517A8" w:rsidRDefault="000517A8" w:rsidP="000517A8">
      <w:pPr>
        <w:keepNext/>
        <w:keepLines/>
        <w:spacing w:before="120" w:after="120"/>
        <w:ind w:firstLine="709"/>
        <w:contextualSpacing/>
        <w:jc w:val="both"/>
        <w:outlineLvl w:val="2"/>
        <w:rPr>
          <w:rFonts w:asciiTheme="majorHAnsi" w:eastAsiaTheme="majorEastAsia" w:hAnsiTheme="majorHAnsi" w:cstheme="majorBidi"/>
          <w:bCs/>
          <w:sz w:val="20"/>
          <w:szCs w:val="22"/>
          <w:lang w:eastAsia="en-US" w:bidi="en-US"/>
        </w:rPr>
      </w:pPr>
      <w:bookmarkStart w:id="97" w:name="_Toc489031723"/>
      <w:bookmarkStart w:id="98" w:name="_Toc491763318"/>
      <w:r w:rsidRPr="000517A8">
        <w:rPr>
          <w:rFonts w:asciiTheme="majorHAnsi" w:eastAsiaTheme="majorEastAsia" w:hAnsiTheme="majorHAnsi" w:cstheme="majorBidi"/>
          <w:bCs/>
          <w:sz w:val="20"/>
          <w:szCs w:val="22"/>
          <w:lang w:eastAsia="en-US" w:bidi="en-US"/>
        </w:rPr>
        <w:t>При использовании метода капитализации доходов в стоимость недвижимости преобразуется доход за один временной период, а при использовании метода дисконтирования денежных потоков – доход от ее использования за ряд прогнозных лет, а так же выручка от перепродажи объекта недвижимости в конце прогнозного периода.</w:t>
      </w:r>
      <w:bookmarkEnd w:id="97"/>
      <w:bookmarkEnd w:id="98"/>
      <w:r w:rsidRPr="000517A8">
        <w:rPr>
          <w:rFonts w:asciiTheme="majorHAnsi" w:eastAsiaTheme="majorEastAsia" w:hAnsiTheme="majorHAnsi" w:cstheme="majorBidi"/>
          <w:bCs/>
          <w:sz w:val="20"/>
          <w:szCs w:val="22"/>
          <w:lang w:eastAsia="en-US" w:bidi="en-US"/>
        </w:rPr>
        <w:t xml:space="preserve"> </w:t>
      </w:r>
    </w:p>
    <w:p w:rsidR="000517A8" w:rsidRPr="000517A8" w:rsidRDefault="000517A8" w:rsidP="000517A8">
      <w:pPr>
        <w:keepNext/>
        <w:keepLines/>
        <w:spacing w:before="120" w:after="120"/>
        <w:ind w:firstLine="709"/>
        <w:contextualSpacing/>
        <w:jc w:val="both"/>
        <w:outlineLvl w:val="2"/>
        <w:rPr>
          <w:rFonts w:asciiTheme="majorHAnsi" w:eastAsiaTheme="majorEastAsia" w:hAnsiTheme="majorHAnsi" w:cstheme="majorBidi"/>
          <w:bCs/>
          <w:sz w:val="20"/>
          <w:szCs w:val="22"/>
          <w:lang w:eastAsia="en-US" w:bidi="en-US"/>
        </w:rPr>
      </w:pPr>
      <w:bookmarkStart w:id="99" w:name="_Toc489031724"/>
      <w:bookmarkStart w:id="100" w:name="_Toc491763319"/>
      <w:r w:rsidRPr="000517A8">
        <w:rPr>
          <w:rFonts w:asciiTheme="majorHAnsi" w:eastAsiaTheme="majorEastAsia" w:hAnsiTheme="majorHAnsi" w:cstheme="majorBidi"/>
          <w:bCs/>
          <w:sz w:val="20"/>
          <w:szCs w:val="22"/>
          <w:lang w:eastAsia="en-US" w:bidi="en-US"/>
        </w:rPr>
        <w:t>Оценка объектов недвижимости по доходу основана на предположении, что стоимость недвижимости на дату оценки равна текущей (сегодняшней) стоимости чистых доходов, которые могут быть получены владельцем в течение будущих лет от сдачи объектов в аренду.</w:t>
      </w:r>
      <w:bookmarkEnd w:id="99"/>
      <w:bookmarkEnd w:id="100"/>
      <w:r w:rsidRPr="000517A8">
        <w:rPr>
          <w:rFonts w:asciiTheme="majorHAnsi" w:eastAsiaTheme="majorEastAsia" w:hAnsiTheme="majorHAnsi" w:cstheme="majorBidi"/>
          <w:bCs/>
          <w:sz w:val="20"/>
          <w:szCs w:val="22"/>
          <w:lang w:eastAsia="en-US" w:bidi="en-US"/>
        </w:rPr>
        <w:t xml:space="preserve"> </w:t>
      </w:r>
    </w:p>
    <w:p w:rsidR="000517A8" w:rsidRPr="000517A8" w:rsidRDefault="000517A8" w:rsidP="000517A8">
      <w:pPr>
        <w:keepNext/>
        <w:keepLines/>
        <w:spacing w:before="120" w:after="120"/>
        <w:ind w:firstLine="709"/>
        <w:contextualSpacing/>
        <w:jc w:val="both"/>
        <w:outlineLvl w:val="2"/>
        <w:rPr>
          <w:rFonts w:asciiTheme="majorHAnsi" w:eastAsiaTheme="majorEastAsia" w:hAnsiTheme="majorHAnsi" w:cstheme="majorBidi"/>
          <w:bCs/>
          <w:sz w:val="20"/>
          <w:szCs w:val="22"/>
          <w:lang w:eastAsia="en-US" w:bidi="en-US"/>
        </w:rPr>
      </w:pPr>
      <w:bookmarkStart w:id="101" w:name="_Toc489031725"/>
      <w:bookmarkStart w:id="102" w:name="_Toc491763320"/>
      <w:r w:rsidRPr="000517A8">
        <w:rPr>
          <w:rFonts w:asciiTheme="majorHAnsi" w:eastAsiaTheme="majorEastAsia" w:hAnsiTheme="majorHAnsi" w:cstheme="majorBidi"/>
          <w:bCs/>
          <w:sz w:val="20"/>
          <w:szCs w:val="22"/>
          <w:lang w:eastAsia="en-US" w:bidi="en-US"/>
        </w:rPr>
        <w:t>Для полноценной реализации данного метода необходимо определить две основные величины:</w:t>
      </w:r>
      <w:bookmarkEnd w:id="101"/>
      <w:bookmarkEnd w:id="102"/>
      <w:r w:rsidRPr="000517A8">
        <w:rPr>
          <w:rFonts w:asciiTheme="majorHAnsi" w:eastAsiaTheme="majorEastAsia" w:hAnsiTheme="majorHAnsi" w:cstheme="majorBidi"/>
          <w:bCs/>
          <w:sz w:val="20"/>
          <w:szCs w:val="22"/>
          <w:lang w:eastAsia="en-US" w:bidi="en-US"/>
        </w:rPr>
        <w:t xml:space="preserve"> </w:t>
      </w:r>
    </w:p>
    <w:p w:rsidR="000517A8" w:rsidRPr="000517A8" w:rsidRDefault="000517A8" w:rsidP="000517A8">
      <w:pPr>
        <w:keepNext/>
        <w:keepLines/>
        <w:numPr>
          <w:ilvl w:val="0"/>
          <w:numId w:val="8"/>
        </w:numPr>
        <w:spacing w:before="120"/>
        <w:ind w:left="993" w:hanging="284"/>
        <w:contextualSpacing/>
        <w:jc w:val="both"/>
        <w:outlineLvl w:val="2"/>
        <w:rPr>
          <w:rFonts w:asciiTheme="majorHAnsi" w:eastAsiaTheme="majorEastAsia" w:hAnsiTheme="majorHAnsi" w:cstheme="majorBidi"/>
          <w:bCs/>
          <w:sz w:val="20"/>
          <w:szCs w:val="22"/>
          <w:lang w:eastAsia="en-US" w:bidi="en-US"/>
        </w:rPr>
      </w:pPr>
      <w:bookmarkStart w:id="103" w:name="_Toc489031726"/>
      <w:bookmarkStart w:id="104" w:name="_Toc491763321"/>
      <w:r w:rsidRPr="000517A8">
        <w:rPr>
          <w:rFonts w:asciiTheme="majorHAnsi" w:eastAsiaTheme="majorEastAsia" w:hAnsiTheme="majorHAnsi" w:cstheme="majorBidi"/>
          <w:bCs/>
          <w:sz w:val="20"/>
          <w:szCs w:val="22"/>
          <w:lang w:eastAsia="en-US" w:bidi="en-US"/>
        </w:rPr>
        <w:t>чистый операционный доход при лучшем и наиболее эффективном использовании объекта за год (по нашему мнению, таковым является сдача оцениваемых помещений в аренду);</w:t>
      </w:r>
      <w:bookmarkEnd w:id="103"/>
      <w:bookmarkEnd w:id="104"/>
      <w:r w:rsidRPr="000517A8">
        <w:rPr>
          <w:rFonts w:asciiTheme="majorHAnsi" w:eastAsiaTheme="majorEastAsia" w:hAnsiTheme="majorHAnsi" w:cstheme="majorBidi"/>
          <w:bCs/>
          <w:sz w:val="20"/>
          <w:szCs w:val="22"/>
          <w:lang w:eastAsia="en-US" w:bidi="en-US"/>
        </w:rPr>
        <w:t xml:space="preserve"> </w:t>
      </w:r>
    </w:p>
    <w:p w:rsidR="000517A8" w:rsidRPr="000517A8" w:rsidRDefault="000517A8" w:rsidP="000517A8">
      <w:pPr>
        <w:keepNext/>
        <w:keepLines/>
        <w:numPr>
          <w:ilvl w:val="0"/>
          <w:numId w:val="8"/>
        </w:numPr>
        <w:spacing w:before="120"/>
        <w:ind w:left="993" w:hanging="284"/>
        <w:contextualSpacing/>
        <w:jc w:val="both"/>
        <w:outlineLvl w:val="2"/>
        <w:rPr>
          <w:rFonts w:asciiTheme="majorHAnsi" w:eastAsiaTheme="majorEastAsia" w:hAnsiTheme="majorHAnsi" w:cstheme="majorBidi"/>
          <w:bCs/>
          <w:sz w:val="20"/>
          <w:szCs w:val="22"/>
          <w:lang w:eastAsia="en-US" w:bidi="en-US"/>
        </w:rPr>
      </w:pPr>
      <w:bookmarkStart w:id="105" w:name="_Toc489031727"/>
      <w:bookmarkStart w:id="106" w:name="_Toc491763322"/>
      <w:r w:rsidRPr="000517A8">
        <w:rPr>
          <w:rFonts w:asciiTheme="majorHAnsi" w:eastAsiaTheme="majorEastAsia" w:hAnsiTheme="majorHAnsi" w:cstheme="majorBidi"/>
          <w:bCs/>
          <w:sz w:val="20"/>
          <w:szCs w:val="22"/>
          <w:lang w:eastAsia="en-US" w:bidi="en-US"/>
        </w:rPr>
        <w:t>определение коэффициента капитализации к данному доходу.</w:t>
      </w:r>
      <w:bookmarkEnd w:id="105"/>
      <w:bookmarkEnd w:id="106"/>
      <w:r w:rsidRPr="000517A8">
        <w:rPr>
          <w:rFonts w:asciiTheme="majorHAnsi" w:eastAsiaTheme="majorEastAsia" w:hAnsiTheme="majorHAnsi" w:cstheme="majorBidi"/>
          <w:bCs/>
          <w:sz w:val="20"/>
          <w:szCs w:val="22"/>
          <w:lang w:eastAsia="en-US" w:bidi="en-US"/>
        </w:rPr>
        <w:t xml:space="preserve"> </w:t>
      </w:r>
    </w:p>
    <w:p w:rsidR="000517A8" w:rsidRPr="000517A8" w:rsidRDefault="000517A8" w:rsidP="000517A8">
      <w:pPr>
        <w:autoSpaceDE w:val="0"/>
        <w:autoSpaceDN w:val="0"/>
        <w:adjustRightInd w:val="0"/>
        <w:ind w:firstLine="709"/>
        <w:jc w:val="both"/>
        <w:rPr>
          <w:rFonts w:ascii="Cambria" w:eastAsiaTheme="minorHAnsi" w:hAnsi="Cambria" w:cs="Cambria"/>
          <w:color w:val="000000"/>
          <w:sz w:val="20"/>
          <w:szCs w:val="20"/>
          <w:lang w:eastAsia="en-US"/>
        </w:rPr>
      </w:pPr>
      <w:r w:rsidRPr="000517A8">
        <w:rPr>
          <w:rFonts w:ascii="Cambria" w:eastAsiaTheme="minorHAnsi" w:hAnsi="Cambria" w:cs="Cambria"/>
          <w:b/>
          <w:bCs/>
          <w:color w:val="000000"/>
          <w:sz w:val="20"/>
          <w:szCs w:val="20"/>
          <w:lang w:eastAsia="en-US"/>
        </w:rPr>
        <w:t xml:space="preserve">Метод капитализации доходов - </w:t>
      </w:r>
      <w:r w:rsidRPr="000517A8">
        <w:rPr>
          <w:rFonts w:ascii="Cambria" w:eastAsiaTheme="minorHAnsi" w:hAnsi="Cambria" w:cs="Cambria"/>
          <w:color w:val="000000"/>
          <w:sz w:val="20"/>
          <w:szCs w:val="20"/>
          <w:lang w:eastAsia="en-US"/>
        </w:rPr>
        <w:t xml:space="preserve">используется в случае, если потоки доходов стабильны длительный период времени и представляют собой значительную положительную величину, либо потоки доходов возрастают устойчивыми, умеренными темпами. </w:t>
      </w:r>
    </w:p>
    <w:p w:rsidR="000517A8" w:rsidRPr="000517A8" w:rsidRDefault="000517A8" w:rsidP="000517A8">
      <w:pPr>
        <w:autoSpaceDE w:val="0"/>
        <w:autoSpaceDN w:val="0"/>
        <w:adjustRightInd w:val="0"/>
        <w:ind w:firstLine="709"/>
        <w:jc w:val="both"/>
        <w:rPr>
          <w:rFonts w:ascii="Cambria" w:eastAsiaTheme="minorHAnsi" w:hAnsi="Cambria" w:cs="Cambria"/>
          <w:color w:val="000000"/>
          <w:sz w:val="20"/>
          <w:szCs w:val="20"/>
          <w:lang w:eastAsia="en-US"/>
        </w:rPr>
      </w:pPr>
      <w:r w:rsidRPr="000517A8">
        <w:rPr>
          <w:rFonts w:ascii="Cambria" w:eastAsiaTheme="minorHAnsi" w:hAnsi="Cambria" w:cs="Cambria"/>
          <w:b/>
          <w:bCs/>
          <w:color w:val="000000"/>
          <w:sz w:val="20"/>
          <w:szCs w:val="20"/>
          <w:lang w:eastAsia="en-US"/>
        </w:rPr>
        <w:lastRenderedPageBreak/>
        <w:t xml:space="preserve">Метод дисконтирования денежных потоков - </w:t>
      </w:r>
      <w:r w:rsidRPr="000517A8">
        <w:rPr>
          <w:rFonts w:ascii="Cambria" w:eastAsiaTheme="minorHAnsi" w:hAnsi="Cambria" w:cs="Cambria"/>
          <w:color w:val="000000"/>
          <w:sz w:val="20"/>
          <w:szCs w:val="20"/>
          <w:lang w:eastAsia="en-US"/>
        </w:rPr>
        <w:t xml:space="preserve">используется в случаях когда предполагается, что будущие денежные потоки будут существенно отличаться от текущих, имеются данные, позволяющие обосновать размер будущих потоков денежных средств, потоки доходов и расходов носят сезонный характер, объект оценки крупный многофункциональный коммерческий объект, объект недвижимости строится или только что построен и водится (или введен в действие). </w:t>
      </w:r>
    </w:p>
    <w:p w:rsidR="00413E90" w:rsidRPr="00413E90" w:rsidRDefault="00413E90" w:rsidP="00413E90">
      <w:pPr>
        <w:autoSpaceDE w:val="0"/>
        <w:autoSpaceDN w:val="0"/>
        <w:adjustRightInd w:val="0"/>
        <w:ind w:firstLine="709"/>
        <w:jc w:val="both"/>
        <w:rPr>
          <w:rFonts w:ascii="Cambria" w:eastAsiaTheme="minorHAnsi" w:hAnsi="Cambria" w:cs="Cambria"/>
          <w:color w:val="000000"/>
          <w:sz w:val="20"/>
          <w:szCs w:val="20"/>
          <w:lang w:eastAsia="en-US"/>
        </w:rPr>
      </w:pPr>
    </w:p>
    <w:p w:rsidR="00960AC6" w:rsidRDefault="00413E90" w:rsidP="00413E90">
      <w:pPr>
        <w:jc w:val="center"/>
        <w:rPr>
          <w:rFonts w:asciiTheme="majorHAnsi" w:eastAsiaTheme="minorHAnsi" w:hAnsiTheme="majorHAnsi" w:cstheme="minorBidi"/>
          <w:b/>
          <w:bCs/>
          <w:sz w:val="20"/>
          <w:szCs w:val="22"/>
          <w:lang w:eastAsia="en-US"/>
        </w:rPr>
      </w:pPr>
      <w:r w:rsidRPr="00413E90">
        <w:rPr>
          <w:rFonts w:asciiTheme="majorHAnsi" w:eastAsiaTheme="minorHAnsi" w:hAnsiTheme="majorHAnsi" w:cstheme="minorBidi"/>
          <w:b/>
          <w:bCs/>
          <w:sz w:val="20"/>
          <w:szCs w:val="22"/>
          <w:lang w:eastAsia="en-US"/>
        </w:rPr>
        <w:t>РАСЧЕТ ЧИСТОГО ОПЕРАЦИОННОГО ДОХОДА ОТ ЕДИНОГО ОБЪЕКТА НЕДВИЖИМОСТИ ЗА ОПРЕДЕЛЕННЫЙ ПЕРИОД ВРЕМЕНИ НА ОСНОВЕ РЫНОЧНЫХ СТАВОК АРЕНДНОЙ ПЛАТЫ</w:t>
      </w:r>
    </w:p>
    <w:p w:rsidR="000517A8" w:rsidRDefault="000517A8" w:rsidP="000517A8">
      <w:pPr>
        <w:tabs>
          <w:tab w:val="left" w:pos="2925"/>
        </w:tabs>
        <w:spacing w:before="120" w:after="120"/>
        <w:ind w:firstLine="709"/>
        <w:jc w:val="both"/>
        <w:rPr>
          <w:rFonts w:ascii="Cambria" w:hAnsi="Cambria"/>
          <w:b/>
          <w:bCs/>
          <w:sz w:val="20"/>
          <w:szCs w:val="20"/>
        </w:rPr>
      </w:pPr>
      <w:r>
        <w:rPr>
          <w:rFonts w:ascii="Cambria" w:hAnsi="Cambria"/>
          <w:b/>
          <w:bCs/>
          <w:sz w:val="20"/>
          <w:szCs w:val="20"/>
        </w:rPr>
        <w:t>– подбор аналогов для производственного комплекса:</w:t>
      </w:r>
    </w:p>
    <w:p w:rsidR="000517A8" w:rsidRDefault="000517A8" w:rsidP="00413E90">
      <w:pPr>
        <w:jc w:val="center"/>
        <w:rPr>
          <w:rFonts w:asciiTheme="majorHAnsi" w:eastAsiaTheme="minorHAnsi" w:hAnsiTheme="majorHAnsi" w:cstheme="minorBidi"/>
          <w:b/>
          <w:bCs/>
          <w:sz w:val="20"/>
          <w:szCs w:val="22"/>
          <w:lang w:eastAsia="en-US"/>
        </w:rPr>
      </w:pPr>
    </w:p>
    <w:p w:rsidR="00413E90" w:rsidRDefault="00413E90" w:rsidP="00413E90">
      <w:pPr>
        <w:rPr>
          <w:rFonts w:asciiTheme="majorHAnsi" w:eastAsiaTheme="minorHAnsi" w:hAnsiTheme="majorHAnsi" w:cstheme="minorBidi"/>
          <w:b/>
          <w:bCs/>
          <w:sz w:val="20"/>
          <w:szCs w:val="22"/>
          <w:lang w:eastAsia="en-US"/>
        </w:rPr>
      </w:pPr>
      <w:r>
        <w:rPr>
          <w:rFonts w:asciiTheme="majorHAnsi" w:eastAsiaTheme="minorHAnsi" w:hAnsiTheme="majorHAnsi" w:cstheme="minorBidi"/>
          <w:b/>
          <w:bCs/>
          <w:sz w:val="20"/>
          <w:szCs w:val="22"/>
          <w:lang w:eastAsia="en-US"/>
        </w:rPr>
        <w:t>Аналог 1</w:t>
      </w:r>
    </w:p>
    <w:p w:rsidR="00413E90" w:rsidRDefault="00413E90" w:rsidP="00413E90">
      <w:pPr>
        <w:jc w:val="center"/>
        <w:rPr>
          <w:rFonts w:asciiTheme="majorHAnsi" w:eastAsiaTheme="minorHAnsi" w:hAnsiTheme="majorHAnsi" w:cstheme="minorBidi"/>
          <w:b/>
          <w:bCs/>
          <w:sz w:val="20"/>
          <w:szCs w:val="22"/>
          <w:lang w:eastAsia="en-US"/>
        </w:rPr>
      </w:pPr>
    </w:p>
    <w:p w:rsidR="00865DF8" w:rsidRDefault="000517A8" w:rsidP="00413E90">
      <w:pPr>
        <w:spacing w:after="160" w:line="259" w:lineRule="auto"/>
        <w:jc w:val="center"/>
        <w:rPr>
          <w:rFonts w:ascii="Calibri" w:eastAsia="Calibri" w:hAnsi="Calibri"/>
          <w:sz w:val="22"/>
          <w:szCs w:val="22"/>
          <w:lang w:eastAsia="en-US"/>
        </w:rPr>
      </w:pPr>
      <w:r>
        <w:rPr>
          <w:noProof/>
        </w:rPr>
        <w:drawing>
          <wp:inline distT="0" distB="0" distL="0" distR="0" wp14:anchorId="10DAC8BF" wp14:editId="3453FCE3">
            <wp:extent cx="5932968" cy="3019646"/>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t="4140" b="5341"/>
                    <a:stretch/>
                  </pic:blipFill>
                  <pic:spPr bwMode="auto">
                    <a:xfrm>
                      <a:off x="0" y="0"/>
                      <a:ext cx="5940425" cy="3023441"/>
                    </a:xfrm>
                    <a:prstGeom prst="rect">
                      <a:avLst/>
                    </a:prstGeom>
                    <a:ln>
                      <a:noFill/>
                    </a:ln>
                    <a:extLst>
                      <a:ext uri="{53640926-AAD7-44D8-BBD7-CCE9431645EC}">
                        <a14:shadowObscured xmlns:a14="http://schemas.microsoft.com/office/drawing/2010/main"/>
                      </a:ext>
                    </a:extLst>
                  </pic:spPr>
                </pic:pic>
              </a:graphicData>
            </a:graphic>
          </wp:inline>
        </w:drawing>
      </w:r>
    </w:p>
    <w:p w:rsidR="00413E90" w:rsidRDefault="00413E90" w:rsidP="007B4299">
      <w:pPr>
        <w:spacing w:after="160" w:line="259" w:lineRule="auto"/>
        <w:rPr>
          <w:rFonts w:asciiTheme="majorHAnsi" w:eastAsiaTheme="minorHAnsi" w:hAnsiTheme="majorHAnsi" w:cstheme="minorBidi"/>
          <w:b/>
          <w:bCs/>
          <w:sz w:val="20"/>
          <w:szCs w:val="22"/>
          <w:lang w:eastAsia="en-US"/>
        </w:rPr>
      </w:pPr>
      <w:r w:rsidRPr="00413E90">
        <w:rPr>
          <w:rFonts w:asciiTheme="majorHAnsi" w:eastAsiaTheme="minorHAnsi" w:hAnsiTheme="majorHAnsi" w:cstheme="minorBidi"/>
          <w:b/>
          <w:bCs/>
          <w:sz w:val="20"/>
          <w:szCs w:val="22"/>
          <w:lang w:eastAsia="en-US"/>
        </w:rPr>
        <w:t xml:space="preserve">Аналог </w:t>
      </w:r>
      <w:r>
        <w:rPr>
          <w:rFonts w:asciiTheme="majorHAnsi" w:eastAsiaTheme="minorHAnsi" w:hAnsiTheme="majorHAnsi" w:cstheme="minorBidi"/>
          <w:b/>
          <w:bCs/>
          <w:sz w:val="20"/>
          <w:szCs w:val="22"/>
          <w:lang w:eastAsia="en-US"/>
        </w:rPr>
        <w:t>2</w:t>
      </w:r>
    </w:p>
    <w:p w:rsidR="007B4299" w:rsidRDefault="007B4299" w:rsidP="007B4299">
      <w:pPr>
        <w:spacing w:after="160" w:line="259" w:lineRule="auto"/>
        <w:jc w:val="center"/>
        <w:rPr>
          <w:rFonts w:asciiTheme="majorHAnsi" w:eastAsiaTheme="minorHAnsi" w:hAnsiTheme="majorHAnsi" w:cstheme="minorBidi"/>
          <w:b/>
          <w:bCs/>
          <w:sz w:val="20"/>
          <w:szCs w:val="22"/>
          <w:lang w:eastAsia="en-US"/>
        </w:rPr>
      </w:pPr>
      <w:r>
        <w:rPr>
          <w:noProof/>
        </w:rPr>
        <w:drawing>
          <wp:inline distT="0" distB="0" distL="0" distR="0" wp14:anchorId="15195E78" wp14:editId="0949D872">
            <wp:extent cx="5932968" cy="4061637"/>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4139" b="5660"/>
                    <a:stretch/>
                  </pic:blipFill>
                  <pic:spPr bwMode="auto">
                    <a:xfrm>
                      <a:off x="0" y="0"/>
                      <a:ext cx="5940425" cy="4066742"/>
                    </a:xfrm>
                    <a:prstGeom prst="rect">
                      <a:avLst/>
                    </a:prstGeom>
                    <a:ln>
                      <a:noFill/>
                    </a:ln>
                    <a:extLst>
                      <a:ext uri="{53640926-AAD7-44D8-BBD7-CCE9431645EC}">
                        <a14:shadowObscured xmlns:a14="http://schemas.microsoft.com/office/drawing/2010/main"/>
                      </a:ext>
                    </a:extLst>
                  </pic:spPr>
                </pic:pic>
              </a:graphicData>
            </a:graphic>
          </wp:inline>
        </w:drawing>
      </w:r>
    </w:p>
    <w:p w:rsidR="00413E90" w:rsidRPr="00413E90" w:rsidRDefault="00413E90" w:rsidP="00413E90">
      <w:pPr>
        <w:rPr>
          <w:rFonts w:asciiTheme="majorHAnsi" w:eastAsiaTheme="minorHAnsi" w:hAnsiTheme="majorHAnsi" w:cstheme="minorBidi"/>
          <w:b/>
          <w:bCs/>
          <w:sz w:val="20"/>
          <w:szCs w:val="20"/>
          <w:lang w:eastAsia="en-US"/>
        </w:rPr>
      </w:pPr>
      <w:r w:rsidRPr="00413E90">
        <w:rPr>
          <w:rFonts w:asciiTheme="majorHAnsi" w:eastAsia="Calibri" w:hAnsiTheme="majorHAnsi"/>
          <w:b/>
          <w:sz w:val="20"/>
          <w:szCs w:val="20"/>
          <w:lang w:eastAsia="en-US"/>
        </w:rPr>
        <w:lastRenderedPageBreak/>
        <w:t>Аналог 3</w:t>
      </w:r>
      <w:r>
        <w:rPr>
          <w:rFonts w:asciiTheme="majorHAnsi" w:eastAsia="Calibri" w:hAnsiTheme="majorHAnsi"/>
          <w:b/>
          <w:sz w:val="20"/>
          <w:szCs w:val="20"/>
          <w:lang w:eastAsia="en-US"/>
        </w:rPr>
        <w:br/>
      </w:r>
    </w:p>
    <w:p w:rsidR="00413E90" w:rsidRPr="00413E90" w:rsidRDefault="006256C9" w:rsidP="00413E90">
      <w:pPr>
        <w:spacing w:after="160" w:line="259" w:lineRule="auto"/>
        <w:jc w:val="center"/>
        <w:rPr>
          <w:rFonts w:ascii="Calibri" w:eastAsia="Calibri" w:hAnsi="Calibri"/>
          <w:sz w:val="22"/>
          <w:szCs w:val="22"/>
          <w:lang w:eastAsia="en-US"/>
        </w:rPr>
      </w:pPr>
      <w:r>
        <w:rPr>
          <w:noProof/>
        </w:rPr>
        <w:drawing>
          <wp:inline distT="0" distB="0" distL="0" distR="0" wp14:anchorId="71013F63" wp14:editId="57E9BF16">
            <wp:extent cx="6156251" cy="365760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t="3593" b="10471"/>
                    <a:stretch/>
                  </pic:blipFill>
                  <pic:spPr bwMode="auto">
                    <a:xfrm>
                      <a:off x="0" y="0"/>
                      <a:ext cx="6152515" cy="3655380"/>
                    </a:xfrm>
                    <a:prstGeom prst="rect">
                      <a:avLst/>
                    </a:prstGeom>
                    <a:ln>
                      <a:noFill/>
                    </a:ln>
                    <a:extLst>
                      <a:ext uri="{53640926-AAD7-44D8-BBD7-CCE9431645EC}">
                        <a14:shadowObscured xmlns:a14="http://schemas.microsoft.com/office/drawing/2010/main"/>
                      </a:ext>
                    </a:extLst>
                  </pic:spPr>
                </pic:pic>
              </a:graphicData>
            </a:graphic>
          </wp:inline>
        </w:drawing>
      </w:r>
    </w:p>
    <w:p w:rsidR="004F45FF" w:rsidRPr="00D97AE8" w:rsidRDefault="00E7419B" w:rsidP="00E7419B">
      <w:pPr>
        <w:jc w:val="center"/>
        <w:rPr>
          <w:rFonts w:asciiTheme="majorHAnsi" w:eastAsiaTheme="minorHAnsi" w:hAnsiTheme="majorHAnsi" w:cstheme="minorBidi"/>
          <w:b/>
          <w:bCs/>
          <w:sz w:val="20"/>
          <w:szCs w:val="22"/>
          <w:lang w:eastAsia="en-US"/>
        </w:rPr>
      </w:pPr>
      <w:r w:rsidRPr="00D97AE8">
        <w:rPr>
          <w:rFonts w:asciiTheme="majorHAnsi" w:hAnsiTheme="majorHAnsi"/>
          <w:b/>
          <w:bCs/>
          <w:sz w:val="20"/>
          <w:szCs w:val="20"/>
        </w:rPr>
        <w:t>Расчет средней стоимости арендной ставки для производственно-складской недвижимости</w:t>
      </w:r>
    </w:p>
    <w:p w:rsidR="001C0149" w:rsidRDefault="001C0149" w:rsidP="00861A77">
      <w:pPr>
        <w:rPr>
          <w:rFonts w:eastAsiaTheme="majorEastAsia" w:cstheme="majorBidi"/>
          <w:b/>
          <w:bCs/>
          <w:sz w:val="28"/>
          <w:szCs w:val="28"/>
        </w:rPr>
      </w:pPr>
    </w:p>
    <w:tbl>
      <w:tblPr>
        <w:tblW w:w="8514"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1134"/>
        <w:gridCol w:w="1282"/>
        <w:gridCol w:w="850"/>
        <w:gridCol w:w="1418"/>
        <w:gridCol w:w="1401"/>
        <w:gridCol w:w="1183"/>
        <w:gridCol w:w="1246"/>
      </w:tblGrid>
      <w:tr w:rsidR="00E7419B" w:rsidRPr="00212FA7" w:rsidTr="00E7419B">
        <w:trPr>
          <w:trHeight w:val="20"/>
          <w:jc w:val="center"/>
        </w:trPr>
        <w:tc>
          <w:tcPr>
            <w:tcW w:w="2416" w:type="dxa"/>
            <w:gridSpan w:val="2"/>
            <w:shd w:val="clear" w:color="000000" w:fill="F2F2F2"/>
            <w:vAlign w:val="center"/>
            <w:hideMark/>
          </w:tcPr>
          <w:p w:rsidR="00E7419B" w:rsidRPr="00212FA7" w:rsidRDefault="00E7419B" w:rsidP="00D97AE8">
            <w:pPr>
              <w:ind w:left="-102" w:right="-108"/>
              <w:jc w:val="center"/>
              <w:rPr>
                <w:rFonts w:asciiTheme="majorHAnsi" w:hAnsiTheme="majorHAnsi"/>
                <w:b/>
                <w:bCs/>
                <w:color w:val="000000"/>
                <w:sz w:val="18"/>
                <w:szCs w:val="18"/>
              </w:rPr>
            </w:pPr>
            <w:r w:rsidRPr="00212FA7">
              <w:rPr>
                <w:rFonts w:asciiTheme="majorHAnsi" w:hAnsiTheme="majorHAnsi"/>
                <w:b/>
                <w:bCs/>
                <w:color w:val="000000"/>
                <w:sz w:val="18"/>
                <w:szCs w:val="18"/>
              </w:rPr>
              <w:t>Характеристика</w:t>
            </w:r>
          </w:p>
        </w:tc>
        <w:tc>
          <w:tcPr>
            <w:tcW w:w="850" w:type="dxa"/>
            <w:shd w:val="clear" w:color="000000" w:fill="F2F2F2"/>
            <w:vAlign w:val="center"/>
            <w:hideMark/>
          </w:tcPr>
          <w:p w:rsidR="00E7419B" w:rsidRPr="00212FA7" w:rsidRDefault="00E7419B" w:rsidP="00D97AE8">
            <w:pPr>
              <w:ind w:left="-102" w:right="-108"/>
              <w:jc w:val="center"/>
              <w:rPr>
                <w:rFonts w:asciiTheme="majorHAnsi" w:hAnsiTheme="majorHAnsi"/>
                <w:b/>
                <w:bCs/>
                <w:sz w:val="18"/>
                <w:szCs w:val="18"/>
              </w:rPr>
            </w:pPr>
            <w:r w:rsidRPr="00212FA7">
              <w:rPr>
                <w:rFonts w:asciiTheme="majorHAnsi" w:hAnsiTheme="majorHAnsi"/>
                <w:b/>
                <w:bCs/>
                <w:sz w:val="18"/>
                <w:szCs w:val="18"/>
              </w:rPr>
              <w:t>Единица измер.</w:t>
            </w:r>
          </w:p>
        </w:tc>
        <w:tc>
          <w:tcPr>
            <w:tcW w:w="1418" w:type="dxa"/>
            <w:shd w:val="clear" w:color="000000" w:fill="F2F2F2"/>
            <w:vAlign w:val="center"/>
            <w:hideMark/>
          </w:tcPr>
          <w:p w:rsidR="00E7419B" w:rsidRPr="00212FA7" w:rsidRDefault="00E7419B" w:rsidP="00D97AE8">
            <w:pPr>
              <w:ind w:left="-102" w:right="-108"/>
              <w:jc w:val="center"/>
              <w:rPr>
                <w:rFonts w:asciiTheme="majorHAnsi" w:hAnsiTheme="majorHAnsi"/>
                <w:b/>
                <w:bCs/>
                <w:color w:val="000000"/>
                <w:sz w:val="18"/>
                <w:szCs w:val="18"/>
              </w:rPr>
            </w:pPr>
            <w:r w:rsidRPr="00212FA7">
              <w:rPr>
                <w:rFonts w:asciiTheme="majorHAnsi" w:hAnsiTheme="majorHAnsi"/>
                <w:b/>
                <w:bCs/>
                <w:color w:val="000000"/>
                <w:sz w:val="18"/>
                <w:szCs w:val="18"/>
              </w:rPr>
              <w:t>Объект оценки</w:t>
            </w:r>
          </w:p>
        </w:tc>
        <w:tc>
          <w:tcPr>
            <w:tcW w:w="1401" w:type="dxa"/>
            <w:shd w:val="clear" w:color="000000" w:fill="F2F2F2"/>
            <w:vAlign w:val="center"/>
            <w:hideMark/>
          </w:tcPr>
          <w:p w:rsidR="00E7419B" w:rsidRPr="00212FA7" w:rsidRDefault="00E7419B" w:rsidP="00D97AE8">
            <w:pPr>
              <w:ind w:left="-102" w:right="-108"/>
              <w:jc w:val="center"/>
              <w:rPr>
                <w:rFonts w:asciiTheme="majorHAnsi" w:hAnsiTheme="majorHAnsi"/>
                <w:b/>
                <w:bCs/>
                <w:color w:val="000000"/>
                <w:sz w:val="18"/>
                <w:szCs w:val="18"/>
              </w:rPr>
            </w:pPr>
            <w:r w:rsidRPr="00212FA7">
              <w:rPr>
                <w:rFonts w:asciiTheme="majorHAnsi" w:hAnsiTheme="majorHAnsi"/>
                <w:b/>
                <w:bCs/>
                <w:color w:val="000000"/>
                <w:sz w:val="18"/>
                <w:szCs w:val="18"/>
              </w:rPr>
              <w:t>Аналог № 1</w:t>
            </w:r>
          </w:p>
        </w:tc>
        <w:tc>
          <w:tcPr>
            <w:tcW w:w="1183" w:type="dxa"/>
            <w:shd w:val="clear" w:color="000000" w:fill="F2F2F2"/>
            <w:vAlign w:val="center"/>
            <w:hideMark/>
          </w:tcPr>
          <w:p w:rsidR="00E7419B" w:rsidRPr="00212FA7" w:rsidRDefault="00E7419B" w:rsidP="00D97AE8">
            <w:pPr>
              <w:ind w:left="-102" w:right="-108"/>
              <w:jc w:val="center"/>
              <w:rPr>
                <w:rFonts w:asciiTheme="majorHAnsi" w:hAnsiTheme="majorHAnsi"/>
                <w:b/>
                <w:bCs/>
                <w:color w:val="000000"/>
                <w:sz w:val="18"/>
                <w:szCs w:val="18"/>
              </w:rPr>
            </w:pPr>
            <w:r w:rsidRPr="00212FA7">
              <w:rPr>
                <w:rFonts w:asciiTheme="majorHAnsi" w:hAnsiTheme="majorHAnsi"/>
                <w:b/>
                <w:bCs/>
                <w:color w:val="000000"/>
                <w:sz w:val="18"/>
                <w:szCs w:val="18"/>
              </w:rPr>
              <w:t>Аналог № 2</w:t>
            </w:r>
          </w:p>
        </w:tc>
        <w:tc>
          <w:tcPr>
            <w:tcW w:w="1246" w:type="dxa"/>
            <w:shd w:val="clear" w:color="000000" w:fill="F2F2F2"/>
            <w:vAlign w:val="center"/>
            <w:hideMark/>
          </w:tcPr>
          <w:p w:rsidR="00E7419B" w:rsidRPr="00212FA7" w:rsidRDefault="00E7419B" w:rsidP="00D97AE8">
            <w:pPr>
              <w:ind w:left="-102" w:right="-108"/>
              <w:jc w:val="center"/>
              <w:rPr>
                <w:rFonts w:asciiTheme="majorHAnsi" w:hAnsiTheme="majorHAnsi"/>
                <w:b/>
                <w:bCs/>
                <w:color w:val="000000"/>
                <w:sz w:val="18"/>
                <w:szCs w:val="18"/>
              </w:rPr>
            </w:pPr>
            <w:r w:rsidRPr="00212FA7">
              <w:rPr>
                <w:rFonts w:asciiTheme="majorHAnsi" w:hAnsiTheme="majorHAnsi"/>
                <w:b/>
                <w:bCs/>
                <w:color w:val="000000"/>
                <w:sz w:val="18"/>
                <w:szCs w:val="18"/>
              </w:rPr>
              <w:t>Аналог № 3</w:t>
            </w:r>
          </w:p>
        </w:tc>
      </w:tr>
      <w:tr w:rsidR="006256C9" w:rsidRPr="00212FA7" w:rsidTr="00E7419B">
        <w:trPr>
          <w:trHeight w:val="20"/>
          <w:jc w:val="center"/>
        </w:trPr>
        <w:tc>
          <w:tcPr>
            <w:tcW w:w="1134" w:type="dxa"/>
            <w:vMerge w:val="restart"/>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r w:rsidRPr="00212FA7">
              <w:rPr>
                <w:rFonts w:asciiTheme="majorHAnsi" w:hAnsiTheme="majorHAnsi"/>
                <w:color w:val="000000"/>
                <w:sz w:val="18"/>
                <w:szCs w:val="18"/>
              </w:rPr>
              <w:t>Единица сравнения</w:t>
            </w:r>
          </w:p>
        </w:tc>
        <w:tc>
          <w:tcPr>
            <w:tcW w:w="1282" w:type="dxa"/>
            <w:shd w:val="clear" w:color="auto" w:fill="auto"/>
            <w:vAlign w:val="center"/>
            <w:hideMark/>
          </w:tcPr>
          <w:p w:rsidR="006256C9" w:rsidRPr="00212FA7" w:rsidRDefault="006256C9" w:rsidP="00D97AE8">
            <w:pPr>
              <w:ind w:left="-102" w:right="-108"/>
              <w:jc w:val="center"/>
              <w:rPr>
                <w:rFonts w:asciiTheme="majorHAnsi" w:hAnsiTheme="majorHAnsi"/>
                <w:sz w:val="18"/>
                <w:szCs w:val="18"/>
              </w:rPr>
            </w:pPr>
            <w:r w:rsidRPr="00212FA7">
              <w:rPr>
                <w:rFonts w:asciiTheme="majorHAnsi" w:hAnsiTheme="majorHAnsi"/>
                <w:sz w:val="18"/>
                <w:szCs w:val="18"/>
              </w:rPr>
              <w:t>Цена предложения</w:t>
            </w:r>
          </w:p>
        </w:tc>
        <w:tc>
          <w:tcPr>
            <w:tcW w:w="850" w:type="dxa"/>
            <w:shd w:val="clear" w:color="auto" w:fill="auto"/>
            <w:vAlign w:val="center"/>
            <w:hideMark/>
          </w:tcPr>
          <w:p w:rsidR="006256C9" w:rsidRPr="00212FA7" w:rsidRDefault="006256C9" w:rsidP="00D97AE8">
            <w:pPr>
              <w:ind w:left="-102" w:right="-108"/>
              <w:jc w:val="center"/>
              <w:rPr>
                <w:rFonts w:asciiTheme="majorHAnsi" w:hAnsiTheme="majorHAnsi"/>
                <w:sz w:val="18"/>
                <w:szCs w:val="18"/>
              </w:rPr>
            </w:pPr>
            <w:r w:rsidRPr="00212FA7">
              <w:rPr>
                <w:rFonts w:asciiTheme="majorHAnsi" w:hAnsiTheme="majorHAnsi"/>
                <w:sz w:val="18"/>
                <w:szCs w:val="18"/>
              </w:rPr>
              <w:t>руб.</w:t>
            </w:r>
          </w:p>
        </w:tc>
        <w:tc>
          <w:tcPr>
            <w:tcW w:w="1418" w:type="dxa"/>
            <w:shd w:val="clear" w:color="auto" w:fill="auto"/>
            <w:vAlign w:val="center"/>
            <w:hideMark/>
          </w:tcPr>
          <w:p w:rsidR="006256C9" w:rsidRPr="006256C9" w:rsidRDefault="006256C9" w:rsidP="006256C9">
            <w:pPr>
              <w:jc w:val="center"/>
              <w:rPr>
                <w:rFonts w:asciiTheme="majorHAnsi" w:hAnsiTheme="majorHAnsi"/>
                <w:color w:val="000000"/>
                <w:sz w:val="18"/>
                <w:szCs w:val="18"/>
              </w:rPr>
            </w:pPr>
          </w:p>
        </w:tc>
        <w:tc>
          <w:tcPr>
            <w:tcW w:w="1401" w:type="dxa"/>
            <w:shd w:val="clear" w:color="auto" w:fill="auto"/>
            <w:vAlign w:val="center"/>
            <w:hideMark/>
          </w:tcPr>
          <w:p w:rsidR="006256C9" w:rsidRPr="006256C9" w:rsidRDefault="006256C9" w:rsidP="006256C9">
            <w:pPr>
              <w:jc w:val="center"/>
              <w:rPr>
                <w:rFonts w:asciiTheme="majorHAnsi" w:hAnsiTheme="majorHAnsi"/>
                <w:color w:val="000000"/>
                <w:sz w:val="18"/>
                <w:szCs w:val="18"/>
              </w:rPr>
            </w:pPr>
            <w:r w:rsidRPr="006256C9">
              <w:rPr>
                <w:rFonts w:asciiTheme="majorHAnsi" w:hAnsiTheme="majorHAnsi"/>
                <w:color w:val="000000"/>
                <w:sz w:val="18"/>
                <w:szCs w:val="18"/>
              </w:rPr>
              <w:t>285 000</w:t>
            </w:r>
          </w:p>
        </w:tc>
        <w:tc>
          <w:tcPr>
            <w:tcW w:w="1183" w:type="dxa"/>
            <w:shd w:val="clear" w:color="auto" w:fill="auto"/>
            <w:vAlign w:val="center"/>
            <w:hideMark/>
          </w:tcPr>
          <w:p w:rsidR="006256C9" w:rsidRPr="006256C9" w:rsidRDefault="006256C9" w:rsidP="006256C9">
            <w:pPr>
              <w:jc w:val="center"/>
              <w:rPr>
                <w:rFonts w:asciiTheme="majorHAnsi" w:hAnsiTheme="majorHAnsi"/>
                <w:color w:val="000000"/>
                <w:sz w:val="18"/>
                <w:szCs w:val="18"/>
              </w:rPr>
            </w:pPr>
            <w:r w:rsidRPr="006256C9">
              <w:rPr>
                <w:rFonts w:asciiTheme="majorHAnsi" w:hAnsiTheme="majorHAnsi"/>
                <w:color w:val="000000"/>
                <w:sz w:val="18"/>
                <w:szCs w:val="18"/>
              </w:rPr>
              <w:t>434 250</w:t>
            </w:r>
          </w:p>
        </w:tc>
        <w:tc>
          <w:tcPr>
            <w:tcW w:w="1246" w:type="dxa"/>
            <w:shd w:val="clear" w:color="auto" w:fill="auto"/>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830 600</w:t>
            </w:r>
          </w:p>
        </w:tc>
      </w:tr>
      <w:tr w:rsidR="006256C9" w:rsidRPr="00212FA7" w:rsidTr="00E7419B">
        <w:trPr>
          <w:trHeight w:val="20"/>
          <w:jc w:val="center"/>
        </w:trPr>
        <w:tc>
          <w:tcPr>
            <w:tcW w:w="1134" w:type="dxa"/>
            <w:vMerge/>
            <w:vAlign w:val="center"/>
            <w:hideMark/>
          </w:tcPr>
          <w:p w:rsidR="006256C9" w:rsidRPr="00212FA7" w:rsidRDefault="006256C9" w:rsidP="00D97AE8">
            <w:pPr>
              <w:ind w:left="-102" w:right="-108"/>
              <w:jc w:val="center"/>
              <w:rPr>
                <w:rFonts w:asciiTheme="majorHAnsi" w:hAnsiTheme="majorHAnsi"/>
                <w:color w:val="000000"/>
                <w:sz w:val="18"/>
                <w:szCs w:val="18"/>
              </w:rPr>
            </w:pPr>
          </w:p>
        </w:tc>
        <w:tc>
          <w:tcPr>
            <w:tcW w:w="1282" w:type="dxa"/>
            <w:shd w:val="clear" w:color="auto" w:fill="auto"/>
            <w:vAlign w:val="center"/>
            <w:hideMark/>
          </w:tcPr>
          <w:p w:rsidR="006256C9" w:rsidRPr="00212FA7" w:rsidRDefault="006256C9" w:rsidP="00D97AE8">
            <w:pPr>
              <w:ind w:left="-102" w:right="-108"/>
              <w:jc w:val="center"/>
              <w:rPr>
                <w:rFonts w:asciiTheme="majorHAnsi" w:hAnsiTheme="majorHAnsi"/>
                <w:sz w:val="18"/>
                <w:szCs w:val="18"/>
              </w:rPr>
            </w:pPr>
            <w:r w:rsidRPr="00212FA7">
              <w:rPr>
                <w:rFonts w:asciiTheme="majorHAnsi" w:hAnsiTheme="majorHAnsi"/>
                <w:sz w:val="18"/>
                <w:szCs w:val="18"/>
              </w:rPr>
              <w:t>Общая площадь</w:t>
            </w:r>
          </w:p>
        </w:tc>
        <w:tc>
          <w:tcPr>
            <w:tcW w:w="850" w:type="dxa"/>
            <w:shd w:val="clear" w:color="auto" w:fill="auto"/>
            <w:vAlign w:val="center"/>
            <w:hideMark/>
          </w:tcPr>
          <w:p w:rsidR="006256C9" w:rsidRPr="00212FA7" w:rsidRDefault="006256C9" w:rsidP="00D97AE8">
            <w:pPr>
              <w:ind w:left="-102" w:right="-108"/>
              <w:jc w:val="center"/>
              <w:rPr>
                <w:rFonts w:asciiTheme="majorHAnsi" w:hAnsiTheme="majorHAnsi"/>
                <w:sz w:val="18"/>
                <w:szCs w:val="18"/>
              </w:rPr>
            </w:pPr>
            <w:r w:rsidRPr="00212FA7">
              <w:rPr>
                <w:rFonts w:asciiTheme="majorHAnsi" w:hAnsiTheme="majorHAnsi"/>
                <w:sz w:val="18"/>
                <w:szCs w:val="18"/>
              </w:rPr>
              <w:t>кв.м.</w:t>
            </w:r>
          </w:p>
        </w:tc>
        <w:tc>
          <w:tcPr>
            <w:tcW w:w="1418" w:type="dxa"/>
            <w:shd w:val="clear" w:color="auto" w:fill="auto"/>
            <w:vAlign w:val="center"/>
            <w:hideMark/>
          </w:tcPr>
          <w:p w:rsidR="006256C9" w:rsidRPr="006256C9" w:rsidRDefault="006256C9" w:rsidP="006256C9">
            <w:pPr>
              <w:jc w:val="center"/>
              <w:rPr>
                <w:rFonts w:asciiTheme="majorHAnsi" w:hAnsiTheme="majorHAnsi"/>
                <w:color w:val="000000"/>
                <w:sz w:val="18"/>
                <w:szCs w:val="18"/>
              </w:rPr>
            </w:pPr>
            <w:r w:rsidRPr="006256C9">
              <w:rPr>
                <w:rFonts w:asciiTheme="majorHAnsi" w:hAnsiTheme="majorHAnsi"/>
                <w:color w:val="000000"/>
                <w:sz w:val="18"/>
                <w:szCs w:val="18"/>
              </w:rPr>
              <w:t>8371,50</w:t>
            </w:r>
          </w:p>
        </w:tc>
        <w:tc>
          <w:tcPr>
            <w:tcW w:w="1401" w:type="dxa"/>
            <w:shd w:val="clear" w:color="auto" w:fill="auto"/>
            <w:vAlign w:val="center"/>
            <w:hideMark/>
          </w:tcPr>
          <w:p w:rsidR="006256C9" w:rsidRPr="006256C9" w:rsidRDefault="006256C9" w:rsidP="006256C9">
            <w:pPr>
              <w:jc w:val="center"/>
              <w:rPr>
                <w:rFonts w:asciiTheme="majorHAnsi" w:hAnsiTheme="majorHAnsi"/>
                <w:color w:val="000000"/>
                <w:sz w:val="18"/>
                <w:szCs w:val="18"/>
              </w:rPr>
            </w:pPr>
            <w:r w:rsidRPr="006256C9">
              <w:rPr>
                <w:rFonts w:asciiTheme="majorHAnsi" w:hAnsiTheme="majorHAnsi"/>
                <w:color w:val="000000"/>
                <w:sz w:val="18"/>
                <w:szCs w:val="18"/>
              </w:rPr>
              <w:t>1 900</w:t>
            </w:r>
          </w:p>
        </w:tc>
        <w:tc>
          <w:tcPr>
            <w:tcW w:w="1183" w:type="dxa"/>
            <w:shd w:val="clear" w:color="auto" w:fill="auto"/>
            <w:vAlign w:val="center"/>
            <w:hideMark/>
          </w:tcPr>
          <w:p w:rsidR="006256C9" w:rsidRPr="006256C9" w:rsidRDefault="006256C9" w:rsidP="006256C9">
            <w:pPr>
              <w:jc w:val="center"/>
              <w:rPr>
                <w:rFonts w:asciiTheme="majorHAnsi" w:hAnsiTheme="majorHAnsi"/>
                <w:color w:val="000000"/>
                <w:sz w:val="18"/>
                <w:szCs w:val="18"/>
              </w:rPr>
            </w:pPr>
            <w:r w:rsidRPr="006256C9">
              <w:rPr>
                <w:rFonts w:asciiTheme="majorHAnsi" w:hAnsiTheme="majorHAnsi"/>
                <w:color w:val="000000"/>
                <w:sz w:val="18"/>
                <w:szCs w:val="18"/>
              </w:rPr>
              <w:t>2 895,00</w:t>
            </w:r>
          </w:p>
        </w:tc>
        <w:tc>
          <w:tcPr>
            <w:tcW w:w="1246" w:type="dxa"/>
            <w:shd w:val="clear" w:color="auto" w:fill="auto"/>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4 153,00</w:t>
            </w:r>
          </w:p>
        </w:tc>
      </w:tr>
      <w:tr w:rsidR="006256C9" w:rsidRPr="00212FA7" w:rsidTr="00E7419B">
        <w:trPr>
          <w:trHeight w:val="20"/>
          <w:jc w:val="center"/>
        </w:trPr>
        <w:tc>
          <w:tcPr>
            <w:tcW w:w="1134" w:type="dxa"/>
            <w:vMerge/>
            <w:vAlign w:val="center"/>
            <w:hideMark/>
          </w:tcPr>
          <w:p w:rsidR="006256C9" w:rsidRPr="00212FA7" w:rsidRDefault="006256C9" w:rsidP="00D97AE8">
            <w:pPr>
              <w:ind w:left="-102" w:right="-108"/>
              <w:jc w:val="center"/>
              <w:rPr>
                <w:rFonts w:asciiTheme="majorHAnsi" w:hAnsiTheme="majorHAnsi"/>
                <w:color w:val="000000"/>
                <w:sz w:val="18"/>
                <w:szCs w:val="18"/>
              </w:rPr>
            </w:pPr>
          </w:p>
        </w:tc>
        <w:tc>
          <w:tcPr>
            <w:tcW w:w="1282" w:type="dxa"/>
            <w:shd w:val="clear" w:color="auto" w:fill="auto"/>
            <w:vAlign w:val="center"/>
            <w:hideMark/>
          </w:tcPr>
          <w:p w:rsidR="006256C9" w:rsidRPr="00212FA7" w:rsidRDefault="006256C9" w:rsidP="00D97AE8">
            <w:pPr>
              <w:ind w:left="-102" w:right="-108"/>
              <w:jc w:val="center"/>
              <w:rPr>
                <w:rFonts w:asciiTheme="majorHAnsi" w:hAnsiTheme="majorHAnsi"/>
                <w:sz w:val="18"/>
                <w:szCs w:val="18"/>
              </w:rPr>
            </w:pPr>
            <w:r w:rsidRPr="00212FA7">
              <w:rPr>
                <w:rFonts w:asciiTheme="majorHAnsi" w:hAnsiTheme="majorHAnsi"/>
                <w:sz w:val="18"/>
                <w:szCs w:val="18"/>
              </w:rPr>
              <w:t>Цена за ед. площади</w:t>
            </w:r>
          </w:p>
        </w:tc>
        <w:tc>
          <w:tcPr>
            <w:tcW w:w="850" w:type="dxa"/>
            <w:shd w:val="clear" w:color="auto" w:fill="auto"/>
            <w:vAlign w:val="center"/>
            <w:hideMark/>
          </w:tcPr>
          <w:p w:rsidR="006256C9" w:rsidRPr="00212FA7" w:rsidRDefault="006256C9" w:rsidP="00D97AE8">
            <w:pPr>
              <w:ind w:left="-102" w:right="-108"/>
              <w:jc w:val="center"/>
              <w:rPr>
                <w:rFonts w:asciiTheme="majorHAnsi" w:hAnsiTheme="majorHAnsi"/>
                <w:sz w:val="18"/>
                <w:szCs w:val="18"/>
              </w:rPr>
            </w:pPr>
            <w:r w:rsidRPr="00212FA7">
              <w:rPr>
                <w:rFonts w:asciiTheme="majorHAnsi" w:hAnsiTheme="majorHAnsi"/>
                <w:sz w:val="18"/>
                <w:szCs w:val="18"/>
              </w:rPr>
              <w:t>руб.</w:t>
            </w:r>
          </w:p>
        </w:tc>
        <w:tc>
          <w:tcPr>
            <w:tcW w:w="1418" w:type="dxa"/>
            <w:shd w:val="clear" w:color="auto" w:fill="auto"/>
            <w:vAlign w:val="center"/>
            <w:hideMark/>
          </w:tcPr>
          <w:p w:rsidR="006256C9" w:rsidRPr="006256C9" w:rsidRDefault="006256C9" w:rsidP="006256C9">
            <w:pPr>
              <w:jc w:val="center"/>
              <w:rPr>
                <w:rFonts w:asciiTheme="majorHAnsi" w:hAnsiTheme="majorHAnsi"/>
                <w:color w:val="000000"/>
                <w:sz w:val="18"/>
                <w:szCs w:val="18"/>
              </w:rPr>
            </w:pPr>
          </w:p>
        </w:tc>
        <w:tc>
          <w:tcPr>
            <w:tcW w:w="1401" w:type="dxa"/>
            <w:shd w:val="clear" w:color="auto" w:fill="auto"/>
            <w:vAlign w:val="center"/>
            <w:hideMark/>
          </w:tcPr>
          <w:p w:rsidR="006256C9" w:rsidRPr="006256C9" w:rsidRDefault="006256C9" w:rsidP="006256C9">
            <w:pPr>
              <w:jc w:val="center"/>
              <w:rPr>
                <w:rFonts w:asciiTheme="majorHAnsi" w:hAnsiTheme="majorHAnsi"/>
                <w:color w:val="000000"/>
                <w:sz w:val="18"/>
                <w:szCs w:val="18"/>
              </w:rPr>
            </w:pPr>
            <w:r w:rsidRPr="006256C9">
              <w:rPr>
                <w:rFonts w:asciiTheme="majorHAnsi" w:hAnsiTheme="majorHAnsi"/>
                <w:color w:val="000000"/>
                <w:sz w:val="18"/>
                <w:szCs w:val="18"/>
              </w:rPr>
              <w:t>150,00</w:t>
            </w:r>
          </w:p>
        </w:tc>
        <w:tc>
          <w:tcPr>
            <w:tcW w:w="1183" w:type="dxa"/>
            <w:shd w:val="clear" w:color="auto" w:fill="auto"/>
            <w:vAlign w:val="center"/>
            <w:hideMark/>
          </w:tcPr>
          <w:p w:rsidR="006256C9" w:rsidRPr="006256C9" w:rsidRDefault="006256C9" w:rsidP="006256C9">
            <w:pPr>
              <w:jc w:val="center"/>
              <w:rPr>
                <w:rFonts w:asciiTheme="majorHAnsi" w:hAnsiTheme="majorHAnsi"/>
                <w:color w:val="000000"/>
                <w:sz w:val="18"/>
                <w:szCs w:val="18"/>
              </w:rPr>
            </w:pPr>
            <w:r w:rsidRPr="006256C9">
              <w:rPr>
                <w:rFonts w:asciiTheme="majorHAnsi" w:hAnsiTheme="majorHAnsi"/>
                <w:color w:val="000000"/>
                <w:sz w:val="18"/>
                <w:szCs w:val="18"/>
              </w:rPr>
              <w:t>150,00</w:t>
            </w:r>
          </w:p>
        </w:tc>
        <w:tc>
          <w:tcPr>
            <w:tcW w:w="1246" w:type="dxa"/>
            <w:shd w:val="clear" w:color="auto" w:fill="auto"/>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200,00</w:t>
            </w:r>
          </w:p>
        </w:tc>
      </w:tr>
      <w:tr w:rsidR="006256C9" w:rsidRPr="00212FA7" w:rsidTr="00E7419B">
        <w:trPr>
          <w:trHeight w:val="20"/>
          <w:jc w:val="center"/>
        </w:trPr>
        <w:tc>
          <w:tcPr>
            <w:tcW w:w="2416" w:type="dxa"/>
            <w:gridSpan w:val="2"/>
            <w:shd w:val="clear" w:color="auto" w:fill="auto"/>
            <w:vAlign w:val="center"/>
            <w:hideMark/>
          </w:tcPr>
          <w:p w:rsidR="006256C9" w:rsidRPr="00212FA7" w:rsidRDefault="006256C9" w:rsidP="00D97AE8">
            <w:pPr>
              <w:ind w:left="-102" w:right="-108"/>
              <w:jc w:val="center"/>
              <w:rPr>
                <w:rFonts w:asciiTheme="majorHAnsi" w:hAnsiTheme="majorHAnsi"/>
                <w:b/>
                <w:bCs/>
                <w:color w:val="000000"/>
                <w:sz w:val="18"/>
                <w:szCs w:val="18"/>
              </w:rPr>
            </w:pPr>
            <w:r w:rsidRPr="00212FA7">
              <w:rPr>
                <w:rFonts w:asciiTheme="majorHAnsi" w:hAnsiTheme="majorHAnsi"/>
                <w:b/>
                <w:bCs/>
                <w:color w:val="000000"/>
                <w:sz w:val="18"/>
                <w:szCs w:val="18"/>
              </w:rPr>
              <w:t>Дата продажи, предложения (оценки)</w:t>
            </w:r>
          </w:p>
        </w:tc>
        <w:tc>
          <w:tcPr>
            <w:tcW w:w="850" w:type="dxa"/>
            <w:shd w:val="clear" w:color="auto" w:fill="auto"/>
            <w:vAlign w:val="center"/>
            <w:hideMark/>
          </w:tcPr>
          <w:p w:rsidR="006256C9" w:rsidRPr="00212FA7" w:rsidRDefault="006256C9" w:rsidP="00D97AE8">
            <w:pPr>
              <w:ind w:left="-102" w:right="-108"/>
              <w:jc w:val="center"/>
              <w:rPr>
                <w:rFonts w:asciiTheme="majorHAnsi" w:hAnsiTheme="majorHAnsi"/>
                <w:b/>
                <w:bCs/>
                <w:sz w:val="18"/>
                <w:szCs w:val="18"/>
              </w:rPr>
            </w:pPr>
          </w:p>
        </w:tc>
        <w:tc>
          <w:tcPr>
            <w:tcW w:w="1418" w:type="dxa"/>
            <w:tcBorders>
              <w:bottom w:val="single" w:sz="6" w:space="0" w:color="auto"/>
            </w:tcBorders>
            <w:shd w:val="clear" w:color="auto" w:fill="auto"/>
            <w:vAlign w:val="center"/>
            <w:hideMark/>
          </w:tcPr>
          <w:p w:rsidR="006256C9" w:rsidRPr="006256C9" w:rsidRDefault="006256C9" w:rsidP="006256C9">
            <w:pPr>
              <w:ind w:left="-102" w:right="-108"/>
              <w:jc w:val="center"/>
              <w:rPr>
                <w:rFonts w:asciiTheme="majorHAnsi" w:hAnsiTheme="majorHAnsi"/>
                <w:color w:val="000000"/>
                <w:sz w:val="18"/>
                <w:szCs w:val="18"/>
              </w:rPr>
            </w:pPr>
            <w:r w:rsidRPr="006256C9">
              <w:rPr>
                <w:rFonts w:asciiTheme="majorHAnsi" w:hAnsiTheme="majorHAnsi"/>
                <w:color w:val="000000"/>
                <w:sz w:val="18"/>
                <w:szCs w:val="18"/>
              </w:rPr>
              <w:t>авг.17</w:t>
            </w:r>
          </w:p>
        </w:tc>
        <w:tc>
          <w:tcPr>
            <w:tcW w:w="1401" w:type="dxa"/>
            <w:tcBorders>
              <w:bottom w:val="single" w:sz="6" w:space="0" w:color="auto"/>
            </w:tcBorders>
            <w:shd w:val="clear" w:color="auto" w:fill="auto"/>
            <w:vAlign w:val="center"/>
            <w:hideMark/>
          </w:tcPr>
          <w:p w:rsidR="006256C9" w:rsidRPr="006256C9" w:rsidRDefault="006256C9" w:rsidP="006256C9">
            <w:pPr>
              <w:jc w:val="center"/>
              <w:rPr>
                <w:rFonts w:asciiTheme="majorHAnsi" w:hAnsiTheme="majorHAnsi"/>
                <w:color w:val="000000"/>
                <w:sz w:val="18"/>
                <w:szCs w:val="18"/>
              </w:rPr>
            </w:pPr>
            <w:r w:rsidRPr="006256C9">
              <w:rPr>
                <w:rFonts w:asciiTheme="majorHAnsi" w:hAnsiTheme="majorHAnsi"/>
                <w:color w:val="000000"/>
                <w:sz w:val="18"/>
                <w:szCs w:val="18"/>
              </w:rPr>
              <w:t>авг.17</w:t>
            </w:r>
          </w:p>
        </w:tc>
        <w:tc>
          <w:tcPr>
            <w:tcW w:w="1183" w:type="dxa"/>
            <w:tcBorders>
              <w:bottom w:val="single" w:sz="6" w:space="0" w:color="auto"/>
            </w:tcBorders>
            <w:shd w:val="clear" w:color="auto" w:fill="auto"/>
            <w:vAlign w:val="center"/>
            <w:hideMark/>
          </w:tcPr>
          <w:p w:rsidR="006256C9" w:rsidRPr="006256C9" w:rsidRDefault="006256C9" w:rsidP="006256C9">
            <w:pPr>
              <w:jc w:val="center"/>
              <w:rPr>
                <w:rFonts w:asciiTheme="majorHAnsi" w:hAnsiTheme="majorHAnsi"/>
                <w:color w:val="000000"/>
                <w:sz w:val="18"/>
                <w:szCs w:val="18"/>
              </w:rPr>
            </w:pPr>
            <w:r w:rsidRPr="006256C9">
              <w:rPr>
                <w:rFonts w:asciiTheme="majorHAnsi" w:hAnsiTheme="majorHAnsi"/>
                <w:color w:val="000000"/>
                <w:sz w:val="18"/>
                <w:szCs w:val="18"/>
              </w:rPr>
              <w:t>авг.17</w:t>
            </w:r>
          </w:p>
        </w:tc>
        <w:tc>
          <w:tcPr>
            <w:tcW w:w="1246" w:type="dxa"/>
            <w:tcBorders>
              <w:bottom w:val="single" w:sz="6" w:space="0" w:color="auto"/>
            </w:tcBorders>
            <w:shd w:val="clear" w:color="auto" w:fill="auto"/>
            <w:vAlign w:val="center"/>
            <w:hideMark/>
          </w:tcPr>
          <w:p w:rsidR="006256C9" w:rsidRDefault="006256C9">
            <w:pPr>
              <w:jc w:val="center"/>
              <w:rPr>
                <w:rFonts w:ascii="Cambria" w:hAnsi="Cambria"/>
                <w:color w:val="000000"/>
                <w:sz w:val="20"/>
                <w:szCs w:val="20"/>
              </w:rPr>
            </w:pPr>
            <w:r>
              <w:rPr>
                <w:rFonts w:ascii="Cambria" w:hAnsi="Cambria"/>
                <w:color w:val="000000"/>
                <w:sz w:val="20"/>
                <w:szCs w:val="20"/>
              </w:rPr>
              <w:t> </w:t>
            </w:r>
            <w:r w:rsidRPr="006256C9">
              <w:rPr>
                <w:rFonts w:ascii="Cambria" w:hAnsi="Cambria"/>
                <w:color w:val="000000"/>
                <w:sz w:val="20"/>
                <w:szCs w:val="20"/>
              </w:rPr>
              <w:t>авг.17</w:t>
            </w:r>
          </w:p>
        </w:tc>
      </w:tr>
      <w:tr w:rsidR="006256C9" w:rsidRPr="00212FA7" w:rsidTr="00E7419B">
        <w:trPr>
          <w:trHeight w:val="20"/>
          <w:jc w:val="center"/>
        </w:trPr>
        <w:tc>
          <w:tcPr>
            <w:tcW w:w="2416" w:type="dxa"/>
            <w:gridSpan w:val="2"/>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r w:rsidRPr="00212FA7">
              <w:rPr>
                <w:rFonts w:asciiTheme="majorHAnsi" w:hAnsiTheme="majorHAnsi"/>
                <w:color w:val="000000"/>
                <w:sz w:val="18"/>
                <w:szCs w:val="18"/>
              </w:rPr>
              <w:t>Местоположение</w:t>
            </w:r>
          </w:p>
        </w:tc>
        <w:tc>
          <w:tcPr>
            <w:tcW w:w="850" w:type="dxa"/>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p>
        </w:tc>
        <w:tc>
          <w:tcPr>
            <w:tcW w:w="1418" w:type="dxa"/>
            <w:tcBorders>
              <w:top w:val="single" w:sz="6" w:space="0" w:color="auto"/>
              <w:bottom w:val="single" w:sz="6" w:space="0" w:color="auto"/>
            </w:tcBorders>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r w:rsidRPr="006256C9">
              <w:rPr>
                <w:rFonts w:asciiTheme="majorHAnsi" w:hAnsiTheme="majorHAnsi"/>
                <w:color w:val="000000"/>
                <w:sz w:val="18"/>
                <w:szCs w:val="18"/>
              </w:rPr>
              <w:t>Белгородская обл. г. Белгород, ул Мирная, 21</w:t>
            </w:r>
          </w:p>
        </w:tc>
        <w:tc>
          <w:tcPr>
            <w:tcW w:w="1401" w:type="dxa"/>
            <w:tcBorders>
              <w:top w:val="single" w:sz="6" w:space="0" w:color="auto"/>
              <w:bottom w:val="single" w:sz="6" w:space="0" w:color="auto"/>
            </w:tcBorders>
            <w:shd w:val="clear" w:color="auto" w:fill="auto"/>
            <w:vAlign w:val="center"/>
            <w:hideMark/>
          </w:tcPr>
          <w:p w:rsidR="006256C9" w:rsidRPr="006256C9" w:rsidRDefault="006256C9" w:rsidP="006256C9">
            <w:pPr>
              <w:ind w:left="-108" w:right="-124"/>
              <w:jc w:val="center"/>
              <w:rPr>
                <w:rFonts w:ascii="Cambria" w:hAnsi="Cambria"/>
                <w:sz w:val="18"/>
                <w:szCs w:val="18"/>
              </w:rPr>
            </w:pPr>
            <w:r w:rsidRPr="006256C9">
              <w:rPr>
                <w:rFonts w:ascii="Cambria" w:hAnsi="Cambria"/>
                <w:sz w:val="18"/>
                <w:szCs w:val="18"/>
              </w:rPr>
              <w:t>Белгород, Михайловское шоссе, Крейда</w:t>
            </w:r>
          </w:p>
        </w:tc>
        <w:tc>
          <w:tcPr>
            <w:tcW w:w="1183" w:type="dxa"/>
            <w:tcBorders>
              <w:top w:val="single" w:sz="6" w:space="0" w:color="auto"/>
              <w:bottom w:val="single" w:sz="6" w:space="0" w:color="auto"/>
            </w:tcBorders>
            <w:shd w:val="clear" w:color="auto" w:fill="auto"/>
            <w:vAlign w:val="center"/>
            <w:hideMark/>
          </w:tcPr>
          <w:p w:rsidR="006256C9" w:rsidRPr="006256C9" w:rsidRDefault="006256C9" w:rsidP="006256C9">
            <w:pPr>
              <w:ind w:left="-108" w:right="-124"/>
              <w:jc w:val="center"/>
              <w:rPr>
                <w:rFonts w:ascii="Cambria" w:hAnsi="Cambria"/>
                <w:sz w:val="18"/>
                <w:szCs w:val="18"/>
              </w:rPr>
            </w:pPr>
            <w:r w:rsidRPr="006256C9">
              <w:rPr>
                <w:rFonts w:ascii="Cambria" w:hAnsi="Cambria"/>
                <w:sz w:val="18"/>
                <w:szCs w:val="18"/>
              </w:rPr>
              <w:t>Белгород, ул. Волчанская, 163 а, рядом с металлобазой.</w:t>
            </w:r>
          </w:p>
        </w:tc>
        <w:tc>
          <w:tcPr>
            <w:tcW w:w="1246" w:type="dxa"/>
            <w:tcBorders>
              <w:top w:val="single" w:sz="6" w:space="0" w:color="auto"/>
              <w:bottom w:val="single" w:sz="6" w:space="0" w:color="auto"/>
            </w:tcBorders>
            <w:shd w:val="clear" w:color="auto" w:fill="auto"/>
            <w:vAlign w:val="center"/>
            <w:hideMark/>
          </w:tcPr>
          <w:p w:rsidR="006256C9" w:rsidRPr="006256C9" w:rsidRDefault="006256C9" w:rsidP="006256C9">
            <w:pPr>
              <w:ind w:left="-108" w:right="-124"/>
              <w:jc w:val="center"/>
              <w:rPr>
                <w:rFonts w:ascii="Cambria" w:hAnsi="Cambria"/>
                <w:sz w:val="18"/>
                <w:szCs w:val="18"/>
              </w:rPr>
            </w:pPr>
            <w:r w:rsidRPr="006256C9">
              <w:rPr>
                <w:rFonts w:ascii="Cambria" w:hAnsi="Cambria"/>
                <w:sz w:val="18"/>
                <w:szCs w:val="18"/>
              </w:rPr>
              <w:t>Белгородская область, Белгород, район Восточный,Корочанская ул., 85А</w:t>
            </w:r>
          </w:p>
        </w:tc>
      </w:tr>
      <w:tr w:rsidR="00E7419B" w:rsidRPr="00212FA7" w:rsidTr="00E7419B">
        <w:trPr>
          <w:trHeight w:val="20"/>
          <w:jc w:val="center"/>
        </w:trPr>
        <w:tc>
          <w:tcPr>
            <w:tcW w:w="2416" w:type="dxa"/>
            <w:gridSpan w:val="2"/>
            <w:shd w:val="clear" w:color="auto" w:fill="auto"/>
            <w:vAlign w:val="center"/>
            <w:hideMark/>
          </w:tcPr>
          <w:p w:rsidR="00E7419B" w:rsidRPr="00212FA7" w:rsidRDefault="00E7419B" w:rsidP="00D97AE8">
            <w:pPr>
              <w:ind w:left="-102" w:right="-108"/>
              <w:jc w:val="center"/>
              <w:rPr>
                <w:rFonts w:asciiTheme="majorHAnsi" w:hAnsiTheme="majorHAnsi"/>
                <w:color w:val="000000"/>
                <w:sz w:val="18"/>
                <w:szCs w:val="18"/>
              </w:rPr>
            </w:pPr>
            <w:r w:rsidRPr="00212FA7">
              <w:rPr>
                <w:rFonts w:asciiTheme="majorHAnsi" w:hAnsiTheme="majorHAnsi"/>
                <w:color w:val="000000"/>
                <w:sz w:val="18"/>
                <w:szCs w:val="18"/>
              </w:rPr>
              <w:t>Степень соответствия местоположения объекта оценки месту расположения аналога</w:t>
            </w:r>
          </w:p>
        </w:tc>
        <w:tc>
          <w:tcPr>
            <w:tcW w:w="850" w:type="dxa"/>
            <w:tcBorders>
              <w:bottom w:val="single" w:sz="6" w:space="0" w:color="auto"/>
            </w:tcBorders>
            <w:shd w:val="clear" w:color="auto" w:fill="auto"/>
            <w:vAlign w:val="center"/>
            <w:hideMark/>
          </w:tcPr>
          <w:p w:rsidR="00E7419B" w:rsidRPr="00212FA7" w:rsidRDefault="00E7419B" w:rsidP="00D97AE8">
            <w:pPr>
              <w:ind w:left="-102" w:right="-108"/>
              <w:jc w:val="center"/>
              <w:rPr>
                <w:rFonts w:asciiTheme="majorHAnsi" w:hAnsiTheme="majorHAnsi"/>
                <w:color w:val="000000"/>
                <w:sz w:val="18"/>
                <w:szCs w:val="18"/>
              </w:rPr>
            </w:pPr>
          </w:p>
        </w:tc>
        <w:tc>
          <w:tcPr>
            <w:tcW w:w="1418" w:type="dxa"/>
            <w:tcBorders>
              <w:top w:val="single" w:sz="6" w:space="0" w:color="auto"/>
              <w:bottom w:val="single" w:sz="6" w:space="0" w:color="auto"/>
            </w:tcBorders>
            <w:shd w:val="clear" w:color="auto" w:fill="auto"/>
            <w:vAlign w:val="center"/>
          </w:tcPr>
          <w:p w:rsidR="00E7419B" w:rsidRPr="00212FA7" w:rsidRDefault="00E7419B" w:rsidP="00D97AE8">
            <w:pPr>
              <w:ind w:left="-102" w:right="-108"/>
              <w:jc w:val="center"/>
              <w:rPr>
                <w:rFonts w:asciiTheme="majorHAnsi" w:hAnsiTheme="majorHAnsi"/>
                <w:color w:val="000000"/>
                <w:sz w:val="18"/>
                <w:szCs w:val="18"/>
              </w:rPr>
            </w:pPr>
          </w:p>
        </w:tc>
        <w:tc>
          <w:tcPr>
            <w:tcW w:w="1401" w:type="dxa"/>
            <w:tcBorders>
              <w:top w:val="single" w:sz="6" w:space="0" w:color="auto"/>
              <w:bottom w:val="single" w:sz="6" w:space="0" w:color="auto"/>
            </w:tcBorders>
            <w:shd w:val="clear" w:color="auto" w:fill="auto"/>
            <w:vAlign w:val="center"/>
            <w:hideMark/>
          </w:tcPr>
          <w:p w:rsidR="00E7419B" w:rsidRPr="00212FA7" w:rsidRDefault="00E7419B" w:rsidP="00D97AE8">
            <w:pPr>
              <w:ind w:left="-102" w:right="-108"/>
              <w:jc w:val="center"/>
              <w:rPr>
                <w:rFonts w:asciiTheme="majorHAnsi" w:hAnsiTheme="majorHAnsi"/>
                <w:color w:val="000000"/>
                <w:sz w:val="18"/>
                <w:szCs w:val="18"/>
              </w:rPr>
            </w:pPr>
          </w:p>
        </w:tc>
        <w:tc>
          <w:tcPr>
            <w:tcW w:w="1183" w:type="dxa"/>
            <w:tcBorders>
              <w:top w:val="single" w:sz="6" w:space="0" w:color="auto"/>
              <w:bottom w:val="single" w:sz="6" w:space="0" w:color="auto"/>
            </w:tcBorders>
            <w:shd w:val="clear" w:color="auto" w:fill="auto"/>
            <w:vAlign w:val="center"/>
            <w:hideMark/>
          </w:tcPr>
          <w:p w:rsidR="00E7419B" w:rsidRPr="00212FA7" w:rsidRDefault="00E7419B" w:rsidP="00D97AE8">
            <w:pPr>
              <w:ind w:left="-102" w:right="-108"/>
              <w:jc w:val="center"/>
              <w:rPr>
                <w:rFonts w:asciiTheme="majorHAnsi" w:hAnsiTheme="majorHAnsi"/>
                <w:color w:val="000000"/>
                <w:sz w:val="18"/>
                <w:szCs w:val="18"/>
              </w:rPr>
            </w:pPr>
          </w:p>
        </w:tc>
        <w:tc>
          <w:tcPr>
            <w:tcW w:w="1246" w:type="dxa"/>
            <w:tcBorders>
              <w:top w:val="single" w:sz="6" w:space="0" w:color="auto"/>
              <w:bottom w:val="single" w:sz="6" w:space="0" w:color="auto"/>
            </w:tcBorders>
            <w:shd w:val="clear" w:color="auto" w:fill="auto"/>
            <w:vAlign w:val="center"/>
            <w:hideMark/>
          </w:tcPr>
          <w:p w:rsidR="00E7419B" w:rsidRPr="00212FA7" w:rsidRDefault="00E7419B" w:rsidP="00D97AE8">
            <w:pPr>
              <w:ind w:left="-102" w:right="-108"/>
              <w:jc w:val="center"/>
              <w:rPr>
                <w:rFonts w:asciiTheme="majorHAnsi" w:hAnsiTheme="majorHAnsi"/>
                <w:color w:val="000000"/>
                <w:sz w:val="18"/>
                <w:szCs w:val="18"/>
              </w:rPr>
            </w:pPr>
          </w:p>
        </w:tc>
      </w:tr>
      <w:tr w:rsidR="00E7419B" w:rsidRPr="00212FA7" w:rsidTr="00E7419B">
        <w:trPr>
          <w:trHeight w:val="20"/>
          <w:jc w:val="center"/>
        </w:trPr>
        <w:tc>
          <w:tcPr>
            <w:tcW w:w="2416" w:type="dxa"/>
            <w:gridSpan w:val="2"/>
            <w:shd w:val="clear" w:color="auto" w:fill="auto"/>
            <w:vAlign w:val="center"/>
            <w:hideMark/>
          </w:tcPr>
          <w:p w:rsidR="00E7419B" w:rsidRPr="00212FA7" w:rsidRDefault="00E7419B" w:rsidP="00D97AE8">
            <w:pPr>
              <w:ind w:left="-102" w:right="-108"/>
              <w:jc w:val="center"/>
              <w:rPr>
                <w:rFonts w:asciiTheme="majorHAnsi" w:hAnsiTheme="majorHAnsi"/>
                <w:color w:val="000000"/>
                <w:sz w:val="18"/>
                <w:szCs w:val="18"/>
              </w:rPr>
            </w:pPr>
            <w:r w:rsidRPr="00212FA7">
              <w:rPr>
                <w:rFonts w:asciiTheme="majorHAnsi" w:hAnsiTheme="majorHAnsi"/>
                <w:color w:val="000000"/>
                <w:sz w:val="18"/>
                <w:szCs w:val="18"/>
              </w:rPr>
              <w:t>Корректировка</w:t>
            </w:r>
          </w:p>
        </w:tc>
        <w:tc>
          <w:tcPr>
            <w:tcW w:w="850" w:type="dxa"/>
            <w:tcBorders>
              <w:top w:val="single" w:sz="6" w:space="0" w:color="auto"/>
              <w:bottom w:val="single" w:sz="6" w:space="0" w:color="auto"/>
            </w:tcBorders>
            <w:shd w:val="clear" w:color="000000" w:fill="auto"/>
            <w:vAlign w:val="center"/>
            <w:hideMark/>
          </w:tcPr>
          <w:p w:rsidR="00E7419B" w:rsidRPr="00212FA7" w:rsidRDefault="00E7419B" w:rsidP="00D97AE8">
            <w:pPr>
              <w:ind w:left="-102" w:right="-108"/>
              <w:jc w:val="center"/>
              <w:rPr>
                <w:rFonts w:asciiTheme="majorHAnsi" w:hAnsiTheme="majorHAnsi"/>
                <w:color w:val="000000"/>
                <w:sz w:val="18"/>
                <w:szCs w:val="18"/>
              </w:rPr>
            </w:pPr>
          </w:p>
        </w:tc>
        <w:tc>
          <w:tcPr>
            <w:tcW w:w="1418" w:type="dxa"/>
            <w:tcBorders>
              <w:top w:val="single" w:sz="6" w:space="0" w:color="auto"/>
              <w:bottom w:val="single" w:sz="6" w:space="0" w:color="auto"/>
            </w:tcBorders>
            <w:shd w:val="clear" w:color="000000" w:fill="auto"/>
            <w:vAlign w:val="center"/>
            <w:hideMark/>
          </w:tcPr>
          <w:p w:rsidR="00E7419B" w:rsidRPr="00212FA7" w:rsidRDefault="00E7419B" w:rsidP="00D97AE8">
            <w:pPr>
              <w:ind w:left="-102" w:right="-108"/>
              <w:jc w:val="center"/>
              <w:rPr>
                <w:rFonts w:asciiTheme="majorHAnsi" w:hAnsiTheme="majorHAnsi"/>
                <w:color w:val="000000"/>
                <w:sz w:val="18"/>
                <w:szCs w:val="18"/>
              </w:rPr>
            </w:pPr>
          </w:p>
        </w:tc>
        <w:tc>
          <w:tcPr>
            <w:tcW w:w="1401" w:type="dxa"/>
            <w:tcBorders>
              <w:top w:val="single" w:sz="6" w:space="0" w:color="auto"/>
              <w:bottom w:val="single" w:sz="6" w:space="0" w:color="auto"/>
            </w:tcBorders>
            <w:shd w:val="clear" w:color="000000" w:fill="auto"/>
            <w:vAlign w:val="center"/>
            <w:hideMark/>
          </w:tcPr>
          <w:p w:rsidR="00E7419B" w:rsidRPr="00212FA7" w:rsidRDefault="00E7419B" w:rsidP="00D97AE8">
            <w:pPr>
              <w:ind w:left="-102" w:right="-108"/>
              <w:jc w:val="center"/>
              <w:rPr>
                <w:rFonts w:asciiTheme="majorHAnsi" w:hAnsiTheme="majorHAnsi"/>
                <w:color w:val="000000"/>
                <w:sz w:val="18"/>
                <w:szCs w:val="18"/>
              </w:rPr>
            </w:pPr>
            <w:r w:rsidRPr="00212FA7">
              <w:rPr>
                <w:rFonts w:asciiTheme="majorHAnsi" w:hAnsiTheme="majorHAnsi"/>
                <w:color w:val="000000"/>
                <w:sz w:val="18"/>
                <w:szCs w:val="18"/>
              </w:rPr>
              <w:t>1,00</w:t>
            </w:r>
          </w:p>
        </w:tc>
        <w:tc>
          <w:tcPr>
            <w:tcW w:w="1183" w:type="dxa"/>
            <w:tcBorders>
              <w:top w:val="single" w:sz="6" w:space="0" w:color="auto"/>
              <w:bottom w:val="single" w:sz="6" w:space="0" w:color="auto"/>
            </w:tcBorders>
            <w:shd w:val="clear" w:color="000000" w:fill="auto"/>
            <w:vAlign w:val="center"/>
            <w:hideMark/>
          </w:tcPr>
          <w:p w:rsidR="00E7419B" w:rsidRPr="00212FA7" w:rsidRDefault="00E7419B" w:rsidP="00D97AE8">
            <w:pPr>
              <w:ind w:left="-102" w:right="-108"/>
              <w:jc w:val="center"/>
              <w:rPr>
                <w:rFonts w:asciiTheme="majorHAnsi" w:hAnsiTheme="majorHAnsi"/>
                <w:color w:val="000000"/>
                <w:sz w:val="18"/>
                <w:szCs w:val="18"/>
              </w:rPr>
            </w:pPr>
            <w:r w:rsidRPr="00212FA7">
              <w:rPr>
                <w:rFonts w:asciiTheme="majorHAnsi" w:hAnsiTheme="majorHAnsi"/>
                <w:color w:val="000000"/>
                <w:sz w:val="18"/>
                <w:szCs w:val="18"/>
              </w:rPr>
              <w:t>1,00</w:t>
            </w:r>
          </w:p>
        </w:tc>
        <w:tc>
          <w:tcPr>
            <w:tcW w:w="1246" w:type="dxa"/>
            <w:tcBorders>
              <w:top w:val="single" w:sz="6" w:space="0" w:color="auto"/>
              <w:bottom w:val="single" w:sz="6" w:space="0" w:color="auto"/>
            </w:tcBorders>
            <w:shd w:val="clear" w:color="000000" w:fill="auto"/>
            <w:vAlign w:val="center"/>
            <w:hideMark/>
          </w:tcPr>
          <w:p w:rsidR="00E7419B" w:rsidRPr="00212FA7" w:rsidRDefault="00E7419B" w:rsidP="00D97AE8">
            <w:pPr>
              <w:ind w:left="-102" w:right="-108"/>
              <w:jc w:val="center"/>
              <w:rPr>
                <w:rFonts w:asciiTheme="majorHAnsi" w:hAnsiTheme="majorHAnsi"/>
                <w:color w:val="000000"/>
                <w:sz w:val="18"/>
                <w:szCs w:val="18"/>
              </w:rPr>
            </w:pPr>
            <w:r w:rsidRPr="00212FA7">
              <w:rPr>
                <w:rFonts w:asciiTheme="majorHAnsi" w:hAnsiTheme="majorHAnsi"/>
                <w:color w:val="000000"/>
                <w:sz w:val="18"/>
                <w:szCs w:val="18"/>
              </w:rPr>
              <w:t>1,00</w:t>
            </w:r>
          </w:p>
        </w:tc>
      </w:tr>
      <w:tr w:rsidR="006256C9" w:rsidRPr="00212FA7" w:rsidTr="00E7419B">
        <w:trPr>
          <w:trHeight w:val="20"/>
          <w:jc w:val="center"/>
        </w:trPr>
        <w:tc>
          <w:tcPr>
            <w:tcW w:w="2416" w:type="dxa"/>
            <w:gridSpan w:val="2"/>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r w:rsidRPr="00212FA7">
              <w:rPr>
                <w:rFonts w:asciiTheme="majorHAnsi" w:hAnsiTheme="majorHAnsi"/>
                <w:color w:val="000000"/>
                <w:sz w:val="18"/>
                <w:szCs w:val="18"/>
              </w:rPr>
              <w:t>Скорректированная цена</w:t>
            </w:r>
          </w:p>
        </w:tc>
        <w:tc>
          <w:tcPr>
            <w:tcW w:w="850" w:type="dxa"/>
            <w:tcBorders>
              <w:top w:val="single" w:sz="6" w:space="0" w:color="auto"/>
            </w:tcBorders>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r w:rsidRPr="00212FA7">
              <w:rPr>
                <w:rFonts w:asciiTheme="majorHAnsi" w:hAnsiTheme="majorHAnsi"/>
                <w:color w:val="000000"/>
                <w:sz w:val="18"/>
                <w:szCs w:val="18"/>
              </w:rPr>
              <w:t>руб.</w:t>
            </w:r>
          </w:p>
        </w:tc>
        <w:tc>
          <w:tcPr>
            <w:tcW w:w="1418" w:type="dxa"/>
            <w:tcBorders>
              <w:top w:val="single" w:sz="6" w:space="0" w:color="auto"/>
            </w:tcBorders>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p>
        </w:tc>
        <w:tc>
          <w:tcPr>
            <w:tcW w:w="1401" w:type="dxa"/>
            <w:tcBorders>
              <w:top w:val="single" w:sz="6" w:space="0" w:color="auto"/>
            </w:tcBorders>
            <w:shd w:val="clear" w:color="auto" w:fill="auto"/>
            <w:vAlign w:val="center"/>
            <w:hideMark/>
          </w:tcPr>
          <w:p w:rsidR="006256C9" w:rsidRPr="006256C9" w:rsidRDefault="006256C9" w:rsidP="002176D6">
            <w:pPr>
              <w:jc w:val="center"/>
              <w:rPr>
                <w:rFonts w:asciiTheme="majorHAnsi" w:hAnsiTheme="majorHAnsi"/>
                <w:color w:val="000000"/>
                <w:sz w:val="18"/>
                <w:szCs w:val="18"/>
              </w:rPr>
            </w:pPr>
            <w:r w:rsidRPr="006256C9">
              <w:rPr>
                <w:rFonts w:asciiTheme="majorHAnsi" w:hAnsiTheme="majorHAnsi"/>
                <w:color w:val="000000"/>
                <w:sz w:val="18"/>
                <w:szCs w:val="18"/>
              </w:rPr>
              <w:t>150,00</w:t>
            </w:r>
          </w:p>
        </w:tc>
        <w:tc>
          <w:tcPr>
            <w:tcW w:w="1183" w:type="dxa"/>
            <w:tcBorders>
              <w:top w:val="single" w:sz="6" w:space="0" w:color="auto"/>
            </w:tcBorders>
            <w:shd w:val="clear" w:color="auto" w:fill="auto"/>
            <w:vAlign w:val="center"/>
            <w:hideMark/>
          </w:tcPr>
          <w:p w:rsidR="006256C9" w:rsidRPr="006256C9" w:rsidRDefault="006256C9" w:rsidP="002176D6">
            <w:pPr>
              <w:jc w:val="center"/>
              <w:rPr>
                <w:rFonts w:asciiTheme="majorHAnsi" w:hAnsiTheme="majorHAnsi"/>
                <w:color w:val="000000"/>
                <w:sz w:val="18"/>
                <w:szCs w:val="18"/>
              </w:rPr>
            </w:pPr>
            <w:r w:rsidRPr="006256C9">
              <w:rPr>
                <w:rFonts w:asciiTheme="majorHAnsi" w:hAnsiTheme="majorHAnsi"/>
                <w:color w:val="000000"/>
                <w:sz w:val="18"/>
                <w:szCs w:val="18"/>
              </w:rPr>
              <w:t>150,00</w:t>
            </w:r>
          </w:p>
        </w:tc>
        <w:tc>
          <w:tcPr>
            <w:tcW w:w="1246" w:type="dxa"/>
            <w:tcBorders>
              <w:top w:val="single" w:sz="6" w:space="0" w:color="auto"/>
            </w:tcBorders>
            <w:shd w:val="clear" w:color="auto" w:fill="auto"/>
            <w:vAlign w:val="center"/>
            <w:hideMark/>
          </w:tcPr>
          <w:p w:rsidR="006256C9" w:rsidRPr="006256C9" w:rsidRDefault="006256C9" w:rsidP="002176D6">
            <w:pPr>
              <w:jc w:val="center"/>
              <w:rPr>
                <w:rFonts w:ascii="Cambria" w:hAnsi="Cambria"/>
                <w:color w:val="000000"/>
                <w:sz w:val="18"/>
                <w:szCs w:val="18"/>
              </w:rPr>
            </w:pPr>
            <w:r w:rsidRPr="006256C9">
              <w:rPr>
                <w:rFonts w:ascii="Cambria" w:hAnsi="Cambria"/>
                <w:color w:val="000000"/>
                <w:sz w:val="18"/>
                <w:szCs w:val="18"/>
              </w:rPr>
              <w:t>200,00</w:t>
            </w:r>
          </w:p>
        </w:tc>
      </w:tr>
      <w:tr w:rsidR="006256C9" w:rsidRPr="00212FA7" w:rsidTr="00E7419B">
        <w:trPr>
          <w:trHeight w:val="20"/>
          <w:jc w:val="center"/>
        </w:trPr>
        <w:tc>
          <w:tcPr>
            <w:tcW w:w="2416" w:type="dxa"/>
            <w:gridSpan w:val="2"/>
            <w:shd w:val="clear" w:color="auto" w:fill="auto"/>
            <w:vAlign w:val="center"/>
            <w:hideMark/>
          </w:tcPr>
          <w:p w:rsidR="006256C9" w:rsidRPr="00212FA7" w:rsidRDefault="006256C9" w:rsidP="00D97AE8">
            <w:pPr>
              <w:ind w:left="-102" w:right="-108"/>
              <w:jc w:val="center"/>
              <w:rPr>
                <w:rFonts w:asciiTheme="majorHAnsi" w:hAnsiTheme="majorHAnsi"/>
                <w:sz w:val="18"/>
                <w:szCs w:val="18"/>
              </w:rPr>
            </w:pPr>
            <w:r w:rsidRPr="00212FA7">
              <w:rPr>
                <w:rFonts w:asciiTheme="majorHAnsi" w:hAnsiTheme="majorHAnsi"/>
                <w:sz w:val="18"/>
                <w:szCs w:val="18"/>
              </w:rPr>
              <w:t>Корректировка на уторговывание</w:t>
            </w:r>
          </w:p>
        </w:tc>
        <w:tc>
          <w:tcPr>
            <w:tcW w:w="850" w:type="dxa"/>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p>
        </w:tc>
        <w:tc>
          <w:tcPr>
            <w:tcW w:w="1418" w:type="dxa"/>
            <w:shd w:val="clear" w:color="auto" w:fill="auto"/>
            <w:vAlign w:val="center"/>
            <w:hideMark/>
          </w:tcPr>
          <w:p w:rsidR="006256C9" w:rsidRPr="006256C9" w:rsidRDefault="006256C9" w:rsidP="006256C9">
            <w:pPr>
              <w:jc w:val="center"/>
              <w:rPr>
                <w:rFonts w:ascii="Cambria" w:hAnsi="Cambria"/>
                <w:color w:val="000000"/>
                <w:sz w:val="18"/>
                <w:szCs w:val="18"/>
              </w:rPr>
            </w:pPr>
          </w:p>
        </w:tc>
        <w:tc>
          <w:tcPr>
            <w:tcW w:w="1401" w:type="dxa"/>
            <w:shd w:val="clear" w:color="000000" w:fill="FFFFFF"/>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15,00%</w:t>
            </w:r>
          </w:p>
        </w:tc>
        <w:tc>
          <w:tcPr>
            <w:tcW w:w="1183" w:type="dxa"/>
            <w:shd w:val="clear" w:color="000000" w:fill="FFFFFF"/>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15,00%</w:t>
            </w:r>
          </w:p>
        </w:tc>
        <w:tc>
          <w:tcPr>
            <w:tcW w:w="1246" w:type="dxa"/>
            <w:shd w:val="clear" w:color="000000" w:fill="FFFFFF"/>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15,00%</w:t>
            </w:r>
          </w:p>
        </w:tc>
      </w:tr>
      <w:tr w:rsidR="006256C9" w:rsidRPr="00212FA7" w:rsidTr="00E7419B">
        <w:trPr>
          <w:trHeight w:val="20"/>
          <w:jc w:val="center"/>
        </w:trPr>
        <w:tc>
          <w:tcPr>
            <w:tcW w:w="2416" w:type="dxa"/>
            <w:gridSpan w:val="2"/>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r w:rsidRPr="00212FA7">
              <w:rPr>
                <w:rFonts w:asciiTheme="majorHAnsi" w:hAnsiTheme="majorHAnsi"/>
                <w:color w:val="000000"/>
                <w:sz w:val="18"/>
                <w:szCs w:val="18"/>
              </w:rPr>
              <w:t>Скорректированная цена</w:t>
            </w:r>
          </w:p>
        </w:tc>
        <w:tc>
          <w:tcPr>
            <w:tcW w:w="850" w:type="dxa"/>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r w:rsidRPr="00212FA7">
              <w:rPr>
                <w:rFonts w:asciiTheme="majorHAnsi" w:hAnsiTheme="majorHAnsi"/>
                <w:color w:val="000000"/>
                <w:sz w:val="18"/>
                <w:szCs w:val="18"/>
              </w:rPr>
              <w:t>руб.</w:t>
            </w:r>
          </w:p>
        </w:tc>
        <w:tc>
          <w:tcPr>
            <w:tcW w:w="1418" w:type="dxa"/>
            <w:shd w:val="clear" w:color="auto" w:fill="auto"/>
            <w:vAlign w:val="center"/>
            <w:hideMark/>
          </w:tcPr>
          <w:p w:rsidR="006256C9" w:rsidRPr="006256C9" w:rsidRDefault="006256C9" w:rsidP="006256C9">
            <w:pPr>
              <w:jc w:val="center"/>
              <w:rPr>
                <w:rFonts w:ascii="Cambria" w:hAnsi="Cambria"/>
                <w:color w:val="000000"/>
                <w:sz w:val="18"/>
                <w:szCs w:val="18"/>
              </w:rPr>
            </w:pPr>
          </w:p>
        </w:tc>
        <w:tc>
          <w:tcPr>
            <w:tcW w:w="1401" w:type="dxa"/>
            <w:shd w:val="clear" w:color="auto" w:fill="auto"/>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127,50</w:t>
            </w:r>
          </w:p>
        </w:tc>
        <w:tc>
          <w:tcPr>
            <w:tcW w:w="1183" w:type="dxa"/>
            <w:shd w:val="clear" w:color="auto" w:fill="auto"/>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127,50</w:t>
            </w:r>
          </w:p>
        </w:tc>
        <w:tc>
          <w:tcPr>
            <w:tcW w:w="1246" w:type="dxa"/>
            <w:shd w:val="clear" w:color="auto" w:fill="auto"/>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170,00</w:t>
            </w:r>
          </w:p>
        </w:tc>
      </w:tr>
      <w:tr w:rsidR="006256C9" w:rsidRPr="00212FA7" w:rsidTr="00E7419B">
        <w:trPr>
          <w:trHeight w:val="20"/>
          <w:jc w:val="center"/>
        </w:trPr>
        <w:tc>
          <w:tcPr>
            <w:tcW w:w="2416" w:type="dxa"/>
            <w:gridSpan w:val="2"/>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r w:rsidRPr="00212FA7">
              <w:rPr>
                <w:rFonts w:asciiTheme="majorHAnsi" w:hAnsiTheme="majorHAnsi"/>
                <w:color w:val="000000"/>
                <w:sz w:val="18"/>
                <w:szCs w:val="18"/>
              </w:rPr>
              <w:t>Состояние отделки</w:t>
            </w:r>
          </w:p>
        </w:tc>
        <w:tc>
          <w:tcPr>
            <w:tcW w:w="850" w:type="dxa"/>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p>
        </w:tc>
        <w:tc>
          <w:tcPr>
            <w:tcW w:w="1418" w:type="dxa"/>
            <w:shd w:val="clear" w:color="auto" w:fill="auto"/>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1</w:t>
            </w:r>
          </w:p>
        </w:tc>
        <w:tc>
          <w:tcPr>
            <w:tcW w:w="1401" w:type="dxa"/>
            <w:shd w:val="clear" w:color="auto" w:fill="auto"/>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1,00</w:t>
            </w:r>
          </w:p>
        </w:tc>
        <w:tc>
          <w:tcPr>
            <w:tcW w:w="1183" w:type="dxa"/>
            <w:shd w:val="clear" w:color="auto" w:fill="auto"/>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1,00</w:t>
            </w:r>
          </w:p>
        </w:tc>
        <w:tc>
          <w:tcPr>
            <w:tcW w:w="1246" w:type="dxa"/>
            <w:shd w:val="clear" w:color="auto" w:fill="auto"/>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1,00</w:t>
            </w:r>
          </w:p>
        </w:tc>
      </w:tr>
      <w:tr w:rsidR="006256C9" w:rsidRPr="00212FA7" w:rsidTr="00E7419B">
        <w:trPr>
          <w:trHeight w:val="20"/>
          <w:jc w:val="center"/>
        </w:trPr>
        <w:tc>
          <w:tcPr>
            <w:tcW w:w="2416" w:type="dxa"/>
            <w:gridSpan w:val="2"/>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r w:rsidRPr="00212FA7">
              <w:rPr>
                <w:rFonts w:asciiTheme="majorHAnsi" w:hAnsiTheme="majorHAnsi"/>
                <w:color w:val="000000"/>
                <w:sz w:val="18"/>
                <w:szCs w:val="18"/>
              </w:rPr>
              <w:t>Корректировка</w:t>
            </w:r>
          </w:p>
        </w:tc>
        <w:tc>
          <w:tcPr>
            <w:tcW w:w="850" w:type="dxa"/>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p>
        </w:tc>
        <w:tc>
          <w:tcPr>
            <w:tcW w:w="1418" w:type="dxa"/>
            <w:shd w:val="clear" w:color="auto" w:fill="auto"/>
            <w:vAlign w:val="center"/>
            <w:hideMark/>
          </w:tcPr>
          <w:p w:rsidR="006256C9" w:rsidRPr="006256C9" w:rsidRDefault="006256C9" w:rsidP="006256C9">
            <w:pPr>
              <w:jc w:val="center"/>
              <w:rPr>
                <w:rFonts w:ascii="Cambria" w:hAnsi="Cambria"/>
                <w:color w:val="000000"/>
                <w:sz w:val="18"/>
                <w:szCs w:val="18"/>
              </w:rPr>
            </w:pPr>
          </w:p>
        </w:tc>
        <w:tc>
          <w:tcPr>
            <w:tcW w:w="1401" w:type="dxa"/>
            <w:shd w:val="clear" w:color="auto" w:fill="auto"/>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1,00</w:t>
            </w:r>
          </w:p>
        </w:tc>
        <w:tc>
          <w:tcPr>
            <w:tcW w:w="1183" w:type="dxa"/>
            <w:shd w:val="clear" w:color="auto" w:fill="auto"/>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1,00</w:t>
            </w:r>
          </w:p>
        </w:tc>
        <w:tc>
          <w:tcPr>
            <w:tcW w:w="1246" w:type="dxa"/>
            <w:shd w:val="clear" w:color="auto" w:fill="auto"/>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1,00</w:t>
            </w:r>
          </w:p>
        </w:tc>
      </w:tr>
      <w:tr w:rsidR="006256C9" w:rsidRPr="00212FA7" w:rsidTr="00E7419B">
        <w:trPr>
          <w:trHeight w:val="20"/>
          <w:jc w:val="center"/>
        </w:trPr>
        <w:tc>
          <w:tcPr>
            <w:tcW w:w="2416" w:type="dxa"/>
            <w:gridSpan w:val="2"/>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r w:rsidRPr="00212FA7">
              <w:rPr>
                <w:rFonts w:asciiTheme="majorHAnsi" w:hAnsiTheme="majorHAnsi"/>
                <w:color w:val="000000"/>
                <w:sz w:val="18"/>
                <w:szCs w:val="18"/>
              </w:rPr>
              <w:t>Скорректированная цена</w:t>
            </w:r>
          </w:p>
        </w:tc>
        <w:tc>
          <w:tcPr>
            <w:tcW w:w="850" w:type="dxa"/>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r w:rsidRPr="00212FA7">
              <w:rPr>
                <w:rFonts w:asciiTheme="majorHAnsi" w:hAnsiTheme="majorHAnsi"/>
                <w:color w:val="000000"/>
                <w:sz w:val="18"/>
                <w:szCs w:val="18"/>
              </w:rPr>
              <w:t>руб.</w:t>
            </w:r>
          </w:p>
        </w:tc>
        <w:tc>
          <w:tcPr>
            <w:tcW w:w="1418" w:type="dxa"/>
            <w:shd w:val="clear" w:color="auto" w:fill="auto"/>
            <w:vAlign w:val="center"/>
            <w:hideMark/>
          </w:tcPr>
          <w:p w:rsidR="006256C9" w:rsidRPr="006256C9" w:rsidRDefault="006256C9" w:rsidP="006256C9">
            <w:pPr>
              <w:jc w:val="center"/>
              <w:rPr>
                <w:rFonts w:ascii="Cambria" w:hAnsi="Cambria"/>
                <w:color w:val="000000"/>
                <w:sz w:val="18"/>
                <w:szCs w:val="18"/>
              </w:rPr>
            </w:pPr>
          </w:p>
        </w:tc>
        <w:tc>
          <w:tcPr>
            <w:tcW w:w="1401" w:type="dxa"/>
            <w:shd w:val="clear" w:color="auto" w:fill="auto"/>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127,50</w:t>
            </w:r>
          </w:p>
        </w:tc>
        <w:tc>
          <w:tcPr>
            <w:tcW w:w="1183" w:type="dxa"/>
            <w:shd w:val="clear" w:color="auto" w:fill="auto"/>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127,50</w:t>
            </w:r>
          </w:p>
        </w:tc>
        <w:tc>
          <w:tcPr>
            <w:tcW w:w="1246" w:type="dxa"/>
            <w:shd w:val="clear" w:color="auto" w:fill="auto"/>
            <w:vAlign w:val="center"/>
            <w:hideMark/>
          </w:tcPr>
          <w:p w:rsidR="006256C9" w:rsidRPr="006256C9" w:rsidRDefault="006256C9" w:rsidP="006256C9">
            <w:pPr>
              <w:jc w:val="center"/>
              <w:rPr>
                <w:rFonts w:ascii="Cambria" w:hAnsi="Cambria"/>
                <w:color w:val="000000"/>
                <w:sz w:val="18"/>
                <w:szCs w:val="18"/>
              </w:rPr>
            </w:pPr>
            <w:r w:rsidRPr="006256C9">
              <w:rPr>
                <w:rFonts w:ascii="Cambria" w:hAnsi="Cambria"/>
                <w:color w:val="000000"/>
                <w:sz w:val="18"/>
                <w:szCs w:val="18"/>
              </w:rPr>
              <w:t>170,00</w:t>
            </w:r>
          </w:p>
        </w:tc>
      </w:tr>
      <w:tr w:rsidR="006256C9" w:rsidRPr="00212FA7" w:rsidTr="00E7419B">
        <w:trPr>
          <w:trHeight w:val="20"/>
          <w:jc w:val="center"/>
        </w:trPr>
        <w:tc>
          <w:tcPr>
            <w:tcW w:w="2416" w:type="dxa"/>
            <w:gridSpan w:val="2"/>
            <w:shd w:val="clear" w:color="auto" w:fill="auto"/>
            <w:vAlign w:val="center"/>
            <w:hideMark/>
          </w:tcPr>
          <w:p w:rsidR="006256C9" w:rsidRPr="00212FA7" w:rsidRDefault="006256C9" w:rsidP="00D97AE8">
            <w:pPr>
              <w:ind w:left="-102" w:right="-108"/>
              <w:jc w:val="center"/>
              <w:rPr>
                <w:rFonts w:asciiTheme="majorHAnsi" w:hAnsiTheme="majorHAnsi"/>
                <w:b/>
                <w:color w:val="000000"/>
                <w:sz w:val="18"/>
                <w:szCs w:val="18"/>
              </w:rPr>
            </w:pPr>
            <w:r w:rsidRPr="00212FA7">
              <w:rPr>
                <w:rFonts w:asciiTheme="majorHAnsi" w:hAnsiTheme="majorHAnsi"/>
                <w:b/>
                <w:color w:val="000000"/>
                <w:sz w:val="18"/>
                <w:szCs w:val="18"/>
              </w:rPr>
              <w:t>Итоговое значение арендной ставки</w:t>
            </w:r>
          </w:p>
        </w:tc>
        <w:tc>
          <w:tcPr>
            <w:tcW w:w="850" w:type="dxa"/>
            <w:shd w:val="clear" w:color="auto" w:fill="auto"/>
            <w:vAlign w:val="center"/>
            <w:hideMark/>
          </w:tcPr>
          <w:p w:rsidR="006256C9" w:rsidRPr="00212FA7" w:rsidRDefault="006256C9" w:rsidP="00D97AE8">
            <w:pPr>
              <w:ind w:left="-102" w:right="-108"/>
              <w:jc w:val="center"/>
              <w:rPr>
                <w:rFonts w:asciiTheme="majorHAnsi" w:hAnsiTheme="majorHAnsi"/>
                <w:color w:val="000000"/>
                <w:sz w:val="18"/>
                <w:szCs w:val="18"/>
              </w:rPr>
            </w:pPr>
            <w:r w:rsidRPr="00212FA7">
              <w:rPr>
                <w:rFonts w:asciiTheme="majorHAnsi" w:hAnsiTheme="majorHAnsi"/>
                <w:color w:val="000000"/>
                <w:sz w:val="18"/>
                <w:szCs w:val="18"/>
              </w:rPr>
              <w:t>руб.</w:t>
            </w:r>
          </w:p>
        </w:tc>
        <w:tc>
          <w:tcPr>
            <w:tcW w:w="1418" w:type="dxa"/>
            <w:shd w:val="clear" w:color="auto" w:fill="auto"/>
            <w:vAlign w:val="center"/>
            <w:hideMark/>
          </w:tcPr>
          <w:p w:rsidR="006256C9" w:rsidRPr="006256C9" w:rsidRDefault="006256C9" w:rsidP="006256C9">
            <w:pPr>
              <w:jc w:val="center"/>
              <w:rPr>
                <w:rFonts w:ascii="Cambria" w:hAnsi="Cambria"/>
                <w:b/>
                <w:color w:val="000000"/>
                <w:sz w:val="18"/>
                <w:szCs w:val="18"/>
              </w:rPr>
            </w:pPr>
            <w:r w:rsidRPr="006256C9">
              <w:rPr>
                <w:rFonts w:ascii="Cambria" w:hAnsi="Cambria"/>
                <w:b/>
                <w:color w:val="000000"/>
                <w:sz w:val="18"/>
                <w:szCs w:val="18"/>
              </w:rPr>
              <w:t>142,00</w:t>
            </w:r>
          </w:p>
        </w:tc>
        <w:tc>
          <w:tcPr>
            <w:tcW w:w="1401" w:type="dxa"/>
            <w:shd w:val="clear" w:color="auto" w:fill="auto"/>
            <w:vAlign w:val="center"/>
            <w:hideMark/>
          </w:tcPr>
          <w:p w:rsidR="006256C9" w:rsidRPr="006256C9" w:rsidRDefault="006256C9" w:rsidP="006256C9">
            <w:pPr>
              <w:jc w:val="center"/>
              <w:rPr>
                <w:rFonts w:ascii="Cambria" w:hAnsi="Cambria"/>
                <w:color w:val="000000"/>
                <w:sz w:val="18"/>
                <w:szCs w:val="18"/>
              </w:rPr>
            </w:pPr>
          </w:p>
        </w:tc>
        <w:tc>
          <w:tcPr>
            <w:tcW w:w="1183" w:type="dxa"/>
            <w:shd w:val="clear" w:color="auto" w:fill="auto"/>
            <w:vAlign w:val="center"/>
            <w:hideMark/>
          </w:tcPr>
          <w:p w:rsidR="006256C9" w:rsidRPr="006256C9" w:rsidRDefault="006256C9" w:rsidP="006256C9">
            <w:pPr>
              <w:jc w:val="center"/>
              <w:rPr>
                <w:rFonts w:ascii="Cambria" w:hAnsi="Cambria"/>
                <w:color w:val="000000"/>
                <w:sz w:val="18"/>
                <w:szCs w:val="18"/>
              </w:rPr>
            </w:pPr>
          </w:p>
        </w:tc>
        <w:tc>
          <w:tcPr>
            <w:tcW w:w="1246" w:type="dxa"/>
            <w:shd w:val="clear" w:color="auto" w:fill="auto"/>
            <w:vAlign w:val="center"/>
            <w:hideMark/>
          </w:tcPr>
          <w:p w:rsidR="006256C9" w:rsidRPr="006256C9" w:rsidRDefault="006256C9" w:rsidP="006256C9">
            <w:pPr>
              <w:jc w:val="center"/>
              <w:rPr>
                <w:rFonts w:ascii="Cambria" w:hAnsi="Cambria"/>
                <w:color w:val="000000"/>
                <w:sz w:val="18"/>
                <w:szCs w:val="18"/>
              </w:rPr>
            </w:pPr>
          </w:p>
        </w:tc>
      </w:tr>
    </w:tbl>
    <w:p w:rsidR="00E7419B" w:rsidRDefault="00E7419B" w:rsidP="00861A77">
      <w:pPr>
        <w:rPr>
          <w:rFonts w:eastAsiaTheme="majorEastAsia" w:cstheme="majorBidi"/>
          <w:b/>
          <w:bCs/>
          <w:sz w:val="28"/>
          <w:szCs w:val="28"/>
        </w:rPr>
      </w:pPr>
    </w:p>
    <w:p w:rsidR="00D97AE8" w:rsidRDefault="00D97AE8" w:rsidP="00D97AE8">
      <w:pPr>
        <w:jc w:val="center"/>
        <w:rPr>
          <w:rFonts w:asciiTheme="majorHAnsi" w:eastAsiaTheme="minorHAnsi" w:hAnsiTheme="majorHAnsi" w:cstheme="minorBidi"/>
          <w:b/>
          <w:sz w:val="20"/>
          <w:szCs w:val="23"/>
          <w:lang w:eastAsia="en-US"/>
        </w:rPr>
      </w:pPr>
      <w:r w:rsidRPr="00D461C3">
        <w:rPr>
          <w:rFonts w:asciiTheme="majorHAnsi" w:eastAsiaTheme="minorHAnsi" w:hAnsiTheme="majorHAnsi" w:cstheme="minorBidi"/>
          <w:b/>
          <w:sz w:val="20"/>
          <w:szCs w:val="23"/>
          <w:lang w:eastAsia="en-US"/>
        </w:rPr>
        <w:t>Использованные корректировки</w:t>
      </w:r>
      <w:r>
        <w:rPr>
          <w:rFonts w:asciiTheme="majorHAnsi" w:eastAsiaTheme="minorHAnsi" w:hAnsiTheme="majorHAnsi" w:cstheme="minorBidi"/>
          <w:b/>
          <w:sz w:val="20"/>
          <w:szCs w:val="23"/>
          <w:lang w:eastAsia="en-US"/>
        </w:rPr>
        <w:t>:</w:t>
      </w:r>
    </w:p>
    <w:p w:rsidR="00D97AE8" w:rsidRPr="00D97AE8" w:rsidRDefault="00D97AE8" w:rsidP="00D97AE8">
      <w:pPr>
        <w:jc w:val="center"/>
        <w:rPr>
          <w:rFonts w:asciiTheme="majorHAnsi" w:eastAsiaTheme="minorHAnsi" w:hAnsiTheme="majorHAnsi" w:cstheme="minorBidi"/>
          <w:b/>
          <w:sz w:val="20"/>
          <w:szCs w:val="23"/>
          <w:lang w:eastAsia="en-US"/>
        </w:rPr>
      </w:pPr>
    </w:p>
    <w:p w:rsidR="00D97AE8" w:rsidRPr="00D97AE8" w:rsidRDefault="00D97AE8" w:rsidP="00D97AE8">
      <w:pPr>
        <w:autoSpaceDE w:val="0"/>
        <w:autoSpaceDN w:val="0"/>
        <w:adjustRightInd w:val="0"/>
        <w:ind w:firstLine="709"/>
        <w:jc w:val="both"/>
        <w:rPr>
          <w:rFonts w:ascii="Cambria" w:eastAsiaTheme="minorHAnsi" w:hAnsi="Cambria" w:cs="Cambria"/>
          <w:color w:val="000000"/>
          <w:sz w:val="20"/>
          <w:szCs w:val="20"/>
          <w:lang w:eastAsia="en-US"/>
        </w:rPr>
      </w:pPr>
      <w:r w:rsidRPr="00D97AE8">
        <w:rPr>
          <w:rFonts w:ascii="Cambria" w:eastAsiaTheme="minorHAnsi" w:hAnsi="Cambria" w:cs="Cambria"/>
          <w:b/>
          <w:bCs/>
          <w:color w:val="000000"/>
          <w:sz w:val="20"/>
          <w:szCs w:val="20"/>
          <w:lang w:eastAsia="en-US"/>
        </w:rPr>
        <w:lastRenderedPageBreak/>
        <w:t xml:space="preserve">Корректировка на условия предложения </w:t>
      </w:r>
      <w:r w:rsidRPr="00D97AE8">
        <w:rPr>
          <w:rFonts w:ascii="Cambria" w:eastAsiaTheme="minorHAnsi" w:hAnsi="Cambria" w:cs="Cambria"/>
          <w:color w:val="000000"/>
          <w:sz w:val="20"/>
          <w:szCs w:val="20"/>
          <w:lang w:eastAsia="en-US"/>
        </w:rPr>
        <w:t xml:space="preserve">– по аналогии корректировки с целью оценки сравнительным подходом. </w:t>
      </w:r>
    </w:p>
    <w:p w:rsidR="00960AC6" w:rsidRDefault="00D97AE8" w:rsidP="00D97AE8">
      <w:pPr>
        <w:ind w:firstLine="709"/>
        <w:jc w:val="both"/>
        <w:rPr>
          <w:rFonts w:eastAsiaTheme="majorEastAsia" w:cstheme="majorBidi"/>
          <w:b/>
          <w:bCs/>
          <w:sz w:val="28"/>
          <w:szCs w:val="28"/>
        </w:rPr>
      </w:pPr>
      <w:r w:rsidRPr="00D97AE8">
        <w:rPr>
          <w:rFonts w:ascii="Cambria" w:eastAsiaTheme="minorHAnsi" w:hAnsi="Cambria" w:cs="Cambria"/>
          <w:color w:val="000000"/>
          <w:sz w:val="20"/>
          <w:szCs w:val="20"/>
          <w:lang w:eastAsia="en-US"/>
        </w:rPr>
        <w:t xml:space="preserve">В настоящем отчете применена корректировка согласно методике Лейфера Л.А., научного руководителя ЗАО "Приволжский Центр финансового консалтинга и оценки" , кандидатя технических наук, Член-корреспондент Российской Академии Проблем Качества, Вице-президентя РОО, руководитель Комитета по информационно-аналитическому обеспечению, Член Президиума Экспертного Совета РОО, Председателя Правления Нижегородского областного отделения Общероссийской общественной организации "Российское общество оценщиков", научного консультанта по программе профессиональной подготовки по оценочной деятельности при Нижегородском Государственном Университете им. Лобачевского Н.И. и составляет </w:t>
      </w:r>
      <w:r>
        <w:rPr>
          <w:rFonts w:ascii="Cambria" w:eastAsiaTheme="minorHAnsi" w:hAnsi="Cambria" w:cs="Cambria"/>
          <w:color w:val="000000"/>
          <w:sz w:val="20"/>
          <w:szCs w:val="20"/>
          <w:lang w:eastAsia="en-US"/>
        </w:rPr>
        <w:t>1</w:t>
      </w:r>
      <w:r w:rsidR="006256C9">
        <w:rPr>
          <w:rFonts w:ascii="Cambria" w:eastAsiaTheme="minorHAnsi" w:hAnsi="Cambria" w:cs="Cambria"/>
          <w:color w:val="000000"/>
          <w:sz w:val="20"/>
          <w:szCs w:val="20"/>
          <w:lang w:eastAsia="en-US"/>
        </w:rPr>
        <w:t>5</w:t>
      </w:r>
      <w:r w:rsidRPr="00D97AE8">
        <w:rPr>
          <w:rFonts w:ascii="Cambria" w:eastAsiaTheme="minorHAnsi" w:hAnsi="Cambria" w:cs="Cambria"/>
          <w:color w:val="000000"/>
          <w:sz w:val="20"/>
          <w:szCs w:val="20"/>
          <w:lang w:eastAsia="en-US"/>
        </w:rPr>
        <w:t xml:space="preserve"> %.</w:t>
      </w:r>
    </w:p>
    <w:p w:rsidR="00960AC6" w:rsidRDefault="00D97AE8" w:rsidP="00D97AE8">
      <w:pPr>
        <w:jc w:val="center"/>
        <w:rPr>
          <w:rFonts w:eastAsiaTheme="majorEastAsia" w:cstheme="majorBidi"/>
          <w:b/>
          <w:bCs/>
          <w:sz w:val="28"/>
          <w:szCs w:val="28"/>
        </w:rPr>
      </w:pPr>
      <w:r>
        <w:rPr>
          <w:noProof/>
        </w:rPr>
        <w:drawing>
          <wp:inline distT="0" distB="0" distL="0" distR="0" wp14:anchorId="3D548E3A" wp14:editId="6FE11BBD">
            <wp:extent cx="6253457" cy="340743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4238" t="20703" r="17816" b="16923"/>
                    <a:stretch/>
                  </pic:blipFill>
                  <pic:spPr bwMode="auto">
                    <a:xfrm>
                      <a:off x="0" y="0"/>
                      <a:ext cx="6283512" cy="3423811"/>
                    </a:xfrm>
                    <a:prstGeom prst="rect">
                      <a:avLst/>
                    </a:prstGeom>
                    <a:ln>
                      <a:noFill/>
                    </a:ln>
                    <a:extLst>
                      <a:ext uri="{53640926-AAD7-44D8-BBD7-CCE9431645EC}">
                        <a14:shadowObscured xmlns:a14="http://schemas.microsoft.com/office/drawing/2010/main"/>
                      </a:ext>
                    </a:extLst>
                  </pic:spPr>
                </pic:pic>
              </a:graphicData>
            </a:graphic>
          </wp:inline>
        </w:drawing>
      </w:r>
    </w:p>
    <w:p w:rsidR="00960AC6" w:rsidRDefault="00960AC6" w:rsidP="00861A77">
      <w:pPr>
        <w:rPr>
          <w:rFonts w:eastAsiaTheme="majorEastAsia" w:cstheme="majorBidi"/>
          <w:b/>
          <w:bCs/>
          <w:sz w:val="28"/>
          <w:szCs w:val="28"/>
        </w:rPr>
      </w:pPr>
    </w:p>
    <w:p w:rsidR="00960AC6" w:rsidRDefault="00D97AE8" w:rsidP="00D97AE8">
      <w:pPr>
        <w:ind w:firstLine="709"/>
        <w:jc w:val="both"/>
        <w:rPr>
          <w:rFonts w:asciiTheme="majorHAnsi" w:hAnsiTheme="majorHAnsi"/>
          <w:sz w:val="20"/>
          <w:szCs w:val="20"/>
        </w:rPr>
      </w:pPr>
      <w:r w:rsidRPr="00D97AE8">
        <w:rPr>
          <w:rFonts w:asciiTheme="majorHAnsi" w:hAnsiTheme="majorHAnsi"/>
          <w:b/>
          <w:bCs/>
          <w:i/>
          <w:iCs/>
          <w:sz w:val="20"/>
          <w:szCs w:val="20"/>
        </w:rPr>
        <w:t xml:space="preserve">Корректировка на местоположение </w:t>
      </w:r>
      <w:r w:rsidRPr="00D97AE8">
        <w:rPr>
          <w:rFonts w:asciiTheme="majorHAnsi" w:hAnsiTheme="majorHAnsi"/>
          <w:sz w:val="20"/>
          <w:szCs w:val="20"/>
        </w:rPr>
        <w:t xml:space="preserve">объекта учитывает различие в уровне цен, характерных для расположения аналогов и оцениваемого объекта. На величину поправки на местоположение оказывают влияние: уровень развития рынка недвижимости в районе, в котором расположен объект-аналог, удаленность от центра города, удаленность от остановок транспорта. </w:t>
      </w:r>
    </w:p>
    <w:p w:rsidR="00D97AE8" w:rsidRPr="00D97AE8" w:rsidRDefault="00D97AE8" w:rsidP="00D97AE8">
      <w:pPr>
        <w:ind w:firstLine="709"/>
        <w:jc w:val="both"/>
        <w:rPr>
          <w:rFonts w:asciiTheme="majorHAnsi" w:eastAsiaTheme="majorEastAsia" w:hAnsiTheme="majorHAnsi" w:cstheme="majorBidi"/>
          <w:b/>
          <w:bCs/>
          <w:sz w:val="28"/>
          <w:szCs w:val="28"/>
        </w:rPr>
      </w:pPr>
      <w:r>
        <w:rPr>
          <w:rFonts w:asciiTheme="majorHAnsi" w:hAnsiTheme="majorHAnsi"/>
          <w:sz w:val="20"/>
          <w:szCs w:val="20"/>
        </w:rPr>
        <w:t>Местоположение объектов аналогов сопоставимо с местом расположения объекта оценки – корректировка не применялась</w:t>
      </w:r>
    </w:p>
    <w:p w:rsidR="00960AC6" w:rsidRDefault="00960AC6" w:rsidP="00861A77">
      <w:pPr>
        <w:rPr>
          <w:rFonts w:eastAsiaTheme="majorEastAsia" w:cstheme="majorBidi"/>
          <w:b/>
          <w:bCs/>
          <w:sz w:val="28"/>
          <w:szCs w:val="28"/>
        </w:rPr>
      </w:pPr>
    </w:p>
    <w:p w:rsidR="00960AC6" w:rsidRDefault="00D97AE8" w:rsidP="00D97AE8">
      <w:pPr>
        <w:jc w:val="center"/>
        <w:rPr>
          <w:rFonts w:asciiTheme="majorHAnsi" w:hAnsiTheme="majorHAnsi"/>
          <w:b/>
          <w:bCs/>
          <w:sz w:val="20"/>
          <w:szCs w:val="20"/>
        </w:rPr>
      </w:pPr>
      <w:r w:rsidRPr="00D97AE8">
        <w:rPr>
          <w:rFonts w:asciiTheme="majorHAnsi" w:hAnsiTheme="majorHAnsi"/>
          <w:b/>
          <w:bCs/>
          <w:sz w:val="20"/>
          <w:szCs w:val="20"/>
        </w:rPr>
        <w:t>Анализ чистого операционного дохода</w:t>
      </w:r>
    </w:p>
    <w:p w:rsidR="00D97AE8" w:rsidRPr="00D97AE8" w:rsidRDefault="00D97AE8" w:rsidP="00D97AE8">
      <w:pPr>
        <w:jc w:val="both"/>
        <w:rPr>
          <w:rFonts w:asciiTheme="majorHAnsi" w:eastAsiaTheme="majorEastAsia" w:hAnsiTheme="majorHAnsi" w:cstheme="majorBidi"/>
          <w:b/>
          <w:bCs/>
          <w:sz w:val="28"/>
          <w:szCs w:val="28"/>
        </w:rPr>
      </w:pPr>
    </w:p>
    <w:tbl>
      <w:tblPr>
        <w:tblW w:w="6804" w:type="dxa"/>
        <w:tblInd w:w="1526"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567"/>
        <w:gridCol w:w="3827"/>
        <w:gridCol w:w="709"/>
        <w:gridCol w:w="1701"/>
      </w:tblGrid>
      <w:tr w:rsidR="006C1CD3" w:rsidRPr="00212FA7" w:rsidTr="006256C9">
        <w:trPr>
          <w:trHeight w:val="20"/>
        </w:trPr>
        <w:tc>
          <w:tcPr>
            <w:tcW w:w="567" w:type="dxa"/>
            <w:tcBorders>
              <w:top w:val="double" w:sz="4" w:space="0" w:color="auto"/>
              <w:bottom w:val="single" w:sz="6" w:space="0" w:color="auto"/>
            </w:tcBorders>
            <w:shd w:val="clear" w:color="000000" w:fill="F2F2F2" w:themeFill="background1" w:themeFillShade="F2"/>
            <w:vAlign w:val="center"/>
            <w:hideMark/>
          </w:tcPr>
          <w:p w:rsidR="00D97AE8" w:rsidRPr="00212FA7" w:rsidRDefault="00D97AE8" w:rsidP="00D97AE8">
            <w:pPr>
              <w:jc w:val="center"/>
              <w:rPr>
                <w:rFonts w:asciiTheme="majorHAnsi" w:hAnsiTheme="majorHAnsi"/>
                <w:b/>
                <w:bCs/>
                <w:sz w:val="18"/>
                <w:szCs w:val="18"/>
              </w:rPr>
            </w:pPr>
            <w:r w:rsidRPr="00212FA7">
              <w:rPr>
                <w:rFonts w:asciiTheme="majorHAnsi" w:hAnsiTheme="majorHAnsi"/>
                <w:b/>
                <w:bCs/>
                <w:sz w:val="18"/>
                <w:szCs w:val="18"/>
              </w:rPr>
              <w:t>№ п/п</w:t>
            </w:r>
          </w:p>
        </w:tc>
        <w:tc>
          <w:tcPr>
            <w:tcW w:w="3827" w:type="dxa"/>
            <w:tcBorders>
              <w:top w:val="double" w:sz="4" w:space="0" w:color="auto"/>
              <w:bottom w:val="single" w:sz="6" w:space="0" w:color="auto"/>
            </w:tcBorders>
            <w:shd w:val="clear" w:color="000000" w:fill="F2F2F2" w:themeFill="background1" w:themeFillShade="F2"/>
            <w:vAlign w:val="center"/>
            <w:hideMark/>
          </w:tcPr>
          <w:p w:rsidR="00D97AE8" w:rsidRPr="00212FA7" w:rsidRDefault="00D97AE8" w:rsidP="00D97AE8">
            <w:pPr>
              <w:jc w:val="center"/>
              <w:rPr>
                <w:rFonts w:asciiTheme="majorHAnsi" w:hAnsiTheme="majorHAnsi"/>
                <w:b/>
                <w:bCs/>
                <w:sz w:val="18"/>
                <w:szCs w:val="18"/>
              </w:rPr>
            </w:pPr>
            <w:r w:rsidRPr="00212FA7">
              <w:rPr>
                <w:rFonts w:asciiTheme="majorHAnsi" w:hAnsiTheme="majorHAnsi"/>
                <w:b/>
                <w:bCs/>
                <w:sz w:val="18"/>
                <w:szCs w:val="18"/>
              </w:rPr>
              <w:t>Наименование показателя</w:t>
            </w:r>
          </w:p>
        </w:tc>
        <w:tc>
          <w:tcPr>
            <w:tcW w:w="709" w:type="dxa"/>
            <w:tcBorders>
              <w:top w:val="double" w:sz="4" w:space="0" w:color="auto"/>
              <w:bottom w:val="single" w:sz="6" w:space="0" w:color="auto"/>
            </w:tcBorders>
            <w:shd w:val="clear" w:color="000000" w:fill="F2F2F2" w:themeFill="background1" w:themeFillShade="F2"/>
            <w:vAlign w:val="center"/>
            <w:hideMark/>
          </w:tcPr>
          <w:p w:rsidR="00D97AE8" w:rsidRPr="00212FA7" w:rsidRDefault="00D97AE8" w:rsidP="00D97AE8">
            <w:pPr>
              <w:jc w:val="center"/>
              <w:rPr>
                <w:rFonts w:asciiTheme="majorHAnsi" w:hAnsiTheme="majorHAnsi"/>
                <w:b/>
                <w:bCs/>
                <w:sz w:val="18"/>
                <w:szCs w:val="18"/>
              </w:rPr>
            </w:pPr>
            <w:r w:rsidRPr="00212FA7">
              <w:rPr>
                <w:rFonts w:asciiTheme="majorHAnsi" w:hAnsiTheme="majorHAnsi"/>
                <w:b/>
                <w:bCs/>
                <w:sz w:val="18"/>
                <w:szCs w:val="18"/>
              </w:rPr>
              <w:t>Ед. изм.</w:t>
            </w:r>
          </w:p>
        </w:tc>
        <w:tc>
          <w:tcPr>
            <w:tcW w:w="1701" w:type="dxa"/>
            <w:tcBorders>
              <w:top w:val="double" w:sz="4" w:space="0" w:color="auto"/>
              <w:bottom w:val="single" w:sz="6" w:space="0" w:color="auto"/>
            </w:tcBorders>
            <w:shd w:val="clear" w:color="000000" w:fill="F2F2F2" w:themeFill="background1" w:themeFillShade="F2"/>
            <w:vAlign w:val="center"/>
            <w:hideMark/>
          </w:tcPr>
          <w:p w:rsidR="00D97AE8" w:rsidRPr="00212FA7" w:rsidRDefault="00D97AE8" w:rsidP="00D97AE8">
            <w:pPr>
              <w:jc w:val="center"/>
              <w:rPr>
                <w:rFonts w:asciiTheme="majorHAnsi" w:hAnsiTheme="majorHAnsi"/>
                <w:b/>
                <w:bCs/>
                <w:sz w:val="18"/>
                <w:szCs w:val="18"/>
              </w:rPr>
            </w:pPr>
            <w:r w:rsidRPr="00212FA7">
              <w:rPr>
                <w:rFonts w:asciiTheme="majorHAnsi" w:hAnsiTheme="majorHAnsi"/>
                <w:b/>
                <w:bCs/>
                <w:sz w:val="18"/>
                <w:szCs w:val="18"/>
              </w:rPr>
              <w:t>Значение показателей</w:t>
            </w:r>
          </w:p>
        </w:tc>
      </w:tr>
      <w:tr w:rsidR="006256C9" w:rsidRPr="00212FA7" w:rsidTr="006256C9">
        <w:trPr>
          <w:trHeight w:val="20"/>
        </w:trPr>
        <w:tc>
          <w:tcPr>
            <w:tcW w:w="567" w:type="dxa"/>
            <w:tcBorders>
              <w:top w:val="single" w:sz="6" w:space="0" w:color="auto"/>
            </w:tcBorders>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1</w:t>
            </w:r>
          </w:p>
        </w:tc>
        <w:tc>
          <w:tcPr>
            <w:tcW w:w="3827" w:type="dxa"/>
            <w:tcBorders>
              <w:top w:val="single" w:sz="6" w:space="0" w:color="auto"/>
            </w:tcBorders>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Общая площадь объекта</w:t>
            </w:r>
          </w:p>
        </w:tc>
        <w:tc>
          <w:tcPr>
            <w:tcW w:w="709" w:type="dxa"/>
            <w:tcBorders>
              <w:top w:val="single" w:sz="6" w:space="0" w:color="auto"/>
            </w:tcBorders>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м2</w:t>
            </w:r>
          </w:p>
        </w:tc>
        <w:tc>
          <w:tcPr>
            <w:tcW w:w="1701" w:type="dxa"/>
            <w:tcBorders>
              <w:top w:val="single" w:sz="6" w:space="0" w:color="auto"/>
            </w:tcBorders>
            <w:shd w:val="clear" w:color="auto" w:fill="auto"/>
            <w:vAlign w:val="center"/>
            <w:hideMark/>
          </w:tcPr>
          <w:p w:rsidR="006256C9" w:rsidRPr="006256C9" w:rsidRDefault="006256C9" w:rsidP="006256C9">
            <w:pPr>
              <w:jc w:val="center"/>
              <w:rPr>
                <w:rFonts w:ascii="Cambria" w:hAnsi="Cambria"/>
                <w:sz w:val="18"/>
                <w:szCs w:val="18"/>
              </w:rPr>
            </w:pPr>
            <w:r w:rsidRPr="006256C9">
              <w:rPr>
                <w:rFonts w:ascii="Cambria" w:hAnsi="Cambria"/>
                <w:sz w:val="18"/>
                <w:szCs w:val="18"/>
              </w:rPr>
              <w:t>8371,50</w:t>
            </w:r>
          </w:p>
        </w:tc>
      </w:tr>
      <w:tr w:rsidR="006256C9" w:rsidRPr="00212FA7" w:rsidTr="006C1CD3">
        <w:trPr>
          <w:trHeight w:val="20"/>
        </w:trPr>
        <w:tc>
          <w:tcPr>
            <w:tcW w:w="567" w:type="dxa"/>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2</w:t>
            </w:r>
          </w:p>
        </w:tc>
        <w:tc>
          <w:tcPr>
            <w:tcW w:w="3827" w:type="dxa"/>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Средняя стоимость аренды 1 м</w:t>
            </w:r>
            <w:r w:rsidRPr="00212FA7">
              <w:rPr>
                <w:rFonts w:asciiTheme="majorHAnsi" w:hAnsiTheme="majorHAnsi"/>
                <w:sz w:val="18"/>
                <w:szCs w:val="18"/>
                <w:vertAlign w:val="superscript"/>
              </w:rPr>
              <w:t>2</w:t>
            </w:r>
            <w:r w:rsidRPr="00212FA7">
              <w:rPr>
                <w:rFonts w:asciiTheme="majorHAnsi" w:hAnsiTheme="majorHAnsi"/>
                <w:sz w:val="18"/>
                <w:szCs w:val="18"/>
              </w:rPr>
              <w:t xml:space="preserve"> </w:t>
            </w:r>
          </w:p>
        </w:tc>
        <w:tc>
          <w:tcPr>
            <w:tcW w:w="709" w:type="dxa"/>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руб./</w:t>
            </w:r>
          </w:p>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мес.</w:t>
            </w:r>
          </w:p>
        </w:tc>
        <w:tc>
          <w:tcPr>
            <w:tcW w:w="1701" w:type="dxa"/>
            <w:shd w:val="clear" w:color="auto" w:fill="auto"/>
            <w:vAlign w:val="center"/>
            <w:hideMark/>
          </w:tcPr>
          <w:p w:rsidR="006256C9" w:rsidRPr="006256C9" w:rsidRDefault="006256C9" w:rsidP="006256C9">
            <w:pPr>
              <w:jc w:val="center"/>
              <w:rPr>
                <w:rFonts w:ascii="Cambria" w:hAnsi="Cambria"/>
                <w:sz w:val="18"/>
                <w:szCs w:val="18"/>
              </w:rPr>
            </w:pPr>
            <w:r w:rsidRPr="006256C9">
              <w:rPr>
                <w:rFonts w:ascii="Cambria" w:hAnsi="Cambria"/>
                <w:sz w:val="18"/>
                <w:szCs w:val="18"/>
              </w:rPr>
              <w:t>142,00</w:t>
            </w:r>
          </w:p>
        </w:tc>
      </w:tr>
      <w:tr w:rsidR="006256C9" w:rsidRPr="00212FA7" w:rsidTr="006C1CD3">
        <w:trPr>
          <w:trHeight w:val="20"/>
        </w:trPr>
        <w:tc>
          <w:tcPr>
            <w:tcW w:w="567" w:type="dxa"/>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3</w:t>
            </w:r>
          </w:p>
        </w:tc>
        <w:tc>
          <w:tcPr>
            <w:tcW w:w="3827" w:type="dxa"/>
            <w:shd w:val="clear" w:color="auto" w:fill="auto"/>
            <w:vAlign w:val="center"/>
            <w:hideMark/>
          </w:tcPr>
          <w:p w:rsidR="006256C9" w:rsidRPr="00212FA7" w:rsidRDefault="006256C9" w:rsidP="00D97AE8">
            <w:pPr>
              <w:jc w:val="center"/>
              <w:rPr>
                <w:rFonts w:asciiTheme="majorHAnsi" w:hAnsiTheme="majorHAnsi"/>
                <w:b/>
                <w:bCs/>
                <w:sz w:val="18"/>
                <w:szCs w:val="18"/>
              </w:rPr>
            </w:pPr>
            <w:r w:rsidRPr="00212FA7">
              <w:rPr>
                <w:rFonts w:asciiTheme="majorHAnsi" w:hAnsiTheme="majorHAnsi"/>
                <w:b/>
                <w:bCs/>
                <w:sz w:val="18"/>
                <w:szCs w:val="18"/>
              </w:rPr>
              <w:t>Потенциальный валовой доход (ПВД)</w:t>
            </w:r>
          </w:p>
        </w:tc>
        <w:tc>
          <w:tcPr>
            <w:tcW w:w="709" w:type="dxa"/>
            <w:shd w:val="clear" w:color="auto" w:fill="auto"/>
            <w:vAlign w:val="center"/>
            <w:hideMark/>
          </w:tcPr>
          <w:p w:rsidR="006256C9" w:rsidRPr="00212FA7" w:rsidRDefault="006256C9" w:rsidP="00D97AE8">
            <w:pPr>
              <w:jc w:val="center"/>
              <w:rPr>
                <w:rFonts w:asciiTheme="majorHAnsi" w:hAnsiTheme="majorHAnsi"/>
                <w:b/>
                <w:bCs/>
                <w:sz w:val="18"/>
                <w:szCs w:val="18"/>
              </w:rPr>
            </w:pPr>
            <w:r w:rsidRPr="00212FA7">
              <w:rPr>
                <w:rFonts w:asciiTheme="majorHAnsi" w:hAnsiTheme="majorHAnsi"/>
                <w:b/>
                <w:bCs/>
                <w:sz w:val="18"/>
                <w:szCs w:val="18"/>
              </w:rPr>
              <w:t>руб./мес.</w:t>
            </w:r>
          </w:p>
        </w:tc>
        <w:tc>
          <w:tcPr>
            <w:tcW w:w="1701" w:type="dxa"/>
            <w:shd w:val="clear" w:color="auto" w:fill="auto"/>
            <w:vAlign w:val="center"/>
            <w:hideMark/>
          </w:tcPr>
          <w:p w:rsidR="006256C9" w:rsidRPr="006256C9" w:rsidRDefault="006256C9" w:rsidP="006256C9">
            <w:pPr>
              <w:jc w:val="center"/>
              <w:rPr>
                <w:rFonts w:ascii="Cambria" w:hAnsi="Cambria"/>
                <w:b/>
                <w:bCs/>
                <w:sz w:val="18"/>
                <w:szCs w:val="18"/>
              </w:rPr>
            </w:pPr>
            <w:r w:rsidRPr="006256C9">
              <w:rPr>
                <w:rFonts w:ascii="Cambria" w:hAnsi="Cambria"/>
                <w:b/>
                <w:bCs/>
                <w:sz w:val="18"/>
                <w:szCs w:val="18"/>
              </w:rPr>
              <w:t>1 188 753</w:t>
            </w:r>
          </w:p>
        </w:tc>
      </w:tr>
      <w:tr w:rsidR="006256C9" w:rsidRPr="00212FA7" w:rsidTr="006C1CD3">
        <w:trPr>
          <w:trHeight w:val="20"/>
        </w:trPr>
        <w:tc>
          <w:tcPr>
            <w:tcW w:w="567" w:type="dxa"/>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4</w:t>
            </w:r>
          </w:p>
        </w:tc>
        <w:tc>
          <w:tcPr>
            <w:tcW w:w="3827" w:type="dxa"/>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Заполняемость объекта</w:t>
            </w:r>
          </w:p>
        </w:tc>
        <w:tc>
          <w:tcPr>
            <w:tcW w:w="709" w:type="dxa"/>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w:t>
            </w:r>
          </w:p>
        </w:tc>
        <w:tc>
          <w:tcPr>
            <w:tcW w:w="1701" w:type="dxa"/>
            <w:shd w:val="clear" w:color="000000" w:fill="auto"/>
            <w:vAlign w:val="center"/>
            <w:hideMark/>
          </w:tcPr>
          <w:p w:rsidR="006256C9" w:rsidRPr="006256C9" w:rsidRDefault="006256C9" w:rsidP="006256C9">
            <w:pPr>
              <w:jc w:val="center"/>
              <w:rPr>
                <w:rFonts w:ascii="Cambria" w:hAnsi="Cambria"/>
                <w:sz w:val="18"/>
                <w:szCs w:val="18"/>
              </w:rPr>
            </w:pPr>
            <w:r w:rsidRPr="006256C9">
              <w:rPr>
                <w:rFonts w:ascii="Cambria" w:hAnsi="Cambria"/>
                <w:sz w:val="18"/>
                <w:szCs w:val="18"/>
              </w:rPr>
              <w:t>80%</w:t>
            </w:r>
          </w:p>
        </w:tc>
      </w:tr>
      <w:tr w:rsidR="006256C9" w:rsidRPr="00212FA7" w:rsidTr="006C1CD3">
        <w:trPr>
          <w:trHeight w:val="20"/>
        </w:trPr>
        <w:tc>
          <w:tcPr>
            <w:tcW w:w="567" w:type="dxa"/>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5</w:t>
            </w:r>
          </w:p>
        </w:tc>
        <w:tc>
          <w:tcPr>
            <w:tcW w:w="3827" w:type="dxa"/>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Эффективный валовой доход (ЭВД)</w:t>
            </w:r>
          </w:p>
        </w:tc>
        <w:tc>
          <w:tcPr>
            <w:tcW w:w="709" w:type="dxa"/>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руб./</w:t>
            </w:r>
          </w:p>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мес.</w:t>
            </w:r>
          </w:p>
        </w:tc>
        <w:tc>
          <w:tcPr>
            <w:tcW w:w="1701" w:type="dxa"/>
            <w:shd w:val="clear" w:color="auto" w:fill="auto"/>
            <w:vAlign w:val="center"/>
            <w:hideMark/>
          </w:tcPr>
          <w:p w:rsidR="006256C9" w:rsidRPr="006256C9" w:rsidRDefault="006256C9" w:rsidP="006256C9">
            <w:pPr>
              <w:jc w:val="center"/>
              <w:rPr>
                <w:rFonts w:ascii="Cambria" w:hAnsi="Cambria"/>
                <w:sz w:val="18"/>
                <w:szCs w:val="18"/>
              </w:rPr>
            </w:pPr>
            <w:r w:rsidRPr="006256C9">
              <w:rPr>
                <w:rFonts w:ascii="Cambria" w:hAnsi="Cambria"/>
                <w:sz w:val="18"/>
                <w:szCs w:val="18"/>
              </w:rPr>
              <w:t>951 002</w:t>
            </w:r>
          </w:p>
        </w:tc>
      </w:tr>
      <w:tr w:rsidR="006256C9" w:rsidRPr="00212FA7" w:rsidTr="006C1CD3">
        <w:trPr>
          <w:trHeight w:val="20"/>
        </w:trPr>
        <w:tc>
          <w:tcPr>
            <w:tcW w:w="567" w:type="dxa"/>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6</w:t>
            </w:r>
          </w:p>
        </w:tc>
        <w:tc>
          <w:tcPr>
            <w:tcW w:w="3827" w:type="dxa"/>
            <w:shd w:val="clear" w:color="auto" w:fill="auto"/>
            <w:vAlign w:val="center"/>
            <w:hideMark/>
          </w:tcPr>
          <w:p w:rsidR="006256C9" w:rsidRPr="00212FA7" w:rsidRDefault="006256C9" w:rsidP="00D97AE8">
            <w:pPr>
              <w:jc w:val="center"/>
              <w:rPr>
                <w:rFonts w:asciiTheme="majorHAnsi" w:hAnsiTheme="majorHAnsi"/>
                <w:b/>
                <w:bCs/>
                <w:sz w:val="18"/>
                <w:szCs w:val="18"/>
              </w:rPr>
            </w:pPr>
            <w:r w:rsidRPr="00212FA7">
              <w:rPr>
                <w:rFonts w:asciiTheme="majorHAnsi" w:hAnsiTheme="majorHAnsi"/>
                <w:b/>
                <w:bCs/>
                <w:sz w:val="18"/>
                <w:szCs w:val="18"/>
              </w:rPr>
              <w:t>Эффективный валовой доход (ЭВД)</w:t>
            </w:r>
          </w:p>
        </w:tc>
        <w:tc>
          <w:tcPr>
            <w:tcW w:w="709" w:type="dxa"/>
            <w:shd w:val="clear" w:color="auto" w:fill="auto"/>
            <w:vAlign w:val="center"/>
            <w:hideMark/>
          </w:tcPr>
          <w:p w:rsidR="006256C9" w:rsidRPr="00212FA7" w:rsidRDefault="006256C9" w:rsidP="00D97AE8">
            <w:pPr>
              <w:jc w:val="center"/>
              <w:rPr>
                <w:rFonts w:asciiTheme="majorHAnsi" w:hAnsiTheme="majorHAnsi"/>
                <w:b/>
                <w:bCs/>
                <w:sz w:val="18"/>
                <w:szCs w:val="18"/>
              </w:rPr>
            </w:pPr>
            <w:r w:rsidRPr="00212FA7">
              <w:rPr>
                <w:rFonts w:asciiTheme="majorHAnsi" w:hAnsiTheme="majorHAnsi"/>
                <w:b/>
                <w:bCs/>
                <w:sz w:val="18"/>
                <w:szCs w:val="18"/>
              </w:rPr>
              <w:t>руб./</w:t>
            </w:r>
          </w:p>
          <w:p w:rsidR="006256C9" w:rsidRPr="00212FA7" w:rsidRDefault="006256C9" w:rsidP="00D97AE8">
            <w:pPr>
              <w:jc w:val="center"/>
              <w:rPr>
                <w:rFonts w:asciiTheme="majorHAnsi" w:hAnsiTheme="majorHAnsi"/>
                <w:b/>
                <w:bCs/>
                <w:sz w:val="18"/>
                <w:szCs w:val="18"/>
              </w:rPr>
            </w:pPr>
            <w:r w:rsidRPr="00212FA7">
              <w:rPr>
                <w:rFonts w:asciiTheme="majorHAnsi" w:hAnsiTheme="majorHAnsi"/>
                <w:b/>
                <w:bCs/>
                <w:sz w:val="18"/>
                <w:szCs w:val="18"/>
              </w:rPr>
              <w:t>год</w:t>
            </w:r>
          </w:p>
        </w:tc>
        <w:tc>
          <w:tcPr>
            <w:tcW w:w="1701" w:type="dxa"/>
            <w:shd w:val="clear" w:color="auto" w:fill="auto"/>
            <w:vAlign w:val="center"/>
            <w:hideMark/>
          </w:tcPr>
          <w:p w:rsidR="006256C9" w:rsidRPr="006256C9" w:rsidRDefault="006256C9" w:rsidP="006256C9">
            <w:pPr>
              <w:jc w:val="center"/>
              <w:rPr>
                <w:rFonts w:ascii="Cambria" w:hAnsi="Cambria"/>
                <w:b/>
                <w:bCs/>
                <w:sz w:val="18"/>
                <w:szCs w:val="18"/>
              </w:rPr>
            </w:pPr>
            <w:r w:rsidRPr="006256C9">
              <w:rPr>
                <w:rFonts w:ascii="Cambria" w:hAnsi="Cambria"/>
                <w:b/>
                <w:bCs/>
                <w:sz w:val="18"/>
                <w:szCs w:val="18"/>
              </w:rPr>
              <w:t>11 412 029</w:t>
            </w:r>
          </w:p>
        </w:tc>
      </w:tr>
      <w:tr w:rsidR="006256C9" w:rsidRPr="00212FA7" w:rsidTr="006C1CD3">
        <w:trPr>
          <w:trHeight w:val="20"/>
        </w:trPr>
        <w:tc>
          <w:tcPr>
            <w:tcW w:w="567" w:type="dxa"/>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7</w:t>
            </w:r>
          </w:p>
        </w:tc>
        <w:tc>
          <w:tcPr>
            <w:tcW w:w="3827" w:type="dxa"/>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Процент операционных расходов от потенциального валового дохода</w:t>
            </w:r>
          </w:p>
        </w:tc>
        <w:tc>
          <w:tcPr>
            <w:tcW w:w="709" w:type="dxa"/>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w:t>
            </w:r>
          </w:p>
        </w:tc>
        <w:tc>
          <w:tcPr>
            <w:tcW w:w="1701" w:type="dxa"/>
            <w:shd w:val="clear" w:color="auto" w:fill="auto"/>
            <w:vAlign w:val="center"/>
            <w:hideMark/>
          </w:tcPr>
          <w:p w:rsidR="006256C9" w:rsidRPr="006256C9" w:rsidRDefault="006256C9" w:rsidP="006256C9">
            <w:pPr>
              <w:jc w:val="center"/>
              <w:rPr>
                <w:rFonts w:ascii="Cambria" w:hAnsi="Cambria"/>
                <w:sz w:val="18"/>
                <w:szCs w:val="18"/>
              </w:rPr>
            </w:pPr>
            <w:r w:rsidRPr="006256C9">
              <w:rPr>
                <w:rFonts w:ascii="Cambria" w:hAnsi="Cambria"/>
                <w:sz w:val="18"/>
                <w:szCs w:val="18"/>
              </w:rPr>
              <w:t>21%</w:t>
            </w:r>
          </w:p>
        </w:tc>
      </w:tr>
      <w:tr w:rsidR="006256C9" w:rsidRPr="00212FA7" w:rsidTr="006C1CD3">
        <w:trPr>
          <w:trHeight w:val="20"/>
        </w:trPr>
        <w:tc>
          <w:tcPr>
            <w:tcW w:w="567" w:type="dxa"/>
            <w:shd w:val="clear" w:color="auto" w:fill="auto"/>
            <w:vAlign w:val="center"/>
            <w:hideMark/>
          </w:tcPr>
          <w:p w:rsidR="006256C9" w:rsidRPr="00212FA7" w:rsidRDefault="006256C9" w:rsidP="00D97AE8">
            <w:pPr>
              <w:jc w:val="center"/>
              <w:rPr>
                <w:rFonts w:asciiTheme="majorHAnsi" w:hAnsiTheme="majorHAnsi"/>
                <w:sz w:val="18"/>
                <w:szCs w:val="18"/>
              </w:rPr>
            </w:pPr>
            <w:r w:rsidRPr="00212FA7">
              <w:rPr>
                <w:rFonts w:asciiTheme="majorHAnsi" w:hAnsiTheme="majorHAnsi"/>
                <w:sz w:val="18"/>
                <w:szCs w:val="18"/>
              </w:rPr>
              <w:t>8</w:t>
            </w:r>
          </w:p>
        </w:tc>
        <w:tc>
          <w:tcPr>
            <w:tcW w:w="3827" w:type="dxa"/>
            <w:shd w:val="clear" w:color="auto" w:fill="auto"/>
            <w:vAlign w:val="center"/>
            <w:hideMark/>
          </w:tcPr>
          <w:p w:rsidR="006256C9" w:rsidRPr="00212FA7" w:rsidRDefault="006256C9" w:rsidP="00D97AE8">
            <w:pPr>
              <w:jc w:val="center"/>
              <w:rPr>
                <w:rFonts w:asciiTheme="majorHAnsi" w:hAnsiTheme="majorHAnsi"/>
                <w:b/>
                <w:bCs/>
                <w:iCs/>
                <w:sz w:val="18"/>
                <w:szCs w:val="18"/>
              </w:rPr>
            </w:pPr>
            <w:r w:rsidRPr="00212FA7">
              <w:rPr>
                <w:rFonts w:asciiTheme="majorHAnsi" w:hAnsiTheme="majorHAnsi"/>
                <w:b/>
                <w:bCs/>
                <w:iCs/>
                <w:sz w:val="18"/>
                <w:szCs w:val="18"/>
              </w:rPr>
              <w:t>Операционные издержки</w:t>
            </w:r>
          </w:p>
        </w:tc>
        <w:tc>
          <w:tcPr>
            <w:tcW w:w="709" w:type="dxa"/>
            <w:shd w:val="clear" w:color="auto" w:fill="auto"/>
            <w:vAlign w:val="center"/>
            <w:hideMark/>
          </w:tcPr>
          <w:p w:rsidR="006256C9" w:rsidRPr="00711FC6" w:rsidRDefault="006256C9" w:rsidP="00D97AE8">
            <w:pPr>
              <w:jc w:val="center"/>
              <w:rPr>
                <w:rFonts w:asciiTheme="majorHAnsi" w:hAnsiTheme="majorHAnsi"/>
                <w:b/>
                <w:bCs/>
                <w:iCs/>
                <w:sz w:val="18"/>
                <w:szCs w:val="18"/>
              </w:rPr>
            </w:pPr>
            <w:r w:rsidRPr="00212FA7">
              <w:rPr>
                <w:rFonts w:asciiTheme="majorHAnsi" w:hAnsiTheme="majorHAnsi"/>
                <w:b/>
                <w:bCs/>
                <w:i/>
                <w:iCs/>
                <w:sz w:val="18"/>
                <w:szCs w:val="18"/>
              </w:rPr>
              <w:t> </w:t>
            </w:r>
            <w:r>
              <w:rPr>
                <w:rFonts w:asciiTheme="majorHAnsi" w:hAnsiTheme="majorHAnsi"/>
                <w:b/>
                <w:bCs/>
                <w:iCs/>
                <w:sz w:val="18"/>
                <w:szCs w:val="18"/>
              </w:rPr>
              <w:t>руб.</w:t>
            </w:r>
          </w:p>
        </w:tc>
        <w:tc>
          <w:tcPr>
            <w:tcW w:w="1701" w:type="dxa"/>
            <w:shd w:val="clear" w:color="auto" w:fill="auto"/>
            <w:vAlign w:val="center"/>
            <w:hideMark/>
          </w:tcPr>
          <w:p w:rsidR="006256C9" w:rsidRPr="006256C9" w:rsidRDefault="006256C9" w:rsidP="006256C9">
            <w:pPr>
              <w:jc w:val="center"/>
              <w:rPr>
                <w:rFonts w:ascii="Cambria" w:hAnsi="Cambria"/>
                <w:b/>
                <w:bCs/>
                <w:sz w:val="18"/>
                <w:szCs w:val="18"/>
              </w:rPr>
            </w:pPr>
            <w:r w:rsidRPr="006256C9">
              <w:rPr>
                <w:rFonts w:ascii="Cambria" w:hAnsi="Cambria"/>
                <w:b/>
                <w:bCs/>
                <w:sz w:val="18"/>
                <w:szCs w:val="18"/>
              </w:rPr>
              <w:t>2 995 658</w:t>
            </w:r>
          </w:p>
        </w:tc>
      </w:tr>
      <w:tr w:rsidR="006256C9" w:rsidRPr="00212FA7" w:rsidTr="006C1CD3">
        <w:trPr>
          <w:trHeight w:val="20"/>
        </w:trPr>
        <w:tc>
          <w:tcPr>
            <w:tcW w:w="567" w:type="dxa"/>
            <w:shd w:val="clear" w:color="000000" w:fill="FFFFFF"/>
            <w:vAlign w:val="center"/>
            <w:hideMark/>
          </w:tcPr>
          <w:p w:rsidR="006256C9" w:rsidRPr="00212FA7" w:rsidRDefault="006256C9" w:rsidP="00D97AE8">
            <w:pPr>
              <w:jc w:val="center"/>
              <w:rPr>
                <w:rFonts w:asciiTheme="majorHAnsi" w:hAnsiTheme="majorHAnsi"/>
                <w:bCs/>
                <w:sz w:val="18"/>
                <w:szCs w:val="18"/>
              </w:rPr>
            </w:pPr>
            <w:r w:rsidRPr="00212FA7">
              <w:rPr>
                <w:rFonts w:asciiTheme="majorHAnsi" w:hAnsiTheme="majorHAnsi"/>
                <w:bCs/>
                <w:sz w:val="18"/>
                <w:szCs w:val="18"/>
              </w:rPr>
              <w:t>9</w:t>
            </w:r>
          </w:p>
        </w:tc>
        <w:tc>
          <w:tcPr>
            <w:tcW w:w="3827" w:type="dxa"/>
            <w:shd w:val="clear" w:color="000000" w:fill="FFFFFF"/>
            <w:vAlign w:val="center"/>
            <w:hideMark/>
          </w:tcPr>
          <w:p w:rsidR="006256C9" w:rsidRPr="00212FA7" w:rsidRDefault="006256C9" w:rsidP="00D97AE8">
            <w:pPr>
              <w:jc w:val="center"/>
              <w:rPr>
                <w:rFonts w:asciiTheme="majorHAnsi" w:hAnsiTheme="majorHAnsi"/>
                <w:b/>
                <w:bCs/>
                <w:sz w:val="18"/>
                <w:szCs w:val="18"/>
              </w:rPr>
            </w:pPr>
            <w:r w:rsidRPr="00212FA7">
              <w:rPr>
                <w:rFonts w:asciiTheme="majorHAnsi" w:hAnsiTheme="majorHAnsi"/>
                <w:b/>
                <w:bCs/>
                <w:sz w:val="18"/>
                <w:szCs w:val="18"/>
              </w:rPr>
              <w:t>Чистый операционный доход  (ЧОД), п.6-п.11</w:t>
            </w:r>
          </w:p>
        </w:tc>
        <w:tc>
          <w:tcPr>
            <w:tcW w:w="709" w:type="dxa"/>
            <w:shd w:val="clear" w:color="000000" w:fill="FFFFFF"/>
            <w:vAlign w:val="center"/>
            <w:hideMark/>
          </w:tcPr>
          <w:p w:rsidR="006256C9" w:rsidRPr="00212FA7" w:rsidRDefault="006256C9" w:rsidP="00D97AE8">
            <w:pPr>
              <w:jc w:val="center"/>
              <w:rPr>
                <w:rFonts w:asciiTheme="majorHAnsi" w:hAnsiTheme="majorHAnsi"/>
                <w:b/>
                <w:bCs/>
                <w:sz w:val="18"/>
                <w:szCs w:val="18"/>
              </w:rPr>
            </w:pPr>
            <w:r>
              <w:rPr>
                <w:rFonts w:asciiTheme="majorHAnsi" w:hAnsiTheme="majorHAnsi"/>
                <w:b/>
                <w:bCs/>
                <w:sz w:val="18"/>
                <w:szCs w:val="18"/>
              </w:rPr>
              <w:t>руб.</w:t>
            </w:r>
            <w:r w:rsidRPr="00212FA7">
              <w:rPr>
                <w:rFonts w:asciiTheme="majorHAnsi" w:hAnsiTheme="majorHAnsi"/>
                <w:b/>
                <w:bCs/>
                <w:sz w:val="18"/>
                <w:szCs w:val="18"/>
              </w:rPr>
              <w:t> </w:t>
            </w:r>
          </w:p>
        </w:tc>
        <w:tc>
          <w:tcPr>
            <w:tcW w:w="1701" w:type="dxa"/>
            <w:shd w:val="clear" w:color="000000" w:fill="FFFFFF"/>
            <w:vAlign w:val="center"/>
            <w:hideMark/>
          </w:tcPr>
          <w:p w:rsidR="006256C9" w:rsidRPr="006256C9" w:rsidRDefault="006256C9" w:rsidP="006256C9">
            <w:pPr>
              <w:jc w:val="center"/>
              <w:rPr>
                <w:rFonts w:ascii="Cambria" w:hAnsi="Cambria"/>
                <w:b/>
                <w:bCs/>
                <w:sz w:val="18"/>
                <w:szCs w:val="18"/>
              </w:rPr>
            </w:pPr>
            <w:r w:rsidRPr="006256C9">
              <w:rPr>
                <w:rFonts w:ascii="Cambria" w:hAnsi="Cambria"/>
                <w:b/>
                <w:bCs/>
                <w:sz w:val="18"/>
                <w:szCs w:val="18"/>
              </w:rPr>
              <w:t>8 416 371,00</w:t>
            </w:r>
          </w:p>
        </w:tc>
      </w:tr>
    </w:tbl>
    <w:p w:rsidR="00960AC6" w:rsidRDefault="00960AC6" w:rsidP="00861A77">
      <w:pPr>
        <w:rPr>
          <w:rFonts w:eastAsiaTheme="majorEastAsia" w:cstheme="majorBidi"/>
          <w:b/>
          <w:bCs/>
          <w:sz w:val="28"/>
          <w:szCs w:val="28"/>
        </w:rPr>
      </w:pPr>
    </w:p>
    <w:p w:rsidR="00960AC6" w:rsidRPr="006C1CD3" w:rsidRDefault="006C1CD3" w:rsidP="006C1CD3">
      <w:pPr>
        <w:ind w:firstLine="709"/>
        <w:jc w:val="both"/>
        <w:rPr>
          <w:rFonts w:asciiTheme="majorHAnsi" w:hAnsiTheme="majorHAnsi"/>
          <w:sz w:val="20"/>
          <w:szCs w:val="20"/>
        </w:rPr>
      </w:pPr>
      <w:r w:rsidRPr="006C1CD3">
        <w:rPr>
          <w:rFonts w:asciiTheme="majorHAnsi" w:hAnsiTheme="majorHAnsi"/>
          <w:b/>
          <w:bCs/>
          <w:sz w:val="20"/>
          <w:szCs w:val="20"/>
        </w:rPr>
        <w:lastRenderedPageBreak/>
        <w:t xml:space="preserve">Заполняемость </w:t>
      </w:r>
      <w:r w:rsidRPr="006C1CD3">
        <w:rPr>
          <w:rFonts w:asciiTheme="majorHAnsi" w:hAnsiTheme="majorHAnsi"/>
          <w:sz w:val="20"/>
          <w:szCs w:val="20"/>
        </w:rPr>
        <w:t xml:space="preserve">оцениваемых объектов определена исходя из проведенного анализа данного сегмента рынка, привлекательности с точки зрения размера сдаваемых площадей, места расположения объекта. В настоящем отчете определена согласно методике Лейфера Л.А., научного руководителя ЗАО "Приволжский Центр финансового консалтинга и оценки" , кандидата технических наук, Член-корреспондент Российской Академии Проблем Качества, Вице-президента РОО, руководитель Комитета по информационно-аналитическому обеспечению, Член Президиума Экспертного Совета РОО, Председателя Правления Нижегородского областного отделения Общероссийской общественной организации "Российское общество оценщиков", научного консультанта по программе профессиональной подготовки по оценочной деятельности при Нижегородском Государственном Университете им. Лобачевского Н.И. и составляет </w:t>
      </w:r>
      <w:r w:rsidR="002176D6" w:rsidRPr="002176D6">
        <w:rPr>
          <w:rFonts w:asciiTheme="majorHAnsi" w:hAnsiTheme="majorHAnsi"/>
          <w:b/>
          <w:sz w:val="20"/>
          <w:szCs w:val="20"/>
        </w:rPr>
        <w:t>80 % = 100% - 20%.</w:t>
      </w:r>
    </w:p>
    <w:p w:rsidR="006C1CD3" w:rsidRDefault="006C1CD3" w:rsidP="006C1CD3">
      <w:pPr>
        <w:ind w:firstLine="709"/>
        <w:jc w:val="both"/>
        <w:rPr>
          <w:sz w:val="20"/>
          <w:szCs w:val="20"/>
        </w:rPr>
      </w:pPr>
    </w:p>
    <w:p w:rsidR="006C1CD3" w:rsidRDefault="006C1CD3" w:rsidP="006C1CD3">
      <w:pPr>
        <w:ind w:firstLine="709"/>
        <w:jc w:val="both"/>
        <w:rPr>
          <w:rFonts w:eastAsiaTheme="majorEastAsia" w:cstheme="majorBidi"/>
          <w:b/>
          <w:bCs/>
          <w:sz w:val="28"/>
          <w:szCs w:val="28"/>
        </w:rPr>
      </w:pPr>
      <w:r w:rsidRPr="006C1CD3">
        <w:rPr>
          <w:rFonts w:eastAsiaTheme="majorEastAsia" w:cstheme="majorBidi"/>
          <w:b/>
          <w:bCs/>
          <w:noProof/>
          <w:sz w:val="28"/>
          <w:szCs w:val="28"/>
        </w:rPr>
        <w:drawing>
          <wp:inline distT="0" distB="0" distL="0" distR="0" wp14:anchorId="29F2053E" wp14:editId="44BFDE6F">
            <wp:extent cx="5352539" cy="2589581"/>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7">
                      <a:extLst>
                        <a:ext uri="{28A0092B-C50C-407E-A947-70E740481C1C}">
                          <a14:useLocalDpi xmlns:a14="http://schemas.microsoft.com/office/drawing/2010/main" val="0"/>
                        </a:ext>
                      </a:extLst>
                    </a:blip>
                    <a:srcRect b="48041"/>
                    <a:stretch/>
                  </pic:blipFill>
                  <pic:spPr bwMode="auto">
                    <a:xfrm>
                      <a:off x="0" y="0"/>
                      <a:ext cx="5358919" cy="2592668"/>
                    </a:xfrm>
                    <a:prstGeom prst="rect">
                      <a:avLst/>
                    </a:prstGeom>
                    <a:noFill/>
                    <a:ln>
                      <a:noFill/>
                    </a:ln>
                    <a:extLst>
                      <a:ext uri="{53640926-AAD7-44D8-BBD7-CCE9431645EC}">
                        <a14:shadowObscured xmlns:a14="http://schemas.microsoft.com/office/drawing/2010/main"/>
                      </a:ext>
                    </a:extLst>
                  </pic:spPr>
                </pic:pic>
              </a:graphicData>
            </a:graphic>
          </wp:inline>
        </w:drawing>
      </w:r>
    </w:p>
    <w:p w:rsidR="006C1CD3" w:rsidRDefault="006C1CD3" w:rsidP="006C1CD3">
      <w:pPr>
        <w:ind w:firstLine="709"/>
        <w:jc w:val="both"/>
        <w:rPr>
          <w:rFonts w:eastAsiaTheme="majorEastAsia" w:cstheme="majorBidi"/>
          <w:b/>
          <w:bCs/>
          <w:sz w:val="28"/>
          <w:szCs w:val="28"/>
        </w:rPr>
      </w:pPr>
    </w:p>
    <w:p w:rsidR="006C1CD3" w:rsidRDefault="006C1CD3" w:rsidP="006C1CD3">
      <w:pPr>
        <w:ind w:firstLine="709"/>
        <w:jc w:val="both"/>
        <w:rPr>
          <w:rFonts w:asciiTheme="majorHAnsi" w:hAnsiTheme="majorHAnsi"/>
          <w:sz w:val="20"/>
          <w:szCs w:val="20"/>
        </w:rPr>
      </w:pPr>
      <w:r w:rsidRPr="006C1CD3">
        <w:rPr>
          <w:rFonts w:asciiTheme="majorHAnsi" w:hAnsiTheme="majorHAnsi"/>
          <w:b/>
          <w:bCs/>
          <w:sz w:val="20"/>
          <w:szCs w:val="20"/>
        </w:rPr>
        <w:t xml:space="preserve">Процент ожидаемых операционных расходов </w:t>
      </w:r>
      <w:r w:rsidRPr="006C1CD3">
        <w:rPr>
          <w:rFonts w:asciiTheme="majorHAnsi" w:hAnsiTheme="majorHAnsi"/>
          <w:sz w:val="20"/>
          <w:szCs w:val="20"/>
        </w:rPr>
        <w:t>определена в настоящем отчете согласно методике Лейфера Л.А., научного руководителя ЗАО "Приволжский Центр финансового консалтинга и оценки" , кандидата технических наук, Член-корреспондент Российской Академии Проблем Качества, Вице-президента РОО, руководитель Комитета по информационно-аналитическому обеспечению, Член Президиума Экспертного Совета РОО, Председателя Правления Нижегородского областного отделения Общероссийской общественной организации "Российское общество оценщиков", научного консультанта по программе профессиональной подготовки по оценочной деятельности при Нижегородском Государственном Университете им. Лобачевского Н.И.</w:t>
      </w:r>
      <w:r>
        <w:rPr>
          <w:rStyle w:val="af5"/>
          <w:rFonts w:asciiTheme="majorHAnsi" w:hAnsiTheme="majorHAnsi"/>
          <w:sz w:val="20"/>
          <w:szCs w:val="20"/>
        </w:rPr>
        <w:footnoteReference w:id="8"/>
      </w:r>
      <w:r w:rsidRPr="006C1CD3">
        <w:rPr>
          <w:rFonts w:asciiTheme="majorHAnsi" w:hAnsiTheme="majorHAnsi"/>
          <w:sz w:val="20"/>
          <w:szCs w:val="20"/>
        </w:rPr>
        <w:t>, и составляет –2</w:t>
      </w:r>
      <w:r w:rsidR="00711FC6">
        <w:rPr>
          <w:rFonts w:asciiTheme="majorHAnsi" w:hAnsiTheme="majorHAnsi"/>
          <w:sz w:val="20"/>
          <w:szCs w:val="20"/>
        </w:rPr>
        <w:t>1</w:t>
      </w:r>
      <w:r w:rsidRPr="006C1CD3">
        <w:rPr>
          <w:rFonts w:asciiTheme="majorHAnsi" w:hAnsiTheme="majorHAnsi"/>
          <w:sz w:val="20"/>
          <w:szCs w:val="20"/>
        </w:rPr>
        <w:t xml:space="preserve"> % от ПВД.</w:t>
      </w:r>
      <w:r>
        <w:rPr>
          <w:rStyle w:val="af5"/>
          <w:rFonts w:asciiTheme="majorHAnsi" w:hAnsiTheme="majorHAnsi"/>
          <w:sz w:val="20"/>
          <w:szCs w:val="20"/>
        </w:rPr>
        <w:footnoteReference w:id="9"/>
      </w:r>
    </w:p>
    <w:p w:rsidR="006C1CD3" w:rsidRDefault="006C1CD3" w:rsidP="006C1CD3">
      <w:pPr>
        <w:ind w:firstLine="709"/>
        <w:jc w:val="both"/>
        <w:rPr>
          <w:rFonts w:asciiTheme="majorHAnsi" w:hAnsiTheme="majorHAnsi"/>
          <w:sz w:val="20"/>
          <w:szCs w:val="20"/>
        </w:rPr>
      </w:pPr>
    </w:p>
    <w:p w:rsidR="006C1CD3" w:rsidRDefault="006C1CD3" w:rsidP="006C1CD3">
      <w:pPr>
        <w:jc w:val="center"/>
        <w:rPr>
          <w:rFonts w:asciiTheme="majorHAnsi" w:hAnsiTheme="majorHAnsi"/>
          <w:sz w:val="20"/>
          <w:szCs w:val="20"/>
        </w:rPr>
      </w:pPr>
      <w:r>
        <w:rPr>
          <w:noProof/>
        </w:rPr>
        <w:drawing>
          <wp:inline distT="0" distB="0" distL="0" distR="0" wp14:anchorId="0FC52A09" wp14:editId="19EA495A">
            <wp:extent cx="4594823" cy="22860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619750" cy="2298402"/>
                    </a:xfrm>
                    <a:prstGeom prst="rect">
                      <a:avLst/>
                    </a:prstGeom>
                  </pic:spPr>
                </pic:pic>
              </a:graphicData>
            </a:graphic>
          </wp:inline>
        </w:drawing>
      </w:r>
    </w:p>
    <w:p w:rsidR="006C1CD3" w:rsidRDefault="006C1CD3" w:rsidP="006C1CD3">
      <w:pPr>
        <w:jc w:val="center"/>
        <w:rPr>
          <w:rFonts w:asciiTheme="majorHAnsi" w:hAnsiTheme="majorHAnsi"/>
          <w:sz w:val="20"/>
          <w:szCs w:val="20"/>
        </w:rPr>
      </w:pPr>
    </w:p>
    <w:p w:rsidR="006C1CD3" w:rsidRPr="006C1CD3" w:rsidRDefault="006C1CD3" w:rsidP="006C1CD3">
      <w:pPr>
        <w:autoSpaceDE w:val="0"/>
        <w:autoSpaceDN w:val="0"/>
        <w:adjustRightInd w:val="0"/>
        <w:ind w:firstLine="709"/>
        <w:jc w:val="both"/>
        <w:rPr>
          <w:rFonts w:ascii="Cambria" w:eastAsiaTheme="minorHAnsi" w:hAnsi="Cambria" w:cs="Cambria"/>
          <w:color w:val="000000"/>
          <w:sz w:val="20"/>
          <w:szCs w:val="20"/>
          <w:lang w:eastAsia="en-US"/>
        </w:rPr>
      </w:pPr>
      <w:r w:rsidRPr="006C1CD3">
        <w:rPr>
          <w:rFonts w:ascii="Cambria" w:eastAsiaTheme="minorHAnsi" w:hAnsi="Cambria" w:cs="Cambria"/>
          <w:b/>
          <w:bCs/>
          <w:color w:val="000000"/>
          <w:sz w:val="20"/>
          <w:szCs w:val="20"/>
          <w:lang w:eastAsia="en-US"/>
        </w:rPr>
        <w:t xml:space="preserve">Расчет издержек (расходов на содержание) </w:t>
      </w:r>
    </w:p>
    <w:p w:rsidR="006C1CD3" w:rsidRPr="006C1CD3" w:rsidRDefault="006C1CD3" w:rsidP="006C1CD3">
      <w:pPr>
        <w:autoSpaceDE w:val="0"/>
        <w:autoSpaceDN w:val="0"/>
        <w:adjustRightInd w:val="0"/>
        <w:ind w:firstLine="709"/>
        <w:jc w:val="both"/>
        <w:rPr>
          <w:rFonts w:ascii="Cambria" w:eastAsiaTheme="minorHAnsi" w:hAnsi="Cambria" w:cs="Cambria"/>
          <w:color w:val="000000"/>
          <w:sz w:val="20"/>
          <w:szCs w:val="20"/>
          <w:lang w:eastAsia="en-US"/>
        </w:rPr>
      </w:pPr>
      <w:r w:rsidRPr="006C1CD3">
        <w:rPr>
          <w:rFonts w:ascii="Cambria" w:eastAsiaTheme="minorHAnsi" w:hAnsi="Cambria" w:cs="Cambria"/>
          <w:color w:val="000000"/>
          <w:sz w:val="20"/>
          <w:szCs w:val="20"/>
          <w:lang w:eastAsia="en-US"/>
        </w:rPr>
        <w:lastRenderedPageBreak/>
        <w:t xml:space="preserve">В сложившейся практике все эксплуатационные расходы несет арендатор. Затраты собственника на текущий ремонт также, как правило, компенсируются арендатором отдельно. Поэтому эксплуатационные расходы не учитываем. </w:t>
      </w:r>
    </w:p>
    <w:p w:rsidR="006C1CD3" w:rsidRPr="006C1CD3" w:rsidRDefault="006C1CD3" w:rsidP="006C1CD3">
      <w:pPr>
        <w:autoSpaceDE w:val="0"/>
        <w:autoSpaceDN w:val="0"/>
        <w:adjustRightInd w:val="0"/>
        <w:ind w:firstLine="709"/>
        <w:jc w:val="both"/>
        <w:rPr>
          <w:rFonts w:ascii="Cambria" w:eastAsiaTheme="minorHAnsi" w:hAnsi="Cambria" w:cs="Cambria"/>
          <w:color w:val="000000"/>
          <w:sz w:val="20"/>
          <w:szCs w:val="20"/>
          <w:lang w:eastAsia="en-US"/>
        </w:rPr>
      </w:pPr>
      <w:r w:rsidRPr="006C1CD3">
        <w:rPr>
          <w:rFonts w:ascii="Cambria" w:eastAsiaTheme="minorHAnsi" w:hAnsi="Cambria" w:cs="Cambria"/>
          <w:b/>
          <w:bCs/>
          <w:color w:val="000000"/>
          <w:sz w:val="20"/>
          <w:szCs w:val="20"/>
          <w:lang w:eastAsia="en-US"/>
        </w:rPr>
        <w:t xml:space="preserve">Расходы на управление и страховку </w:t>
      </w:r>
    </w:p>
    <w:p w:rsidR="006C1CD3" w:rsidRDefault="006C1CD3" w:rsidP="006C1CD3">
      <w:pPr>
        <w:ind w:firstLine="709"/>
        <w:jc w:val="both"/>
        <w:rPr>
          <w:rFonts w:ascii="Cambria" w:eastAsiaTheme="minorHAnsi" w:hAnsi="Cambria" w:cs="Cambria"/>
          <w:color w:val="000000"/>
          <w:sz w:val="20"/>
          <w:szCs w:val="20"/>
          <w:lang w:eastAsia="en-US"/>
        </w:rPr>
      </w:pPr>
      <w:r w:rsidRPr="006C1CD3">
        <w:rPr>
          <w:rFonts w:ascii="Cambria" w:eastAsiaTheme="minorHAnsi" w:hAnsi="Cambria" w:cs="Cambria"/>
          <w:color w:val="000000"/>
          <w:sz w:val="20"/>
          <w:szCs w:val="20"/>
          <w:lang w:eastAsia="en-US"/>
        </w:rPr>
        <w:t>Расходы арендодателя по управлению объектом принимаем на уровне 3,0 % валовых доходов. Страховые платежи принимаем на уровне 0,5% ВС (расчет с учетом округления).</w:t>
      </w:r>
    </w:p>
    <w:p w:rsidR="00702221" w:rsidRDefault="00702221" w:rsidP="006C1CD3">
      <w:pPr>
        <w:ind w:firstLine="709"/>
        <w:jc w:val="both"/>
        <w:rPr>
          <w:rFonts w:ascii="Cambria" w:eastAsiaTheme="minorHAnsi" w:hAnsi="Cambria" w:cs="Cambria"/>
          <w:color w:val="000000"/>
          <w:sz w:val="20"/>
          <w:szCs w:val="20"/>
          <w:lang w:eastAsia="en-US"/>
        </w:rPr>
      </w:pPr>
    </w:p>
    <w:p w:rsidR="00390A68" w:rsidRDefault="00390A68" w:rsidP="006C1CD3">
      <w:pPr>
        <w:ind w:firstLine="709"/>
        <w:jc w:val="both"/>
        <w:rPr>
          <w:rFonts w:ascii="Cambria" w:eastAsiaTheme="minorHAnsi" w:hAnsi="Cambria" w:cs="Cambria"/>
          <w:color w:val="000000"/>
          <w:sz w:val="20"/>
          <w:szCs w:val="20"/>
          <w:lang w:eastAsia="en-US"/>
        </w:rPr>
      </w:pPr>
    </w:p>
    <w:p w:rsidR="006C1CD3" w:rsidRDefault="00702221" w:rsidP="00390A68">
      <w:pPr>
        <w:ind w:firstLine="142"/>
        <w:jc w:val="center"/>
        <w:rPr>
          <w:rFonts w:asciiTheme="majorHAnsi" w:hAnsiTheme="majorHAnsi"/>
          <w:sz w:val="20"/>
          <w:szCs w:val="20"/>
        </w:rPr>
      </w:pPr>
      <w:r w:rsidRPr="00702221">
        <w:rPr>
          <w:rFonts w:asciiTheme="majorHAnsi" w:hAnsiTheme="majorHAnsi"/>
          <w:noProof/>
          <w:sz w:val="20"/>
          <w:szCs w:val="20"/>
        </w:rPr>
        <w:drawing>
          <wp:inline distT="0" distB="0" distL="0" distR="0" wp14:anchorId="4C0CD05F" wp14:editId="22A29BB7">
            <wp:extent cx="6048375" cy="79914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67004" cy="8016089"/>
                    </a:xfrm>
                    <a:prstGeom prst="rect">
                      <a:avLst/>
                    </a:prstGeom>
                    <a:noFill/>
                    <a:ln>
                      <a:noFill/>
                    </a:ln>
                  </pic:spPr>
                </pic:pic>
              </a:graphicData>
            </a:graphic>
          </wp:inline>
        </w:drawing>
      </w:r>
    </w:p>
    <w:p w:rsidR="00702221" w:rsidRDefault="00702221" w:rsidP="006C1CD3">
      <w:pPr>
        <w:ind w:firstLine="709"/>
        <w:jc w:val="both"/>
        <w:rPr>
          <w:rFonts w:asciiTheme="majorHAnsi" w:hAnsiTheme="majorHAnsi"/>
          <w:sz w:val="20"/>
          <w:szCs w:val="20"/>
        </w:rPr>
      </w:pPr>
    </w:p>
    <w:p w:rsidR="00702221" w:rsidRDefault="00702221" w:rsidP="00702221">
      <w:pPr>
        <w:jc w:val="both"/>
        <w:rPr>
          <w:rFonts w:asciiTheme="majorHAnsi" w:hAnsiTheme="majorHAnsi"/>
          <w:sz w:val="20"/>
          <w:szCs w:val="20"/>
        </w:rPr>
      </w:pPr>
      <w:r w:rsidRPr="00702221">
        <w:rPr>
          <w:rFonts w:asciiTheme="majorHAnsi" w:hAnsiTheme="majorHAnsi"/>
          <w:noProof/>
          <w:sz w:val="20"/>
          <w:szCs w:val="20"/>
        </w:rPr>
        <w:lastRenderedPageBreak/>
        <w:drawing>
          <wp:inline distT="0" distB="0" distL="0" distR="0" wp14:anchorId="533C6EBB" wp14:editId="5070DF10">
            <wp:extent cx="6299447" cy="900597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00368" cy="9007294"/>
                    </a:xfrm>
                    <a:prstGeom prst="rect">
                      <a:avLst/>
                    </a:prstGeom>
                    <a:noFill/>
                    <a:ln>
                      <a:noFill/>
                    </a:ln>
                  </pic:spPr>
                </pic:pic>
              </a:graphicData>
            </a:graphic>
          </wp:inline>
        </w:drawing>
      </w:r>
    </w:p>
    <w:p w:rsidR="00702221" w:rsidRDefault="00702221" w:rsidP="00702221">
      <w:pPr>
        <w:jc w:val="both"/>
        <w:rPr>
          <w:rFonts w:asciiTheme="majorHAnsi" w:hAnsiTheme="majorHAnsi"/>
          <w:sz w:val="20"/>
          <w:szCs w:val="20"/>
        </w:rPr>
      </w:pPr>
    </w:p>
    <w:p w:rsidR="00702221" w:rsidRDefault="00702221" w:rsidP="00702221">
      <w:pPr>
        <w:jc w:val="both"/>
        <w:rPr>
          <w:rFonts w:asciiTheme="majorHAnsi" w:hAnsiTheme="majorHAnsi"/>
          <w:sz w:val="20"/>
          <w:szCs w:val="20"/>
        </w:rPr>
      </w:pPr>
    </w:p>
    <w:p w:rsidR="00702221" w:rsidRPr="00702221" w:rsidRDefault="00702221" w:rsidP="00702221">
      <w:pPr>
        <w:autoSpaceDE w:val="0"/>
        <w:autoSpaceDN w:val="0"/>
        <w:adjustRightInd w:val="0"/>
        <w:ind w:firstLine="709"/>
        <w:jc w:val="both"/>
        <w:rPr>
          <w:rFonts w:ascii="Cambria" w:eastAsiaTheme="minorHAnsi" w:hAnsi="Cambria" w:cs="Cambria"/>
          <w:color w:val="000000"/>
          <w:sz w:val="20"/>
          <w:szCs w:val="20"/>
          <w:lang w:eastAsia="en-US"/>
        </w:rPr>
      </w:pPr>
      <w:r w:rsidRPr="00702221">
        <w:rPr>
          <w:rFonts w:ascii="Cambria" w:eastAsiaTheme="minorHAnsi" w:hAnsi="Cambria" w:cs="Cambria"/>
          <w:b/>
          <w:bCs/>
          <w:color w:val="000000"/>
          <w:sz w:val="20"/>
          <w:szCs w:val="20"/>
          <w:lang w:eastAsia="en-US"/>
        </w:rPr>
        <w:lastRenderedPageBreak/>
        <w:t xml:space="preserve">Расчет ставки дисконтирования и коэффициента капитализации </w:t>
      </w:r>
    </w:p>
    <w:p w:rsidR="00702221" w:rsidRPr="00702221" w:rsidRDefault="00702221" w:rsidP="00702221">
      <w:pPr>
        <w:autoSpaceDE w:val="0"/>
        <w:autoSpaceDN w:val="0"/>
        <w:adjustRightInd w:val="0"/>
        <w:ind w:firstLine="709"/>
        <w:jc w:val="both"/>
        <w:rPr>
          <w:rFonts w:ascii="Cambria" w:eastAsiaTheme="minorHAnsi" w:hAnsi="Cambria" w:cs="Cambria"/>
          <w:color w:val="000000"/>
          <w:sz w:val="20"/>
          <w:szCs w:val="20"/>
          <w:lang w:eastAsia="en-US"/>
        </w:rPr>
      </w:pPr>
      <w:r w:rsidRPr="00702221">
        <w:rPr>
          <w:rFonts w:ascii="Cambria" w:eastAsiaTheme="minorHAnsi" w:hAnsi="Cambria" w:cs="Cambria"/>
          <w:color w:val="000000"/>
          <w:sz w:val="20"/>
          <w:szCs w:val="20"/>
          <w:lang w:eastAsia="en-US"/>
        </w:rPr>
        <w:t xml:space="preserve">Коэффициент капитализации состоит из двух частей: 1) ставки доходности инвестиции (капитала), 2) нормы возврата капитала. Ставка дохода на капитал определяется по </w:t>
      </w:r>
      <w:r w:rsidRPr="00702221">
        <w:rPr>
          <w:rFonts w:ascii="Cambria" w:eastAsiaTheme="minorHAnsi" w:hAnsi="Cambria" w:cs="Cambria"/>
          <w:i/>
          <w:iCs/>
          <w:color w:val="000000"/>
          <w:sz w:val="20"/>
          <w:szCs w:val="20"/>
          <w:lang w:eastAsia="en-US"/>
        </w:rPr>
        <w:t xml:space="preserve">методу кумулятивного построения, </w:t>
      </w:r>
      <w:r w:rsidRPr="00702221">
        <w:rPr>
          <w:rFonts w:ascii="Cambria" w:eastAsiaTheme="minorHAnsi" w:hAnsi="Cambria" w:cs="Cambria"/>
          <w:color w:val="000000"/>
          <w:sz w:val="20"/>
          <w:szCs w:val="20"/>
          <w:lang w:eastAsia="en-US"/>
        </w:rPr>
        <w:t xml:space="preserve">согласно которому она равна сумме безрисковой ставки, поправки на дополнительный риск капиталовложений, поправки на низкую ликвидность и затрат на инвестиционный менеджмент. </w:t>
      </w:r>
    </w:p>
    <w:p w:rsidR="006C1CD3" w:rsidRDefault="00702221" w:rsidP="00702221">
      <w:pPr>
        <w:ind w:firstLine="709"/>
        <w:jc w:val="both"/>
        <w:rPr>
          <w:rFonts w:asciiTheme="majorHAnsi" w:hAnsiTheme="majorHAnsi"/>
          <w:sz w:val="20"/>
          <w:szCs w:val="20"/>
        </w:rPr>
      </w:pPr>
      <w:r w:rsidRPr="00702221">
        <w:rPr>
          <w:rFonts w:ascii="Cambria" w:eastAsiaTheme="minorHAnsi" w:hAnsi="Cambria" w:cs="Cambria"/>
          <w:color w:val="000000"/>
          <w:sz w:val="20"/>
          <w:szCs w:val="20"/>
          <w:lang w:eastAsia="en-US"/>
        </w:rPr>
        <w:t xml:space="preserve">При определении </w:t>
      </w:r>
      <w:r w:rsidRPr="00702221">
        <w:rPr>
          <w:rFonts w:ascii="Cambria" w:eastAsiaTheme="minorHAnsi" w:hAnsi="Cambria" w:cs="Cambria"/>
          <w:i/>
          <w:iCs/>
          <w:color w:val="000000"/>
          <w:sz w:val="20"/>
          <w:szCs w:val="20"/>
          <w:lang w:eastAsia="en-US"/>
        </w:rPr>
        <w:t xml:space="preserve">безрисковой ставки </w:t>
      </w:r>
      <w:r w:rsidRPr="00702221">
        <w:rPr>
          <w:rFonts w:ascii="Cambria" w:eastAsiaTheme="minorHAnsi" w:hAnsi="Cambria" w:cs="Cambria"/>
          <w:color w:val="000000"/>
          <w:sz w:val="20"/>
          <w:szCs w:val="20"/>
          <w:lang w:eastAsia="en-US"/>
        </w:rPr>
        <w:t xml:space="preserve">делается предположение, что инвестор ожидает получить доход от вложений в оцениваемые объекты в размере не менее процентной ставки наиболее надежных активов. Безрисковая ставка рассчитана в размере </w:t>
      </w:r>
      <w:r w:rsidR="002176D6">
        <w:rPr>
          <w:rFonts w:ascii="Cambria" w:eastAsiaTheme="minorHAnsi" w:hAnsi="Cambria" w:cs="Cambria"/>
          <w:color w:val="000000"/>
          <w:sz w:val="20"/>
          <w:szCs w:val="20"/>
          <w:lang w:eastAsia="en-US"/>
        </w:rPr>
        <w:t>5,14</w:t>
      </w:r>
      <w:r w:rsidRPr="00702221">
        <w:rPr>
          <w:rFonts w:ascii="Cambria" w:eastAsiaTheme="minorHAnsi" w:hAnsi="Cambria" w:cs="Cambria"/>
          <w:color w:val="000000"/>
          <w:sz w:val="20"/>
          <w:szCs w:val="20"/>
          <w:lang w:eastAsia="en-US"/>
        </w:rPr>
        <w:t xml:space="preserve"> %.</w:t>
      </w:r>
    </w:p>
    <w:p w:rsidR="006C1CD3" w:rsidRDefault="006C1CD3" w:rsidP="006C1CD3">
      <w:pPr>
        <w:ind w:firstLine="709"/>
        <w:jc w:val="both"/>
        <w:rPr>
          <w:rFonts w:asciiTheme="majorHAnsi" w:hAnsiTheme="majorHAnsi"/>
          <w:sz w:val="20"/>
          <w:szCs w:val="20"/>
        </w:rPr>
      </w:pPr>
    </w:p>
    <w:p w:rsidR="006C1CD3" w:rsidRPr="006C1CD3" w:rsidRDefault="002176D6" w:rsidP="002176D6">
      <w:pPr>
        <w:jc w:val="center"/>
        <w:rPr>
          <w:rFonts w:asciiTheme="majorHAnsi" w:eastAsiaTheme="majorEastAsia" w:hAnsiTheme="majorHAnsi" w:cstheme="majorBidi"/>
          <w:b/>
          <w:bCs/>
          <w:sz w:val="20"/>
          <w:szCs w:val="20"/>
        </w:rPr>
      </w:pPr>
      <w:r>
        <w:rPr>
          <w:noProof/>
        </w:rPr>
        <w:drawing>
          <wp:inline distT="0" distB="0" distL="0" distR="0" wp14:anchorId="152A4E91" wp14:editId="1314DDC8">
            <wp:extent cx="6150255" cy="2257425"/>
            <wp:effectExtent l="0" t="0" r="0" b="0"/>
            <wp:docPr id="1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21"/>
                    <a:srcRect t="4133" b="30579"/>
                    <a:stretch/>
                  </pic:blipFill>
                  <pic:spPr bwMode="auto">
                    <a:xfrm>
                      <a:off x="0" y="0"/>
                      <a:ext cx="6152515" cy="2258255"/>
                    </a:xfrm>
                    <a:prstGeom prst="rect">
                      <a:avLst/>
                    </a:prstGeom>
                    <a:ln>
                      <a:noFill/>
                    </a:ln>
                    <a:extLst>
                      <a:ext uri="{53640926-AAD7-44D8-BBD7-CCE9431645EC}">
                        <a14:shadowObscured xmlns:a14="http://schemas.microsoft.com/office/drawing/2010/main"/>
                      </a:ext>
                    </a:extLst>
                  </pic:spPr>
                </pic:pic>
              </a:graphicData>
            </a:graphic>
          </wp:inline>
        </w:drawing>
      </w:r>
    </w:p>
    <w:p w:rsidR="00702221" w:rsidRPr="00702221" w:rsidRDefault="00702221" w:rsidP="00702221">
      <w:pPr>
        <w:autoSpaceDE w:val="0"/>
        <w:autoSpaceDN w:val="0"/>
        <w:adjustRightInd w:val="0"/>
        <w:ind w:firstLine="709"/>
        <w:jc w:val="both"/>
        <w:rPr>
          <w:rFonts w:ascii="Cambria" w:eastAsiaTheme="minorHAnsi" w:hAnsi="Cambria" w:cs="Cambria"/>
          <w:color w:val="000000"/>
          <w:sz w:val="20"/>
          <w:szCs w:val="20"/>
          <w:lang w:eastAsia="en-US"/>
        </w:rPr>
      </w:pPr>
      <w:r w:rsidRPr="00702221">
        <w:rPr>
          <w:rFonts w:ascii="Cambria" w:eastAsiaTheme="minorHAnsi" w:hAnsi="Cambria" w:cs="Cambria"/>
          <w:i/>
          <w:iCs/>
          <w:color w:val="000000"/>
          <w:sz w:val="20"/>
          <w:szCs w:val="20"/>
          <w:lang w:eastAsia="en-US"/>
        </w:rPr>
        <w:t xml:space="preserve">Надбавка за риск вложения в недвижимость. </w:t>
      </w:r>
      <w:r w:rsidRPr="00702221">
        <w:rPr>
          <w:rFonts w:ascii="Cambria" w:eastAsiaTheme="minorHAnsi" w:hAnsi="Cambria" w:cs="Cambria"/>
          <w:color w:val="000000"/>
          <w:sz w:val="20"/>
          <w:szCs w:val="20"/>
          <w:lang w:eastAsia="en-US"/>
        </w:rPr>
        <w:t xml:space="preserve">В данном случае учитывается возможность случайной потери потребительской стоимости объекта, надбавка может быть принята в размере страховых отчислений в страховых компаниях высшей категории надежности, например, то есть в размере 0,5%. </w:t>
      </w:r>
    </w:p>
    <w:p w:rsidR="00702221" w:rsidRPr="00702221" w:rsidRDefault="00702221" w:rsidP="00702221">
      <w:pPr>
        <w:autoSpaceDE w:val="0"/>
        <w:autoSpaceDN w:val="0"/>
        <w:adjustRightInd w:val="0"/>
        <w:jc w:val="both"/>
        <w:rPr>
          <w:rFonts w:ascii="Cambria" w:eastAsiaTheme="minorHAnsi" w:hAnsi="Cambria" w:cs="Cambria"/>
          <w:color w:val="000000"/>
          <w:sz w:val="20"/>
          <w:szCs w:val="20"/>
          <w:lang w:eastAsia="en-US"/>
        </w:rPr>
      </w:pPr>
      <w:r w:rsidRPr="00702221">
        <w:rPr>
          <w:rFonts w:ascii="Cambria" w:eastAsiaTheme="minorHAnsi" w:hAnsi="Cambria" w:cs="Cambria"/>
          <w:i/>
          <w:iCs/>
          <w:color w:val="000000"/>
          <w:sz w:val="20"/>
          <w:szCs w:val="20"/>
          <w:lang w:eastAsia="en-US"/>
        </w:rPr>
        <w:t>Надбавка за низкую ликвидность</w:t>
      </w:r>
      <w:r w:rsidRPr="00702221">
        <w:rPr>
          <w:rFonts w:ascii="Cambria" w:eastAsiaTheme="minorHAnsi" w:hAnsi="Cambria" w:cs="Cambria"/>
          <w:color w:val="000000"/>
          <w:sz w:val="20"/>
          <w:szCs w:val="20"/>
          <w:lang w:eastAsia="en-US"/>
        </w:rPr>
        <w:t xml:space="preserve">. Фактор ликвидности рынка – это риск, связанный с возможными финансовыми потерями при реализации объекта недвижимости из-за недостаточной развитости или неустойчивости рынка. Срок экспозиции аналогичных объектов составляет порядка от 3 месяцев до 1-го года. Исходя из наиболее оптимального срока экспозиции </w:t>
      </w:r>
      <w:r w:rsidR="002176D6">
        <w:rPr>
          <w:rFonts w:ascii="Cambria" w:eastAsiaTheme="minorHAnsi" w:hAnsi="Cambria" w:cs="Cambria"/>
          <w:color w:val="000000"/>
          <w:sz w:val="20"/>
          <w:szCs w:val="20"/>
          <w:lang w:eastAsia="en-US"/>
        </w:rPr>
        <w:t>6</w:t>
      </w:r>
      <w:r w:rsidRPr="00702221">
        <w:rPr>
          <w:rFonts w:ascii="Cambria" w:eastAsiaTheme="minorHAnsi" w:hAnsi="Cambria" w:cs="Cambria"/>
          <w:color w:val="000000"/>
          <w:sz w:val="20"/>
          <w:szCs w:val="20"/>
          <w:lang w:eastAsia="en-US"/>
        </w:rPr>
        <w:t xml:space="preserve"> мес. можно рассчитать значение данного показателя: </w:t>
      </w:r>
    </w:p>
    <w:p w:rsidR="00702221" w:rsidRPr="00702221" w:rsidRDefault="00702221" w:rsidP="00702221">
      <w:pPr>
        <w:autoSpaceDE w:val="0"/>
        <w:autoSpaceDN w:val="0"/>
        <w:adjustRightInd w:val="0"/>
        <w:jc w:val="center"/>
        <w:rPr>
          <w:rFonts w:ascii="Cambria" w:eastAsiaTheme="minorHAnsi" w:hAnsi="Cambria" w:cs="Cambria"/>
          <w:color w:val="000000"/>
          <w:sz w:val="20"/>
          <w:szCs w:val="20"/>
          <w:lang w:eastAsia="en-US"/>
        </w:rPr>
      </w:pPr>
      <w:r w:rsidRPr="00702221">
        <w:rPr>
          <w:rFonts w:ascii="Cambria" w:eastAsiaTheme="minorHAnsi" w:hAnsi="Cambria" w:cs="Cambria"/>
          <w:color w:val="000000"/>
          <w:sz w:val="20"/>
          <w:szCs w:val="20"/>
          <w:lang w:eastAsia="en-US"/>
        </w:rPr>
        <w:t>П</w:t>
      </w:r>
      <w:r w:rsidRPr="00702221">
        <w:rPr>
          <w:rFonts w:ascii="Cambria" w:eastAsiaTheme="minorHAnsi" w:hAnsi="Cambria" w:cs="Cambria"/>
          <w:color w:val="000000"/>
          <w:sz w:val="13"/>
          <w:szCs w:val="13"/>
          <w:lang w:eastAsia="en-US"/>
        </w:rPr>
        <w:t xml:space="preserve">ликв </w:t>
      </w:r>
      <w:r w:rsidRPr="00702221">
        <w:rPr>
          <w:rFonts w:ascii="Cambria" w:eastAsiaTheme="minorHAnsi" w:hAnsi="Cambria" w:cs="Cambria"/>
          <w:color w:val="000000"/>
          <w:sz w:val="20"/>
          <w:szCs w:val="20"/>
          <w:lang w:eastAsia="en-US"/>
        </w:rPr>
        <w:t>= Т х R / 12,</w:t>
      </w:r>
    </w:p>
    <w:p w:rsidR="00702221" w:rsidRPr="00702221" w:rsidRDefault="00702221" w:rsidP="00702221">
      <w:pPr>
        <w:autoSpaceDE w:val="0"/>
        <w:autoSpaceDN w:val="0"/>
        <w:adjustRightInd w:val="0"/>
        <w:jc w:val="center"/>
        <w:rPr>
          <w:rFonts w:ascii="Cambria" w:eastAsiaTheme="minorHAnsi" w:hAnsi="Cambria" w:cs="Cambria"/>
          <w:color w:val="000000"/>
          <w:sz w:val="20"/>
          <w:szCs w:val="20"/>
          <w:lang w:eastAsia="en-US"/>
        </w:rPr>
      </w:pPr>
      <w:r w:rsidRPr="00702221">
        <w:rPr>
          <w:rFonts w:ascii="Cambria" w:eastAsiaTheme="minorHAnsi" w:hAnsi="Cambria" w:cs="Cambria"/>
          <w:color w:val="000000"/>
          <w:sz w:val="20"/>
          <w:szCs w:val="20"/>
          <w:lang w:eastAsia="en-US"/>
        </w:rPr>
        <w:t>где: T – средний требуемый срок экспозиции объекта (принимаем значение диапазона – 0</w:t>
      </w:r>
      <w:r w:rsidR="002176D6">
        <w:rPr>
          <w:rFonts w:ascii="Cambria" w:eastAsiaTheme="minorHAnsi" w:hAnsi="Cambria" w:cs="Cambria"/>
          <w:color w:val="000000"/>
          <w:sz w:val="20"/>
          <w:szCs w:val="20"/>
          <w:lang w:eastAsia="en-US"/>
        </w:rPr>
        <w:t>6</w:t>
      </w:r>
      <w:r w:rsidRPr="00702221">
        <w:rPr>
          <w:rFonts w:ascii="Cambria" w:eastAsiaTheme="minorHAnsi" w:hAnsi="Cambria" w:cs="Cambria"/>
          <w:color w:val="000000"/>
          <w:sz w:val="20"/>
          <w:szCs w:val="20"/>
          <w:lang w:eastAsia="en-US"/>
        </w:rPr>
        <w:t xml:space="preserve"> мес.),</w:t>
      </w:r>
    </w:p>
    <w:p w:rsidR="002176D6" w:rsidRDefault="002176D6" w:rsidP="00702221">
      <w:pPr>
        <w:jc w:val="center"/>
        <w:rPr>
          <w:rFonts w:ascii="Cambria" w:eastAsiaTheme="minorHAnsi" w:hAnsi="Cambria" w:cs="Cambria"/>
          <w:color w:val="000000"/>
          <w:sz w:val="20"/>
          <w:szCs w:val="20"/>
          <w:lang w:eastAsia="en-US"/>
        </w:rPr>
      </w:pPr>
    </w:p>
    <w:p w:rsidR="00960AC6" w:rsidRDefault="00702221" w:rsidP="00702221">
      <w:pPr>
        <w:jc w:val="center"/>
        <w:rPr>
          <w:rFonts w:ascii="Cambria" w:eastAsiaTheme="minorHAnsi" w:hAnsi="Cambria" w:cs="Cambria"/>
          <w:color w:val="000000"/>
          <w:sz w:val="20"/>
          <w:szCs w:val="20"/>
          <w:lang w:eastAsia="en-US"/>
        </w:rPr>
      </w:pPr>
      <w:r w:rsidRPr="00702221">
        <w:rPr>
          <w:rFonts w:ascii="Cambria" w:eastAsiaTheme="minorHAnsi" w:hAnsi="Cambria" w:cs="Cambria"/>
          <w:color w:val="000000"/>
          <w:sz w:val="20"/>
          <w:szCs w:val="20"/>
          <w:lang w:eastAsia="en-US"/>
        </w:rPr>
        <w:t>R – безрисковая ставка.</w:t>
      </w:r>
    </w:p>
    <w:p w:rsidR="00702221" w:rsidRPr="00702221" w:rsidRDefault="002176D6" w:rsidP="00702221">
      <w:pPr>
        <w:autoSpaceDE w:val="0"/>
        <w:autoSpaceDN w:val="0"/>
        <w:adjustRightInd w:val="0"/>
        <w:jc w:val="center"/>
        <w:rPr>
          <w:rFonts w:ascii="Cambria" w:eastAsiaTheme="minorHAnsi" w:hAnsi="Cambria" w:cs="Cambria"/>
          <w:color w:val="000000"/>
          <w:sz w:val="20"/>
          <w:szCs w:val="20"/>
          <w:lang w:eastAsia="en-US"/>
        </w:rPr>
      </w:pPr>
      <w:r>
        <w:rPr>
          <w:rFonts w:ascii="Cambria" w:eastAsiaTheme="minorHAnsi" w:hAnsi="Cambria" w:cs="Cambria"/>
          <w:color w:val="000000"/>
          <w:sz w:val="20"/>
          <w:szCs w:val="20"/>
          <w:lang w:eastAsia="en-US"/>
        </w:rPr>
        <w:t>6</w:t>
      </w:r>
      <w:r w:rsidR="00702221" w:rsidRPr="00702221">
        <w:rPr>
          <w:rFonts w:ascii="Cambria" w:eastAsiaTheme="minorHAnsi" w:hAnsi="Cambria" w:cs="Cambria"/>
          <w:color w:val="000000"/>
          <w:sz w:val="20"/>
          <w:szCs w:val="20"/>
          <w:lang w:eastAsia="en-US"/>
        </w:rPr>
        <w:t xml:space="preserve"> х </w:t>
      </w:r>
      <w:r>
        <w:rPr>
          <w:rFonts w:ascii="Cambria" w:eastAsiaTheme="minorHAnsi" w:hAnsi="Cambria" w:cs="Cambria"/>
          <w:color w:val="000000"/>
          <w:sz w:val="20"/>
          <w:szCs w:val="20"/>
          <w:lang w:eastAsia="en-US"/>
        </w:rPr>
        <w:t>5,14</w:t>
      </w:r>
      <w:r w:rsidR="00702221" w:rsidRPr="00702221">
        <w:rPr>
          <w:rFonts w:ascii="Cambria" w:eastAsiaTheme="minorHAnsi" w:hAnsi="Cambria" w:cs="Cambria"/>
          <w:color w:val="000000"/>
          <w:sz w:val="20"/>
          <w:szCs w:val="20"/>
          <w:lang w:eastAsia="en-US"/>
        </w:rPr>
        <w:t xml:space="preserve">/ 12= </w:t>
      </w:r>
      <w:r w:rsidR="00702221">
        <w:rPr>
          <w:rFonts w:ascii="Cambria" w:eastAsiaTheme="minorHAnsi" w:hAnsi="Cambria" w:cs="Cambria"/>
          <w:color w:val="000000"/>
          <w:sz w:val="20"/>
          <w:szCs w:val="20"/>
          <w:lang w:eastAsia="en-US"/>
        </w:rPr>
        <w:t>2,</w:t>
      </w:r>
      <w:r>
        <w:rPr>
          <w:rFonts w:ascii="Cambria" w:eastAsiaTheme="minorHAnsi" w:hAnsi="Cambria" w:cs="Cambria"/>
          <w:color w:val="000000"/>
          <w:sz w:val="20"/>
          <w:szCs w:val="20"/>
          <w:lang w:eastAsia="en-US"/>
        </w:rPr>
        <w:t>57</w:t>
      </w:r>
      <w:r w:rsidR="00702221" w:rsidRPr="00702221">
        <w:rPr>
          <w:rFonts w:ascii="Cambria" w:eastAsiaTheme="minorHAnsi" w:hAnsi="Cambria" w:cs="Cambria"/>
          <w:color w:val="000000"/>
          <w:sz w:val="20"/>
          <w:szCs w:val="20"/>
          <w:lang w:eastAsia="en-US"/>
        </w:rPr>
        <w:t xml:space="preserve"> %.</w:t>
      </w:r>
    </w:p>
    <w:p w:rsidR="002176D6" w:rsidRDefault="002176D6" w:rsidP="00702221">
      <w:pPr>
        <w:autoSpaceDE w:val="0"/>
        <w:autoSpaceDN w:val="0"/>
        <w:adjustRightInd w:val="0"/>
        <w:ind w:firstLine="709"/>
        <w:jc w:val="both"/>
        <w:rPr>
          <w:rFonts w:ascii="Cambria" w:eastAsiaTheme="minorHAnsi" w:hAnsi="Cambria" w:cs="Cambria"/>
          <w:color w:val="000000"/>
          <w:sz w:val="20"/>
          <w:szCs w:val="20"/>
          <w:lang w:eastAsia="en-US"/>
        </w:rPr>
      </w:pPr>
    </w:p>
    <w:p w:rsidR="00702221" w:rsidRPr="00702221" w:rsidRDefault="00702221" w:rsidP="00702221">
      <w:pPr>
        <w:autoSpaceDE w:val="0"/>
        <w:autoSpaceDN w:val="0"/>
        <w:adjustRightInd w:val="0"/>
        <w:ind w:firstLine="709"/>
        <w:jc w:val="both"/>
        <w:rPr>
          <w:rFonts w:ascii="Cambria" w:eastAsiaTheme="minorHAnsi" w:hAnsi="Cambria" w:cs="Cambria"/>
          <w:color w:val="000000"/>
          <w:sz w:val="20"/>
          <w:szCs w:val="20"/>
          <w:lang w:eastAsia="en-US"/>
        </w:rPr>
      </w:pPr>
      <w:r w:rsidRPr="00702221">
        <w:rPr>
          <w:rFonts w:ascii="Cambria" w:eastAsiaTheme="minorHAnsi" w:hAnsi="Cambria" w:cs="Cambria"/>
          <w:color w:val="000000"/>
          <w:sz w:val="20"/>
          <w:szCs w:val="20"/>
          <w:lang w:eastAsia="en-US"/>
        </w:rPr>
        <w:t xml:space="preserve">Таким образом, принимаем ставку в </w:t>
      </w:r>
      <w:r w:rsidRPr="002176D6">
        <w:rPr>
          <w:rFonts w:ascii="Cambria" w:eastAsiaTheme="minorHAnsi" w:hAnsi="Cambria" w:cs="Cambria"/>
          <w:b/>
          <w:color w:val="000000"/>
          <w:sz w:val="20"/>
          <w:szCs w:val="20"/>
          <w:lang w:eastAsia="en-US"/>
        </w:rPr>
        <w:t>2,</w:t>
      </w:r>
      <w:r w:rsidR="002176D6" w:rsidRPr="002176D6">
        <w:rPr>
          <w:rFonts w:ascii="Cambria" w:eastAsiaTheme="minorHAnsi" w:hAnsi="Cambria" w:cs="Cambria"/>
          <w:b/>
          <w:color w:val="000000"/>
          <w:sz w:val="20"/>
          <w:szCs w:val="20"/>
          <w:lang w:eastAsia="en-US"/>
        </w:rPr>
        <w:t>57</w:t>
      </w:r>
      <w:r w:rsidRPr="002176D6">
        <w:rPr>
          <w:rFonts w:ascii="Cambria" w:eastAsiaTheme="minorHAnsi" w:hAnsi="Cambria" w:cs="Cambria"/>
          <w:b/>
          <w:color w:val="000000"/>
          <w:sz w:val="20"/>
          <w:szCs w:val="20"/>
          <w:lang w:eastAsia="en-US"/>
        </w:rPr>
        <w:t xml:space="preserve"> %</w:t>
      </w:r>
      <w:r w:rsidRPr="00702221">
        <w:rPr>
          <w:rFonts w:ascii="Cambria" w:eastAsiaTheme="minorHAnsi" w:hAnsi="Cambria" w:cs="Cambria"/>
          <w:color w:val="000000"/>
          <w:sz w:val="20"/>
          <w:szCs w:val="20"/>
          <w:lang w:eastAsia="en-US"/>
        </w:rPr>
        <w:t xml:space="preserve"> в качестве показателя поправки на ликвидность. </w:t>
      </w:r>
    </w:p>
    <w:p w:rsidR="00702221" w:rsidRPr="00702221" w:rsidRDefault="00702221" w:rsidP="00702221">
      <w:pPr>
        <w:autoSpaceDE w:val="0"/>
        <w:autoSpaceDN w:val="0"/>
        <w:adjustRightInd w:val="0"/>
        <w:ind w:firstLine="709"/>
        <w:jc w:val="both"/>
        <w:rPr>
          <w:rFonts w:ascii="Cambria" w:eastAsiaTheme="minorHAnsi" w:hAnsi="Cambria" w:cs="Cambria"/>
          <w:color w:val="000000"/>
          <w:sz w:val="20"/>
          <w:szCs w:val="20"/>
          <w:lang w:eastAsia="en-US"/>
        </w:rPr>
      </w:pPr>
      <w:r w:rsidRPr="00702221">
        <w:rPr>
          <w:rFonts w:ascii="Cambria" w:eastAsiaTheme="minorHAnsi" w:hAnsi="Cambria" w:cs="Cambria"/>
          <w:bCs/>
          <w:i/>
          <w:iCs/>
          <w:color w:val="000000"/>
          <w:sz w:val="20"/>
          <w:szCs w:val="20"/>
          <w:lang w:eastAsia="en-US"/>
        </w:rPr>
        <w:t>Надбавка на инвестиционный менеджмент</w:t>
      </w:r>
      <w:r w:rsidRPr="00702221">
        <w:rPr>
          <w:rFonts w:ascii="Cambria" w:eastAsiaTheme="minorHAnsi" w:hAnsi="Cambria" w:cs="Cambria"/>
          <w:i/>
          <w:iCs/>
          <w:color w:val="000000"/>
          <w:sz w:val="20"/>
          <w:szCs w:val="20"/>
          <w:lang w:eastAsia="en-US"/>
        </w:rPr>
        <w:t xml:space="preserve">. </w:t>
      </w:r>
      <w:r w:rsidRPr="00702221">
        <w:rPr>
          <w:rFonts w:ascii="Cambria" w:eastAsiaTheme="minorHAnsi" w:hAnsi="Cambria" w:cs="Cambria"/>
          <w:color w:val="000000"/>
          <w:sz w:val="20"/>
          <w:szCs w:val="20"/>
          <w:lang w:eastAsia="en-US"/>
        </w:rPr>
        <w:t xml:space="preserve">Инвестиционный менеджмент — процесс управления всеми аспектами инвестиционной деятельности. Включает управление инвестиционной деятельностью в государственных масштабах, что предполагает регулирование, контроль, стимулирование и сдерживание инвестиционной деятельности законодательными и регламентирующими методами. Управление отдельными инвестиционными проектами, в том числе деятельность по планированию, организации, мотивации и контролю на протяжении жизненного цикла проекта путём применения системы современных методов и техники управления, которая имеет целью обеспечение наиболее эффективной реализации определённых в инвестиционном проекте результатов по составу и объёму работ, стоимости, качеству и удовлетворению участников инвестиционного проекта. Управление инвестиционной деятельностью отдельного хозяйствующего субъекта — предприятия, предполагающее управление инвестиционным портфелем предприятия (его формирование, мониторинг, оценка качества, реинвестирование и др.), управление оборотным капиталом (краткосрочные инвестиции) и т. п. Чем более рискованны и сложны инвестиции, тем более компетентного управления они требуют. Надбавку за инвестиционный менеджмент целесообразно рассчитывать с учетом коэффициента недогрузки и потерь при сборе арендных платежей. </w:t>
      </w:r>
    </w:p>
    <w:p w:rsidR="00702221" w:rsidRPr="00702221" w:rsidRDefault="00702221" w:rsidP="00702221">
      <w:pPr>
        <w:autoSpaceDE w:val="0"/>
        <w:autoSpaceDN w:val="0"/>
        <w:adjustRightInd w:val="0"/>
        <w:ind w:firstLine="709"/>
        <w:jc w:val="both"/>
        <w:rPr>
          <w:rFonts w:ascii="Cambria" w:eastAsiaTheme="minorHAnsi" w:hAnsi="Cambria" w:cs="Cambria"/>
          <w:color w:val="000000"/>
          <w:sz w:val="20"/>
          <w:szCs w:val="20"/>
          <w:lang w:eastAsia="en-US"/>
        </w:rPr>
      </w:pPr>
      <w:r w:rsidRPr="00702221">
        <w:rPr>
          <w:rFonts w:ascii="Cambria" w:eastAsiaTheme="minorHAnsi" w:hAnsi="Cambria" w:cs="Cambria"/>
          <w:color w:val="000000"/>
          <w:sz w:val="20"/>
          <w:szCs w:val="20"/>
          <w:lang w:eastAsia="en-US"/>
        </w:rPr>
        <w:t xml:space="preserve">В связи с тем, что затраты на инвестиционный менеджмент по своей экономической сущности соответствуют процессу управления инвестициями (таким же образом как и объектом недвижимости, объектами имущественных и других прав), размер этих затрат принят на уровне затрат, связанных с управлением самим объектом недвижимости. </w:t>
      </w:r>
    </w:p>
    <w:p w:rsidR="00702221" w:rsidRDefault="00702221" w:rsidP="00702221">
      <w:pPr>
        <w:ind w:firstLine="709"/>
        <w:jc w:val="both"/>
        <w:rPr>
          <w:rFonts w:ascii="Cambria" w:eastAsiaTheme="minorHAnsi" w:hAnsi="Cambria" w:cs="Cambria"/>
          <w:color w:val="000000"/>
          <w:sz w:val="20"/>
          <w:szCs w:val="20"/>
          <w:lang w:eastAsia="en-US"/>
        </w:rPr>
      </w:pPr>
      <w:r w:rsidRPr="00702221">
        <w:rPr>
          <w:rFonts w:ascii="Cambria" w:eastAsiaTheme="minorHAnsi" w:hAnsi="Cambria" w:cs="Cambria"/>
          <w:color w:val="000000"/>
          <w:sz w:val="20"/>
          <w:szCs w:val="20"/>
          <w:lang w:eastAsia="en-US"/>
        </w:rPr>
        <w:t xml:space="preserve">Расчет данной надбавки произведен исходя из особенностей местоположения объекта оценки и ожидаемой заполняемости. Примем для данного объекта на </w:t>
      </w:r>
      <w:r>
        <w:rPr>
          <w:rFonts w:ascii="Cambria" w:eastAsiaTheme="minorHAnsi" w:hAnsi="Cambria" w:cs="Cambria"/>
          <w:color w:val="000000"/>
          <w:sz w:val="20"/>
          <w:szCs w:val="20"/>
          <w:lang w:eastAsia="en-US"/>
        </w:rPr>
        <w:t>минимальном</w:t>
      </w:r>
      <w:r w:rsidRPr="00702221">
        <w:rPr>
          <w:rFonts w:ascii="Cambria" w:eastAsiaTheme="minorHAnsi" w:hAnsi="Cambria" w:cs="Cambria"/>
          <w:color w:val="000000"/>
          <w:sz w:val="20"/>
          <w:szCs w:val="20"/>
          <w:lang w:eastAsia="en-US"/>
        </w:rPr>
        <w:t xml:space="preserve"> уровне </w:t>
      </w:r>
      <w:r>
        <w:rPr>
          <w:rFonts w:ascii="Cambria" w:eastAsiaTheme="minorHAnsi" w:hAnsi="Cambria" w:cs="Cambria"/>
          <w:color w:val="000000"/>
          <w:sz w:val="20"/>
          <w:szCs w:val="20"/>
          <w:lang w:eastAsia="en-US"/>
        </w:rPr>
        <w:t>0,5</w:t>
      </w:r>
      <w:r w:rsidRPr="00702221">
        <w:rPr>
          <w:rFonts w:ascii="Cambria" w:eastAsiaTheme="minorHAnsi" w:hAnsi="Cambria" w:cs="Cambria"/>
          <w:color w:val="000000"/>
          <w:sz w:val="20"/>
          <w:szCs w:val="20"/>
          <w:lang w:eastAsia="en-US"/>
        </w:rPr>
        <w:t xml:space="preserve"> % в год на основании данных управляющих компаний, в том числе:</w:t>
      </w:r>
    </w:p>
    <w:p w:rsidR="002176D6" w:rsidRDefault="002176D6" w:rsidP="00702221">
      <w:pPr>
        <w:ind w:firstLine="709"/>
        <w:jc w:val="both"/>
        <w:rPr>
          <w:rFonts w:ascii="Cambria" w:eastAsiaTheme="minorHAnsi" w:hAnsi="Cambria" w:cs="Cambria"/>
          <w:color w:val="000000"/>
          <w:sz w:val="20"/>
          <w:szCs w:val="20"/>
          <w:lang w:eastAsia="en-US"/>
        </w:rPr>
      </w:pPr>
    </w:p>
    <w:p w:rsidR="00702221" w:rsidRDefault="00702221" w:rsidP="00702221">
      <w:pPr>
        <w:ind w:firstLine="709"/>
        <w:jc w:val="both"/>
        <w:rPr>
          <w:rFonts w:ascii="Cambria" w:eastAsiaTheme="minorHAnsi" w:hAnsi="Cambria" w:cs="Cambria"/>
          <w:color w:val="000000"/>
          <w:sz w:val="20"/>
          <w:szCs w:val="20"/>
          <w:lang w:eastAsia="en-US"/>
        </w:rPr>
      </w:pPr>
    </w:p>
    <w:tbl>
      <w:tblPr>
        <w:tblW w:w="9372"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A0" w:firstRow="1" w:lastRow="0" w:firstColumn="1" w:lastColumn="0" w:noHBand="0" w:noVBand="0"/>
      </w:tblPr>
      <w:tblGrid>
        <w:gridCol w:w="3135"/>
        <w:gridCol w:w="1843"/>
        <w:gridCol w:w="1417"/>
        <w:gridCol w:w="1920"/>
        <w:gridCol w:w="1057"/>
      </w:tblGrid>
      <w:tr w:rsidR="00702221" w:rsidRPr="00702221" w:rsidTr="00702221">
        <w:trPr>
          <w:trHeight w:val="20"/>
          <w:jc w:val="center"/>
        </w:trPr>
        <w:tc>
          <w:tcPr>
            <w:tcW w:w="3134" w:type="dxa"/>
            <w:tcBorders>
              <w:top w:val="double" w:sz="4" w:space="0" w:color="auto"/>
              <w:left w:val="double" w:sz="4" w:space="0" w:color="auto"/>
              <w:bottom w:val="single" w:sz="6" w:space="0" w:color="auto"/>
              <w:right w:val="single" w:sz="6" w:space="0" w:color="auto"/>
            </w:tcBorders>
            <w:shd w:val="clear" w:color="auto" w:fill="F2F2F2" w:themeFill="background1" w:themeFillShade="F2"/>
            <w:vAlign w:val="center"/>
            <w:hideMark/>
          </w:tcPr>
          <w:p w:rsidR="00702221" w:rsidRPr="00702221" w:rsidRDefault="00702221" w:rsidP="00702221">
            <w:pPr>
              <w:jc w:val="center"/>
              <w:rPr>
                <w:rFonts w:asciiTheme="majorHAnsi" w:hAnsiTheme="majorHAnsi" w:cs="Calibri"/>
                <w:b/>
                <w:color w:val="000000"/>
                <w:sz w:val="16"/>
                <w:szCs w:val="16"/>
              </w:rPr>
            </w:pPr>
            <w:r w:rsidRPr="00702221">
              <w:rPr>
                <w:rFonts w:asciiTheme="majorHAnsi" w:hAnsiTheme="majorHAnsi" w:cs="Calibri"/>
                <w:b/>
                <w:color w:val="000000"/>
                <w:sz w:val="16"/>
                <w:szCs w:val="16"/>
              </w:rPr>
              <w:lastRenderedPageBreak/>
              <w:t xml:space="preserve">Управляющая компания  </w:t>
            </w:r>
          </w:p>
        </w:tc>
        <w:tc>
          <w:tcPr>
            <w:tcW w:w="1843" w:type="dxa"/>
            <w:tcBorders>
              <w:top w:val="double" w:sz="4" w:space="0" w:color="auto"/>
              <w:left w:val="single" w:sz="6" w:space="0" w:color="auto"/>
              <w:bottom w:val="single" w:sz="6" w:space="0" w:color="auto"/>
              <w:right w:val="single" w:sz="6" w:space="0" w:color="auto"/>
            </w:tcBorders>
            <w:shd w:val="clear" w:color="auto" w:fill="F2F2F2" w:themeFill="background1" w:themeFillShade="F2"/>
            <w:noWrap/>
            <w:vAlign w:val="center"/>
            <w:hideMark/>
          </w:tcPr>
          <w:p w:rsidR="00702221" w:rsidRPr="00702221" w:rsidRDefault="00702221" w:rsidP="00702221">
            <w:pPr>
              <w:jc w:val="center"/>
              <w:rPr>
                <w:rFonts w:asciiTheme="majorHAnsi" w:hAnsiTheme="majorHAnsi" w:cs="Calibri"/>
                <w:b/>
                <w:color w:val="000000"/>
                <w:sz w:val="16"/>
                <w:szCs w:val="16"/>
              </w:rPr>
            </w:pPr>
            <w:r w:rsidRPr="00702221">
              <w:rPr>
                <w:rFonts w:asciiTheme="majorHAnsi" w:hAnsiTheme="majorHAnsi" w:cs="Calibri"/>
                <w:b/>
                <w:color w:val="000000"/>
                <w:sz w:val="16"/>
                <w:szCs w:val="16"/>
              </w:rPr>
              <w:t>Рейтинг</w:t>
            </w:r>
          </w:p>
        </w:tc>
        <w:tc>
          <w:tcPr>
            <w:tcW w:w="1417" w:type="dxa"/>
            <w:tcBorders>
              <w:top w:val="double" w:sz="4" w:space="0" w:color="auto"/>
              <w:left w:val="single" w:sz="6" w:space="0" w:color="auto"/>
              <w:bottom w:val="single" w:sz="6" w:space="0" w:color="auto"/>
              <w:right w:val="single" w:sz="6" w:space="0" w:color="auto"/>
            </w:tcBorders>
            <w:shd w:val="clear" w:color="auto" w:fill="F2F2F2" w:themeFill="background1" w:themeFillShade="F2"/>
            <w:vAlign w:val="center"/>
            <w:hideMark/>
          </w:tcPr>
          <w:p w:rsidR="00702221" w:rsidRPr="00702221" w:rsidRDefault="00702221" w:rsidP="00702221">
            <w:pPr>
              <w:jc w:val="center"/>
              <w:rPr>
                <w:rFonts w:asciiTheme="majorHAnsi" w:hAnsiTheme="majorHAnsi" w:cs="Calibri"/>
                <w:b/>
                <w:color w:val="000000"/>
                <w:sz w:val="16"/>
                <w:szCs w:val="16"/>
              </w:rPr>
            </w:pPr>
            <w:r w:rsidRPr="00702221">
              <w:rPr>
                <w:rFonts w:asciiTheme="majorHAnsi" w:hAnsiTheme="majorHAnsi" w:cs="Calibri"/>
                <w:b/>
                <w:color w:val="000000"/>
                <w:sz w:val="16"/>
                <w:szCs w:val="16"/>
              </w:rPr>
              <w:t>Название фонда</w:t>
            </w:r>
          </w:p>
        </w:tc>
        <w:tc>
          <w:tcPr>
            <w:tcW w:w="1920" w:type="dxa"/>
            <w:tcBorders>
              <w:top w:val="double" w:sz="4" w:space="0" w:color="auto"/>
              <w:left w:val="single" w:sz="6" w:space="0" w:color="auto"/>
              <w:bottom w:val="single" w:sz="6" w:space="0" w:color="auto"/>
              <w:right w:val="single" w:sz="6" w:space="0" w:color="auto"/>
            </w:tcBorders>
            <w:shd w:val="clear" w:color="auto" w:fill="F2F2F2" w:themeFill="background1" w:themeFillShade="F2"/>
            <w:vAlign w:val="center"/>
            <w:hideMark/>
          </w:tcPr>
          <w:p w:rsidR="00702221" w:rsidRPr="00702221" w:rsidRDefault="00702221" w:rsidP="00702221">
            <w:pPr>
              <w:jc w:val="center"/>
              <w:rPr>
                <w:rFonts w:asciiTheme="majorHAnsi" w:hAnsiTheme="majorHAnsi" w:cs="Calibri"/>
                <w:b/>
                <w:color w:val="000000"/>
                <w:sz w:val="16"/>
                <w:szCs w:val="16"/>
              </w:rPr>
            </w:pPr>
            <w:r w:rsidRPr="00702221">
              <w:rPr>
                <w:rFonts w:asciiTheme="majorHAnsi" w:hAnsiTheme="majorHAnsi" w:cs="Calibri"/>
                <w:b/>
                <w:color w:val="000000"/>
                <w:sz w:val="16"/>
                <w:szCs w:val="16"/>
              </w:rPr>
              <w:t>Тип. Объекта инвестирования. Отрасль</w:t>
            </w:r>
          </w:p>
        </w:tc>
        <w:tc>
          <w:tcPr>
            <w:tcW w:w="1057" w:type="dxa"/>
            <w:tcBorders>
              <w:top w:val="double" w:sz="4" w:space="0" w:color="auto"/>
              <w:left w:val="single" w:sz="6" w:space="0" w:color="auto"/>
              <w:bottom w:val="single" w:sz="6" w:space="0" w:color="auto"/>
              <w:right w:val="double" w:sz="4" w:space="0" w:color="auto"/>
            </w:tcBorders>
            <w:shd w:val="clear" w:color="auto" w:fill="F2F2F2" w:themeFill="background1" w:themeFillShade="F2"/>
            <w:vAlign w:val="center"/>
            <w:hideMark/>
          </w:tcPr>
          <w:p w:rsidR="00702221" w:rsidRPr="00702221" w:rsidRDefault="00702221" w:rsidP="00702221">
            <w:pPr>
              <w:jc w:val="center"/>
              <w:rPr>
                <w:rFonts w:asciiTheme="majorHAnsi" w:hAnsiTheme="majorHAnsi" w:cs="Calibri"/>
                <w:b/>
                <w:color w:val="000000"/>
                <w:sz w:val="16"/>
                <w:szCs w:val="16"/>
              </w:rPr>
            </w:pPr>
            <w:r w:rsidRPr="00702221">
              <w:rPr>
                <w:rFonts w:asciiTheme="majorHAnsi" w:hAnsiTheme="majorHAnsi" w:cs="Calibri"/>
                <w:b/>
                <w:color w:val="000000"/>
                <w:sz w:val="16"/>
                <w:szCs w:val="16"/>
              </w:rPr>
              <w:t>Вознаграждение УК, %</w:t>
            </w:r>
          </w:p>
        </w:tc>
      </w:tr>
      <w:tr w:rsidR="00702221" w:rsidRPr="00702221" w:rsidTr="00702221">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Закрытое акционерное общество «Управляющая компания Мономах», Новосибирск, пр-т Ак. Лаврентьева, д., 2/2 Тел., факс: 8 (800) 1008-108</w:t>
            </w:r>
          </w:p>
        </w:tc>
        <w:tc>
          <w:tcPr>
            <w:tcW w:w="1843"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A+ (высокая надежность - первый уровень)</w:t>
            </w:r>
          </w:p>
        </w:tc>
        <w:tc>
          <w:tcPr>
            <w:tcW w:w="1417"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«Достойная старость»</w:t>
            </w:r>
          </w:p>
        </w:tc>
        <w:tc>
          <w:tcPr>
            <w:tcW w:w="1920"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Закрытый Недвижимость  Строительный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2,50%</w:t>
            </w:r>
          </w:p>
        </w:tc>
      </w:tr>
      <w:tr w:rsidR="00702221" w:rsidRPr="00702221" w:rsidTr="00702221">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Закрытое акционерное общество «Управляющая компания</w:t>
            </w:r>
            <w:r w:rsidRPr="00702221">
              <w:rPr>
                <w:rFonts w:asciiTheme="majorHAnsi" w:hAnsiTheme="majorHAnsi" w:cs="Calibri"/>
                <w:color w:val="000000"/>
                <w:sz w:val="16"/>
                <w:szCs w:val="16"/>
              </w:rPr>
              <w:br/>
              <w:t>«ТРАНСФИНГРУП» Москва, ул.</w:t>
            </w:r>
            <w:r w:rsidRPr="00702221">
              <w:rPr>
                <w:rFonts w:asciiTheme="majorHAnsi" w:hAnsiTheme="majorHAnsi" w:cs="Calibri"/>
                <w:color w:val="000000"/>
                <w:sz w:val="16"/>
                <w:szCs w:val="16"/>
              </w:rPr>
              <w:br/>
              <w:t>Малая Дмитровка, д. 10 Тел., факс: +7</w:t>
            </w:r>
            <w:r w:rsidRPr="00702221">
              <w:rPr>
                <w:rFonts w:asciiTheme="majorHAnsi" w:hAnsiTheme="majorHAnsi" w:cs="Calibri"/>
                <w:color w:val="000000"/>
                <w:sz w:val="16"/>
                <w:szCs w:val="16"/>
              </w:rPr>
              <w:br/>
              <w:t>(495) 772-97-42</w:t>
            </w:r>
          </w:p>
        </w:tc>
        <w:tc>
          <w:tcPr>
            <w:tcW w:w="1843"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A+ (высокая надежность - первый уровень)</w:t>
            </w:r>
          </w:p>
        </w:tc>
        <w:tc>
          <w:tcPr>
            <w:tcW w:w="1417"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«ТрансФинГруп-Логистический»</w:t>
            </w:r>
          </w:p>
        </w:tc>
        <w:tc>
          <w:tcPr>
            <w:tcW w:w="1920"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Закрытый Недвижимость  Смешанный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3%</w:t>
            </w:r>
          </w:p>
        </w:tc>
      </w:tr>
      <w:tr w:rsidR="00702221" w:rsidRPr="00702221" w:rsidTr="00702221">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ЗАО «Управляющая компания «Ермак» г.Пермь, ул.Коммунистическая, 53 Тел., факс:  +7 (342)-212-00-44</w:t>
            </w:r>
          </w:p>
        </w:tc>
        <w:tc>
          <w:tcPr>
            <w:tcW w:w="1843"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A+ (высокая надежность -второй уровень)</w:t>
            </w:r>
          </w:p>
        </w:tc>
        <w:tc>
          <w:tcPr>
            <w:tcW w:w="1417"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«Земли Прикамья»</w:t>
            </w:r>
          </w:p>
        </w:tc>
        <w:tc>
          <w:tcPr>
            <w:tcW w:w="1920"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Закрытый Недвижимость  Земельный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1,50%</w:t>
            </w:r>
          </w:p>
        </w:tc>
      </w:tr>
      <w:tr w:rsidR="00702221" w:rsidRPr="00702221" w:rsidTr="00702221">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ООО «УНИВЕР Менеджмент» г.  Москва, Б.Саввинский пер, д.10,</w:t>
            </w:r>
            <w:r w:rsidRPr="00702221">
              <w:rPr>
                <w:rFonts w:asciiTheme="majorHAnsi" w:hAnsiTheme="majorHAnsi" w:cs="Calibri"/>
                <w:color w:val="000000"/>
                <w:sz w:val="16"/>
                <w:szCs w:val="16"/>
              </w:rPr>
              <w:br/>
              <w:t>стр.2А Тел., факс: +7 (495) 792-55-50, +7 (495) 245-34-34, fax +7 (495) 792-55-50, 8-800-700-55-00</w:t>
            </w:r>
          </w:p>
        </w:tc>
        <w:tc>
          <w:tcPr>
            <w:tcW w:w="1843"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A+ (высокая надежность - третий уровень)</w:t>
            </w:r>
          </w:p>
        </w:tc>
        <w:tc>
          <w:tcPr>
            <w:tcW w:w="1417"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«Паевой фонд недвижимости»</w:t>
            </w:r>
          </w:p>
        </w:tc>
        <w:tc>
          <w:tcPr>
            <w:tcW w:w="1920"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Закрытый Недвижимость  Строительный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2%</w:t>
            </w:r>
          </w:p>
        </w:tc>
      </w:tr>
      <w:tr w:rsidR="00702221" w:rsidRPr="00702221" w:rsidTr="00702221">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ООО «Управляющая компания «Финам Менеджмент». г. Москва, ул. Мясницкая, 26 Тел., факс: +7 (495)-796-93-88</w:t>
            </w:r>
          </w:p>
        </w:tc>
        <w:tc>
          <w:tcPr>
            <w:tcW w:w="1843"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A+ (высокая надежность - третий уровень)</w:t>
            </w:r>
          </w:p>
        </w:tc>
        <w:tc>
          <w:tcPr>
            <w:tcW w:w="1417"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«Финам – Капитальные вложения»</w:t>
            </w:r>
          </w:p>
        </w:tc>
        <w:tc>
          <w:tcPr>
            <w:tcW w:w="1920"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Закрытый Недвижимость  Земельный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1,50%</w:t>
            </w:r>
          </w:p>
        </w:tc>
      </w:tr>
      <w:tr w:rsidR="00702221" w:rsidRPr="00702221" w:rsidTr="00702221">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ОАО «НМ - Траст» г. Москва, ул. Верхняя Радищевская, дом 1/2 стр. 1 Тел., факс: +7 (495) 792-38-23</w:t>
            </w:r>
          </w:p>
        </w:tc>
        <w:tc>
          <w:tcPr>
            <w:tcW w:w="1843"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BBB+ (достаточная надежность - первый уровень)</w:t>
            </w:r>
          </w:p>
        </w:tc>
        <w:tc>
          <w:tcPr>
            <w:tcW w:w="1417" w:type="dxa"/>
            <w:tcBorders>
              <w:top w:val="single" w:sz="6" w:space="0" w:color="auto"/>
              <w:left w:val="single" w:sz="6" w:space="0" w:color="auto"/>
              <w:bottom w:val="single" w:sz="6" w:space="0" w:color="auto"/>
              <w:right w:val="single" w:sz="6" w:space="0" w:color="auto"/>
            </w:tcBorders>
            <w:noWrap/>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«ЗемСтрой»</w:t>
            </w:r>
          </w:p>
        </w:tc>
        <w:tc>
          <w:tcPr>
            <w:tcW w:w="1920"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Закрытый Недвижимость  Строительный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2%</w:t>
            </w:r>
          </w:p>
        </w:tc>
      </w:tr>
      <w:tr w:rsidR="00702221" w:rsidRPr="00702221" w:rsidTr="00702221">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ООО «Северо-западная управляющая компания» г. Санкт-Петербург, наб. Черной речки, д.41 (вход с ул. Графова) Тел., факс: +7 (812) 702-67- 87</w:t>
            </w:r>
          </w:p>
        </w:tc>
        <w:tc>
          <w:tcPr>
            <w:tcW w:w="1843"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BBB+ (достаточная надежность -второй уровень)</w:t>
            </w:r>
          </w:p>
        </w:tc>
        <w:tc>
          <w:tcPr>
            <w:tcW w:w="1417"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«Северо-западный фонд недвижимости»</w:t>
            </w:r>
          </w:p>
        </w:tc>
        <w:tc>
          <w:tcPr>
            <w:tcW w:w="1920"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Закрытый Недвижимость  Рентный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0,50%</w:t>
            </w:r>
          </w:p>
        </w:tc>
      </w:tr>
      <w:tr w:rsidR="00702221" w:rsidRPr="00702221" w:rsidTr="00702221">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ООО «Управляющая компания «НФГ Эссет Менеджмент» г. Москва, ул. Радио, д. 24, корп 1, офис 501 Тел., факс: +7 (495) 589-24-74, +7 (495) 775-18-47</w:t>
            </w:r>
          </w:p>
        </w:tc>
        <w:tc>
          <w:tcPr>
            <w:tcW w:w="1843"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BBB+ (достаточная надежность -третий уровень)</w:t>
            </w:r>
          </w:p>
        </w:tc>
        <w:tc>
          <w:tcPr>
            <w:tcW w:w="1417"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НФГ Фонд недвижимости первый</w:t>
            </w:r>
          </w:p>
        </w:tc>
        <w:tc>
          <w:tcPr>
            <w:tcW w:w="1920"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Закрытый Недвижимость  Строительный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2%</w:t>
            </w:r>
          </w:p>
        </w:tc>
      </w:tr>
      <w:tr w:rsidR="00702221" w:rsidRPr="00702221" w:rsidTr="00702221">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ООО «Управляющая компания «НФГ Эссет Менеджмент» г. Москва, ул. Радио, д. 24, корп 1, офис 501 Тел., факс: +7 (495) 589-24-74, +7 (495) 775-18-47</w:t>
            </w:r>
          </w:p>
        </w:tc>
        <w:tc>
          <w:tcPr>
            <w:tcW w:w="1843"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BBB+ (достаточная надежность -третий уровень)</w:t>
            </w:r>
          </w:p>
        </w:tc>
        <w:tc>
          <w:tcPr>
            <w:tcW w:w="1417"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НФГ Фонд недвижимости второй</w:t>
            </w:r>
          </w:p>
        </w:tc>
        <w:tc>
          <w:tcPr>
            <w:tcW w:w="1920" w:type="dxa"/>
            <w:tcBorders>
              <w:top w:val="single" w:sz="6" w:space="0" w:color="auto"/>
              <w:left w:val="single" w:sz="6" w:space="0" w:color="auto"/>
              <w:bottom w:val="single" w:sz="6" w:space="0" w:color="auto"/>
              <w:right w:val="single" w:sz="6" w:space="0" w:color="auto"/>
            </w:tcBorders>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Закрытый Недвижимость  Строительный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1%</w:t>
            </w:r>
          </w:p>
        </w:tc>
      </w:tr>
      <w:tr w:rsidR="00702221" w:rsidRPr="00702221" w:rsidTr="00702221">
        <w:trPr>
          <w:trHeight w:val="20"/>
          <w:jc w:val="center"/>
        </w:trPr>
        <w:tc>
          <w:tcPr>
            <w:tcW w:w="8314" w:type="dxa"/>
            <w:gridSpan w:val="4"/>
            <w:tcBorders>
              <w:top w:val="single" w:sz="6" w:space="0" w:color="auto"/>
              <w:left w:val="double" w:sz="4" w:space="0" w:color="auto"/>
              <w:bottom w:val="single" w:sz="6" w:space="0" w:color="auto"/>
              <w:right w:val="single" w:sz="6" w:space="0" w:color="auto"/>
            </w:tcBorders>
            <w:noWrap/>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Вознаграждение управляющей компании (минимальное значение), % от СЧА</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0,50%</w:t>
            </w:r>
          </w:p>
        </w:tc>
      </w:tr>
      <w:tr w:rsidR="00702221" w:rsidRPr="00702221" w:rsidTr="00702221">
        <w:trPr>
          <w:trHeight w:val="20"/>
          <w:jc w:val="center"/>
        </w:trPr>
        <w:tc>
          <w:tcPr>
            <w:tcW w:w="8314" w:type="dxa"/>
            <w:gridSpan w:val="4"/>
            <w:tcBorders>
              <w:top w:val="single" w:sz="6" w:space="0" w:color="auto"/>
              <w:left w:val="double" w:sz="4" w:space="0" w:color="auto"/>
              <w:bottom w:val="single" w:sz="6" w:space="0" w:color="auto"/>
              <w:right w:val="single" w:sz="6" w:space="0" w:color="auto"/>
            </w:tcBorders>
            <w:noWrap/>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Вознаграждение управляющей компании (среднее значение), % от СЧА</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1,78%</w:t>
            </w:r>
          </w:p>
        </w:tc>
      </w:tr>
      <w:tr w:rsidR="00702221" w:rsidRPr="00702221" w:rsidTr="00702221">
        <w:trPr>
          <w:trHeight w:val="20"/>
          <w:jc w:val="center"/>
        </w:trPr>
        <w:tc>
          <w:tcPr>
            <w:tcW w:w="8314" w:type="dxa"/>
            <w:gridSpan w:val="4"/>
            <w:tcBorders>
              <w:top w:val="single" w:sz="6" w:space="0" w:color="auto"/>
              <w:left w:val="double" w:sz="4" w:space="0" w:color="auto"/>
              <w:bottom w:val="double" w:sz="4" w:space="0" w:color="auto"/>
              <w:right w:val="single" w:sz="6" w:space="0" w:color="auto"/>
            </w:tcBorders>
            <w:noWrap/>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Вознаграждение управляющей компании (максимальное значение), % от СЧА</w:t>
            </w:r>
          </w:p>
        </w:tc>
        <w:tc>
          <w:tcPr>
            <w:tcW w:w="1057" w:type="dxa"/>
            <w:tcBorders>
              <w:top w:val="single" w:sz="6" w:space="0" w:color="auto"/>
              <w:left w:val="single" w:sz="6" w:space="0" w:color="auto"/>
              <w:bottom w:val="double" w:sz="4" w:space="0" w:color="auto"/>
              <w:right w:val="double" w:sz="4" w:space="0" w:color="auto"/>
            </w:tcBorders>
            <w:noWrap/>
            <w:vAlign w:val="center"/>
            <w:hideMark/>
          </w:tcPr>
          <w:p w:rsidR="00702221" w:rsidRPr="00702221" w:rsidRDefault="00702221" w:rsidP="00702221">
            <w:pPr>
              <w:jc w:val="center"/>
              <w:rPr>
                <w:rFonts w:asciiTheme="majorHAnsi" w:hAnsiTheme="majorHAnsi" w:cs="Calibri"/>
                <w:color w:val="000000"/>
                <w:sz w:val="16"/>
                <w:szCs w:val="16"/>
              </w:rPr>
            </w:pPr>
            <w:r w:rsidRPr="00702221">
              <w:rPr>
                <w:rFonts w:asciiTheme="majorHAnsi" w:hAnsiTheme="majorHAnsi" w:cs="Calibri"/>
                <w:color w:val="000000"/>
                <w:sz w:val="16"/>
                <w:szCs w:val="16"/>
              </w:rPr>
              <w:t>3,00%</w:t>
            </w:r>
          </w:p>
        </w:tc>
      </w:tr>
    </w:tbl>
    <w:p w:rsidR="00702221" w:rsidRDefault="00702221" w:rsidP="00702221">
      <w:pPr>
        <w:ind w:firstLine="709"/>
        <w:jc w:val="both"/>
        <w:rPr>
          <w:rFonts w:eastAsiaTheme="majorEastAsia" w:cstheme="majorBidi"/>
          <w:b/>
          <w:bCs/>
          <w:sz w:val="28"/>
          <w:szCs w:val="28"/>
        </w:rPr>
      </w:pPr>
    </w:p>
    <w:p w:rsidR="00865DF8" w:rsidRPr="00865DF8" w:rsidRDefault="00865DF8" w:rsidP="00865DF8">
      <w:pPr>
        <w:autoSpaceDE w:val="0"/>
        <w:autoSpaceDN w:val="0"/>
        <w:adjustRightInd w:val="0"/>
        <w:ind w:firstLine="709"/>
        <w:jc w:val="both"/>
        <w:rPr>
          <w:rFonts w:ascii="Cambria" w:eastAsiaTheme="minorHAnsi" w:hAnsi="Cambria" w:cs="Cambria"/>
          <w:color w:val="000000"/>
          <w:sz w:val="20"/>
          <w:szCs w:val="20"/>
          <w:lang w:eastAsia="en-US"/>
        </w:rPr>
      </w:pPr>
      <w:r w:rsidRPr="00865DF8">
        <w:rPr>
          <w:rFonts w:ascii="Cambria" w:eastAsiaTheme="minorHAnsi" w:hAnsi="Cambria" w:cs="Cambria"/>
          <w:color w:val="000000"/>
          <w:sz w:val="20"/>
          <w:szCs w:val="20"/>
          <w:lang w:eastAsia="en-US"/>
        </w:rPr>
        <w:t xml:space="preserve">Вторая составляющая коэффициента капитализации – норма возврата капитала. Для возврата первоначальных инвестиций часть ЧОД откладывается в фонд возмещения с определенной процентной ставкой, называемой так же ставкой рекапитализации. Одним из способов определения нормы возврата капитала является прямолинейный возврат капитала (метод Ринга). Годовая норма возврата капитала рассчитывается путем деления 100 %-ной стоимости актива на остающейся срок полезной жизни. </w:t>
      </w:r>
    </w:p>
    <w:p w:rsidR="00865DF8" w:rsidRDefault="00865DF8" w:rsidP="00865DF8">
      <w:pPr>
        <w:ind w:firstLine="709"/>
        <w:jc w:val="both"/>
        <w:rPr>
          <w:rFonts w:ascii="Cambria" w:eastAsiaTheme="minorHAnsi" w:hAnsi="Cambria" w:cs="Cambria"/>
          <w:color w:val="000000"/>
          <w:sz w:val="20"/>
          <w:szCs w:val="20"/>
          <w:lang w:eastAsia="en-US"/>
        </w:rPr>
      </w:pPr>
      <w:r w:rsidRPr="00865DF8">
        <w:rPr>
          <w:rFonts w:ascii="Cambria" w:eastAsiaTheme="minorHAnsi" w:hAnsi="Cambria" w:cs="Cambria"/>
          <w:color w:val="000000"/>
          <w:sz w:val="20"/>
          <w:szCs w:val="20"/>
          <w:lang w:eastAsia="en-US"/>
        </w:rPr>
        <w:t>Оставшийся срок полезной жизни оцениваемых объектов, с учетом отсутствия сроков их фактической эксплуатации и норм службы в соответствии с классификатором, составляющем около 120 лет.</w:t>
      </w:r>
    </w:p>
    <w:p w:rsidR="00865DF8" w:rsidRDefault="00865DF8" w:rsidP="00865DF8">
      <w:pPr>
        <w:jc w:val="center"/>
        <w:rPr>
          <w:rFonts w:eastAsiaTheme="majorEastAsia" w:cstheme="majorBidi"/>
          <w:b/>
          <w:bCs/>
          <w:sz w:val="28"/>
          <w:szCs w:val="28"/>
        </w:rPr>
      </w:pPr>
      <w:r>
        <w:rPr>
          <w:noProof/>
        </w:rPr>
        <w:drawing>
          <wp:inline distT="0" distB="0" distL="0" distR="0" wp14:anchorId="228CF19D" wp14:editId="141DD11B">
            <wp:extent cx="6296024" cy="27813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300965" cy="2783483"/>
                    </a:xfrm>
                    <a:prstGeom prst="rect">
                      <a:avLst/>
                    </a:prstGeom>
                  </pic:spPr>
                </pic:pic>
              </a:graphicData>
            </a:graphic>
          </wp:inline>
        </w:drawing>
      </w:r>
    </w:p>
    <w:p w:rsidR="00865DF8" w:rsidRPr="00865DF8" w:rsidRDefault="00865DF8" w:rsidP="00865DF8">
      <w:pPr>
        <w:jc w:val="center"/>
        <w:rPr>
          <w:rFonts w:asciiTheme="majorHAnsi" w:hAnsiTheme="majorHAnsi"/>
          <w:b/>
          <w:bCs/>
          <w:sz w:val="20"/>
          <w:szCs w:val="20"/>
        </w:rPr>
      </w:pPr>
    </w:p>
    <w:p w:rsidR="00390A68" w:rsidRDefault="00865DF8" w:rsidP="00390A68">
      <w:pPr>
        <w:jc w:val="center"/>
        <w:rPr>
          <w:rFonts w:asciiTheme="majorHAnsi" w:hAnsiTheme="majorHAnsi"/>
          <w:b/>
          <w:bCs/>
          <w:sz w:val="20"/>
          <w:szCs w:val="20"/>
        </w:rPr>
      </w:pPr>
      <w:r w:rsidRPr="00865DF8">
        <w:rPr>
          <w:rFonts w:asciiTheme="majorHAnsi" w:hAnsiTheme="majorHAnsi"/>
          <w:b/>
          <w:bCs/>
          <w:sz w:val="20"/>
          <w:szCs w:val="20"/>
        </w:rPr>
        <w:t>Нормативные показатели для расчета эксплуатационных расходов по жилым и общественным зданиям</w:t>
      </w:r>
    </w:p>
    <w:p w:rsidR="00390A68" w:rsidRDefault="00390A68" w:rsidP="00390A68">
      <w:pPr>
        <w:jc w:val="center"/>
        <w:rPr>
          <w:b/>
          <w:bCs/>
          <w:sz w:val="20"/>
          <w:szCs w:val="20"/>
        </w:rPr>
      </w:pP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79"/>
        <w:gridCol w:w="7024"/>
        <w:gridCol w:w="1598"/>
      </w:tblGrid>
      <w:tr w:rsidR="00390A68" w:rsidRPr="00212FA7" w:rsidTr="00390A68">
        <w:trPr>
          <w:tblCellSpacing w:w="0" w:type="dxa"/>
          <w:jc w:val="center"/>
        </w:trPr>
        <w:tc>
          <w:tcPr>
            <w:tcW w:w="7503" w:type="dxa"/>
            <w:gridSpan w:val="2"/>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Характеристика конструктивного элемента и инженерного оборудования</w:t>
            </w:r>
          </w:p>
        </w:tc>
        <w:tc>
          <w:tcPr>
            <w:tcW w:w="1598" w:type="dxa"/>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Срок службы в годах</w:t>
            </w:r>
          </w:p>
        </w:tc>
      </w:tr>
      <w:tr w:rsidR="00390A68" w:rsidRPr="00212FA7" w:rsidTr="00390A68">
        <w:trPr>
          <w:tblCellSpacing w:w="0" w:type="dxa"/>
          <w:jc w:val="center"/>
        </w:trPr>
        <w:tc>
          <w:tcPr>
            <w:tcW w:w="7503" w:type="dxa"/>
            <w:gridSpan w:val="2"/>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1</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2</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w:t>
            </w: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Фундаменты: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бетонные, железобетонные, ленточные и свайные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150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бутовые на сложном растворе или цементном растворе, бутобетоне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150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бутовые на известковом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100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2.</w:t>
            </w: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Стены: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капитальные, кирпичные при толщине стен в 2,5-3,5 кирпича на сложном или цементном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150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кирпичные с железобетонным или металлическим каркасом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150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крупноблочные толщиной 40 см и более шлакобетонных или керамзитобетонных блоков на цементном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125</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кирпичные с толщиной стен в 2,0-2,5 кирпича на известковом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125</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крупноблочные из шлакобетонных и керамзитобетонных блоков толщиной 40 см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125</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крупноблочные из силикальцитных, кирпичных, легкобетонных и зольно-сланцевых блоков</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100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крупнопанельные однослойные из шлакобетона, керамзитобетона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125</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многослойные из железобетонных плит и утеплителя, керамзитобетонные, виброкирпичные с утеплителем, кирпичные облегченные при толщине 1,5-2 кирпича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100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3.</w:t>
            </w: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Перекрытия железобетонные.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монолитные, сборно-монолитные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150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сборные из панелей и настилов толщиной более 10 см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150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толщиной 10 см и менее 10 см и ребристое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70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сборные по ж/б балкам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150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железобетонные или бетонные по металлическим балкам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125</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4.</w:t>
            </w: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Полы: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из метлахской и керамической плитки по бетонному основанию</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80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паркетные дубовые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80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то же, буковые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50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дощатые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30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из поливинилхлоридных плиток, линолеума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5.</w:t>
            </w: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Лестницы: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из сборных железобетонных элементов, из каменных, бетонных и железобетонных плит по металлическим и железобетонным косоурам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100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6.</w:t>
            </w: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Крыши: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А. Несущие элементы: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из сборных железобетонных настилов</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150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из железобетонных стропил и обрешетки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150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железобетонные совмещенные крыши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100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Б. кровля из:</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керамической первосортной черепицы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80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асбестоцементных плит и волнистого асбошифера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30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оцинкованной стали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25</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черной листовой стали, окрашенной масляными или синтетическими красками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15</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рулонных материалов</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8</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7.</w:t>
            </w: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Перегородки: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железобетонные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150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шлакобетонные, бетонные, кирпичные, оштукатуренные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75</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гипсовые, гипсоволокнистые, гипсобетонные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60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деревянные оштукатуренные или обитые сухой штукатуркой</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40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8.</w:t>
            </w: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Двери и окна: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дверные и оконные блоки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20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9.</w:t>
            </w: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Внутренняя отделка: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штукатурка по бетонным и кирпичным стенам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50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штукатурка по деревянным перегородкам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35</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масляная окраска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6</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оклейка стен обоями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4</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10.</w:t>
            </w: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Инженерное оборудование: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водопровод и канализация</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30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отопление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30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горячее водоснабжение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вентиляция</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30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электроосвещение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15</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электроплиты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20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газооборудование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20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лифты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20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11.</w:t>
            </w: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Благоустройство придомового участка: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благоустройство участка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15</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12.</w:t>
            </w: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Наружная отделка: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облицовка стен естественным камнем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125</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облицовка стен керамическими плитками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75</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терразитовая штукатурка с мраморной крошкой</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50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облицовка ковровой плиткой</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35</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штукатурка по кирпичу на сложном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30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штукатурка по кирпичу на известковом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20</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штукатурка по дереву</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15</w:t>
            </w:r>
          </w:p>
        </w:tc>
      </w:tr>
      <w:tr w:rsidR="00390A68" w:rsidRPr="00212FA7" w:rsidTr="00390A68">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ind w:firstLine="709"/>
              <w:jc w:val="center"/>
              <w:rPr>
                <w:rFonts w:ascii="Cambria" w:hAnsi="Cambria"/>
                <w:sz w:val="18"/>
                <w:szCs w:val="18"/>
                <w:lang w:eastAsia="en-US"/>
              </w:rPr>
            </w:pPr>
            <w:r w:rsidRPr="00212FA7">
              <w:rPr>
                <w:rFonts w:asciiTheme="majorHAnsi" w:hAnsiTheme="majorHAnsi" w:cstheme="minorBidi"/>
                <w:sz w:val="18"/>
                <w:szCs w:val="18"/>
                <w:lang w:eastAsia="en-US"/>
              </w:rPr>
              <w:t>- окраска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390A68" w:rsidRPr="00212FA7" w:rsidRDefault="00390A68" w:rsidP="00390A68">
            <w:pPr>
              <w:jc w:val="center"/>
              <w:rPr>
                <w:rFonts w:ascii="Cambria" w:hAnsi="Cambria"/>
                <w:sz w:val="18"/>
                <w:szCs w:val="18"/>
                <w:lang w:eastAsia="en-US"/>
              </w:rPr>
            </w:pPr>
            <w:r w:rsidRPr="00212FA7">
              <w:rPr>
                <w:rFonts w:asciiTheme="majorHAnsi" w:hAnsiTheme="majorHAnsi" w:cstheme="minorBidi"/>
                <w:sz w:val="18"/>
                <w:szCs w:val="18"/>
                <w:lang w:eastAsia="en-US"/>
              </w:rPr>
              <w:t>5</w:t>
            </w:r>
          </w:p>
        </w:tc>
      </w:tr>
    </w:tbl>
    <w:p w:rsidR="00390A68" w:rsidRDefault="00390A68" w:rsidP="00390A68">
      <w:pPr>
        <w:autoSpaceDE w:val="0"/>
        <w:autoSpaceDN w:val="0"/>
        <w:adjustRightInd w:val="0"/>
        <w:ind w:firstLine="709"/>
        <w:jc w:val="both"/>
        <w:rPr>
          <w:rFonts w:ascii="Cambria" w:eastAsiaTheme="minorHAnsi" w:hAnsi="Cambria" w:cs="Cambria"/>
          <w:color w:val="000000"/>
          <w:sz w:val="20"/>
          <w:szCs w:val="20"/>
          <w:lang w:eastAsia="en-US"/>
        </w:rPr>
      </w:pPr>
      <w:r w:rsidRPr="00390A68">
        <w:rPr>
          <w:rFonts w:ascii="Cambria" w:eastAsiaTheme="minorHAnsi" w:hAnsi="Cambria" w:cs="Cambria"/>
          <w:color w:val="000000"/>
          <w:sz w:val="20"/>
          <w:szCs w:val="20"/>
          <w:lang w:eastAsia="en-US"/>
        </w:rPr>
        <w:t xml:space="preserve">* Методические рекомендации по технико-экономической оценке санитарно-технических систем (отопление и вентиляция) зданий ЦНИИЭП инж. оборуд. М., 85 г. </w:t>
      </w:r>
    </w:p>
    <w:p w:rsidR="00390A68" w:rsidRPr="00390A68" w:rsidRDefault="00390A68" w:rsidP="00390A68">
      <w:pPr>
        <w:autoSpaceDE w:val="0"/>
        <w:autoSpaceDN w:val="0"/>
        <w:adjustRightInd w:val="0"/>
        <w:ind w:firstLine="709"/>
        <w:jc w:val="both"/>
        <w:rPr>
          <w:rFonts w:ascii="Cambria" w:eastAsiaTheme="minorHAnsi" w:hAnsi="Cambria" w:cs="Cambria"/>
          <w:color w:val="000000"/>
          <w:sz w:val="20"/>
          <w:szCs w:val="20"/>
          <w:lang w:eastAsia="en-US"/>
        </w:rPr>
      </w:pPr>
    </w:p>
    <w:p w:rsidR="00390A68" w:rsidRPr="00390A68" w:rsidRDefault="00390A68" w:rsidP="00390A68">
      <w:pPr>
        <w:autoSpaceDE w:val="0"/>
        <w:autoSpaceDN w:val="0"/>
        <w:adjustRightInd w:val="0"/>
        <w:ind w:firstLine="709"/>
        <w:jc w:val="both"/>
        <w:rPr>
          <w:rFonts w:ascii="Cambria" w:eastAsiaTheme="minorHAnsi" w:hAnsi="Cambria" w:cs="Cambria"/>
          <w:color w:val="000000"/>
          <w:sz w:val="20"/>
          <w:szCs w:val="20"/>
          <w:lang w:eastAsia="en-US"/>
        </w:rPr>
      </w:pPr>
      <w:r w:rsidRPr="00390A68">
        <w:rPr>
          <w:rFonts w:ascii="Cambria" w:eastAsiaTheme="minorHAnsi" w:hAnsi="Cambria" w:cs="Cambria"/>
          <w:color w:val="000000"/>
          <w:sz w:val="20"/>
          <w:szCs w:val="20"/>
          <w:lang w:eastAsia="en-US"/>
        </w:rPr>
        <w:t xml:space="preserve">Оценщик исходит из допущения, что нормативный срок экономической жизни объектов совпадает с фактическим. </w:t>
      </w:r>
    </w:p>
    <w:p w:rsidR="00865DF8" w:rsidRPr="002176D6" w:rsidRDefault="00390A68" w:rsidP="00390A68">
      <w:pPr>
        <w:ind w:firstLine="709"/>
        <w:jc w:val="both"/>
        <w:rPr>
          <w:rFonts w:asciiTheme="majorHAnsi" w:eastAsiaTheme="minorHAnsi" w:hAnsiTheme="majorHAnsi"/>
          <w:color w:val="000000"/>
          <w:sz w:val="20"/>
          <w:szCs w:val="20"/>
          <w:lang w:eastAsia="en-US"/>
        </w:rPr>
      </w:pPr>
      <w:r w:rsidRPr="00390A68">
        <w:rPr>
          <w:rFonts w:eastAsiaTheme="minorHAnsi"/>
          <w:color w:val="000000"/>
          <w:sz w:val="22"/>
          <w:szCs w:val="22"/>
          <w:lang w:eastAsia="en-US"/>
        </w:rPr>
        <w:t>Т</w:t>
      </w:r>
      <w:r w:rsidRPr="002176D6">
        <w:rPr>
          <w:rFonts w:asciiTheme="majorHAnsi" w:eastAsiaTheme="minorHAnsi" w:hAnsiTheme="majorHAnsi"/>
          <w:color w:val="000000"/>
          <w:sz w:val="20"/>
          <w:szCs w:val="20"/>
          <w:lang w:eastAsia="en-US"/>
        </w:rPr>
        <w:t xml:space="preserve">аким образом возврат капитала составит </w:t>
      </w:r>
      <w:r w:rsidR="002176D6">
        <w:rPr>
          <w:rFonts w:asciiTheme="majorHAnsi" w:eastAsiaTheme="minorHAnsi" w:hAnsiTheme="majorHAnsi"/>
          <w:color w:val="000000"/>
          <w:sz w:val="20"/>
          <w:szCs w:val="20"/>
          <w:lang w:eastAsia="en-US"/>
        </w:rPr>
        <w:t>1,042</w:t>
      </w:r>
      <w:r w:rsidRPr="002176D6">
        <w:rPr>
          <w:rFonts w:asciiTheme="majorHAnsi" w:eastAsiaTheme="minorHAnsi" w:hAnsiTheme="majorHAnsi"/>
          <w:color w:val="000000"/>
          <w:sz w:val="20"/>
          <w:szCs w:val="20"/>
          <w:lang w:eastAsia="en-US"/>
        </w:rPr>
        <w:t>%:</w:t>
      </w:r>
    </w:p>
    <w:p w:rsidR="00390A68" w:rsidRDefault="00390A68" w:rsidP="00390A68">
      <w:pPr>
        <w:ind w:firstLine="709"/>
        <w:jc w:val="both"/>
        <w:rPr>
          <w:b/>
          <w:bCs/>
          <w:sz w:val="20"/>
          <w:szCs w:val="20"/>
        </w:rPr>
      </w:pPr>
    </w:p>
    <w:tbl>
      <w:tblPr>
        <w:tblW w:w="6997"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shd w:val="clear" w:color="000000" w:fill="FFFFFF" w:themeFill="background1"/>
        <w:tblLook w:val="04A0" w:firstRow="1" w:lastRow="0" w:firstColumn="1" w:lastColumn="0" w:noHBand="0" w:noVBand="1"/>
      </w:tblPr>
      <w:tblGrid>
        <w:gridCol w:w="1880"/>
        <w:gridCol w:w="1480"/>
        <w:gridCol w:w="2290"/>
        <w:gridCol w:w="1347"/>
      </w:tblGrid>
      <w:tr w:rsidR="00390A68" w:rsidRPr="00212FA7" w:rsidTr="00D80751">
        <w:trPr>
          <w:trHeight w:val="300"/>
          <w:jc w:val="center"/>
        </w:trPr>
        <w:tc>
          <w:tcPr>
            <w:tcW w:w="1880" w:type="dxa"/>
            <w:tcBorders>
              <w:top w:val="double" w:sz="4" w:space="0" w:color="auto"/>
              <w:bottom w:val="single" w:sz="6" w:space="0" w:color="auto"/>
            </w:tcBorders>
            <w:shd w:val="clear" w:color="000000" w:fill="F2F2F2" w:themeFill="background1" w:themeFillShade="F2"/>
            <w:noWrap/>
            <w:vAlign w:val="center"/>
          </w:tcPr>
          <w:p w:rsidR="00390A68" w:rsidRPr="00390A68" w:rsidRDefault="00390A68" w:rsidP="00390A68">
            <w:pPr>
              <w:jc w:val="center"/>
              <w:rPr>
                <w:rFonts w:asciiTheme="majorHAnsi" w:hAnsiTheme="majorHAnsi"/>
                <w:b/>
                <w:color w:val="000000"/>
                <w:sz w:val="18"/>
                <w:szCs w:val="18"/>
              </w:rPr>
            </w:pPr>
            <w:r w:rsidRPr="00212FA7">
              <w:rPr>
                <w:rFonts w:asciiTheme="majorHAnsi" w:hAnsiTheme="majorHAnsi"/>
                <w:b/>
                <w:color w:val="000000"/>
                <w:sz w:val="18"/>
                <w:szCs w:val="18"/>
              </w:rPr>
              <w:t>Год постройки ОКС</w:t>
            </w:r>
          </w:p>
        </w:tc>
        <w:tc>
          <w:tcPr>
            <w:tcW w:w="1480" w:type="dxa"/>
            <w:tcBorders>
              <w:top w:val="double" w:sz="4" w:space="0" w:color="auto"/>
              <w:bottom w:val="single" w:sz="6" w:space="0" w:color="auto"/>
            </w:tcBorders>
            <w:shd w:val="clear" w:color="000000" w:fill="F2F2F2" w:themeFill="background1" w:themeFillShade="F2"/>
            <w:noWrap/>
            <w:vAlign w:val="center"/>
          </w:tcPr>
          <w:p w:rsidR="00390A68" w:rsidRPr="00390A68" w:rsidRDefault="00212FA7" w:rsidP="00390A68">
            <w:pPr>
              <w:jc w:val="center"/>
              <w:rPr>
                <w:rFonts w:asciiTheme="majorHAnsi" w:hAnsiTheme="majorHAnsi"/>
                <w:b/>
                <w:color w:val="000000"/>
                <w:sz w:val="18"/>
                <w:szCs w:val="18"/>
              </w:rPr>
            </w:pPr>
            <w:r w:rsidRPr="00212FA7">
              <w:rPr>
                <w:rFonts w:asciiTheme="majorHAnsi" w:hAnsiTheme="majorHAnsi"/>
                <w:b/>
                <w:color w:val="000000"/>
                <w:sz w:val="18"/>
                <w:szCs w:val="18"/>
              </w:rPr>
              <w:t>Дата оценки</w:t>
            </w:r>
          </w:p>
        </w:tc>
        <w:tc>
          <w:tcPr>
            <w:tcW w:w="2290" w:type="dxa"/>
            <w:tcBorders>
              <w:top w:val="double" w:sz="4" w:space="0" w:color="auto"/>
              <w:bottom w:val="single" w:sz="6" w:space="0" w:color="auto"/>
            </w:tcBorders>
            <w:shd w:val="clear" w:color="000000" w:fill="F2F2F2" w:themeFill="background1" w:themeFillShade="F2"/>
            <w:noWrap/>
            <w:vAlign w:val="center"/>
          </w:tcPr>
          <w:p w:rsidR="00390A68" w:rsidRPr="00390A68" w:rsidRDefault="00212FA7" w:rsidP="00390A68">
            <w:pPr>
              <w:jc w:val="center"/>
              <w:rPr>
                <w:rFonts w:asciiTheme="majorHAnsi" w:hAnsiTheme="majorHAnsi"/>
                <w:b/>
                <w:color w:val="000000"/>
                <w:sz w:val="18"/>
                <w:szCs w:val="18"/>
              </w:rPr>
            </w:pPr>
            <w:r w:rsidRPr="00212FA7">
              <w:rPr>
                <w:rFonts w:asciiTheme="majorHAnsi" w:hAnsiTheme="majorHAnsi"/>
                <w:b/>
                <w:color w:val="000000"/>
                <w:sz w:val="18"/>
                <w:szCs w:val="18"/>
              </w:rPr>
              <w:t xml:space="preserve">Фактический срок эксплуатации </w:t>
            </w:r>
          </w:p>
        </w:tc>
        <w:tc>
          <w:tcPr>
            <w:tcW w:w="1347" w:type="dxa"/>
            <w:tcBorders>
              <w:top w:val="double" w:sz="4" w:space="0" w:color="auto"/>
              <w:bottom w:val="single" w:sz="6" w:space="0" w:color="auto"/>
            </w:tcBorders>
            <w:shd w:val="clear" w:color="000000" w:fill="F2F2F2" w:themeFill="background1" w:themeFillShade="F2"/>
            <w:vAlign w:val="center"/>
          </w:tcPr>
          <w:p w:rsidR="00390A68" w:rsidRPr="00212FA7" w:rsidRDefault="00212FA7" w:rsidP="00390A68">
            <w:pPr>
              <w:jc w:val="center"/>
              <w:rPr>
                <w:rFonts w:asciiTheme="majorHAnsi" w:hAnsiTheme="majorHAnsi"/>
                <w:b/>
                <w:color w:val="000000"/>
                <w:sz w:val="18"/>
                <w:szCs w:val="18"/>
              </w:rPr>
            </w:pPr>
            <w:r w:rsidRPr="00212FA7">
              <w:rPr>
                <w:rFonts w:asciiTheme="majorHAnsi" w:hAnsiTheme="majorHAnsi"/>
                <w:b/>
                <w:color w:val="000000"/>
                <w:sz w:val="18"/>
                <w:szCs w:val="18"/>
              </w:rPr>
              <w:t>Оставшийся срок службы</w:t>
            </w:r>
          </w:p>
        </w:tc>
      </w:tr>
      <w:tr w:rsidR="00390A68" w:rsidRPr="00212FA7" w:rsidTr="00D80751">
        <w:trPr>
          <w:trHeight w:val="300"/>
          <w:jc w:val="center"/>
        </w:trPr>
        <w:tc>
          <w:tcPr>
            <w:tcW w:w="1880" w:type="dxa"/>
            <w:tcBorders>
              <w:top w:val="single" w:sz="6" w:space="0" w:color="auto"/>
            </w:tcBorders>
            <w:shd w:val="clear" w:color="000000" w:fill="FFFFFF" w:themeFill="background1"/>
            <w:noWrap/>
            <w:vAlign w:val="center"/>
            <w:hideMark/>
          </w:tcPr>
          <w:p w:rsidR="00390A68" w:rsidRPr="00390A68" w:rsidRDefault="00390A68" w:rsidP="002176D6">
            <w:pPr>
              <w:jc w:val="center"/>
              <w:rPr>
                <w:rFonts w:asciiTheme="majorHAnsi" w:hAnsiTheme="majorHAnsi"/>
                <w:color w:val="000000"/>
                <w:sz w:val="18"/>
                <w:szCs w:val="18"/>
              </w:rPr>
            </w:pPr>
            <w:r w:rsidRPr="00390A68">
              <w:rPr>
                <w:rFonts w:asciiTheme="majorHAnsi" w:hAnsiTheme="majorHAnsi"/>
                <w:color w:val="000000"/>
                <w:sz w:val="18"/>
                <w:szCs w:val="18"/>
              </w:rPr>
              <w:t>199</w:t>
            </w:r>
            <w:r w:rsidR="002176D6">
              <w:rPr>
                <w:rFonts w:asciiTheme="majorHAnsi" w:hAnsiTheme="majorHAnsi"/>
                <w:color w:val="000000"/>
                <w:sz w:val="18"/>
                <w:szCs w:val="18"/>
              </w:rPr>
              <w:t>3</w:t>
            </w:r>
          </w:p>
        </w:tc>
        <w:tc>
          <w:tcPr>
            <w:tcW w:w="1480" w:type="dxa"/>
            <w:tcBorders>
              <w:top w:val="single" w:sz="6" w:space="0" w:color="auto"/>
            </w:tcBorders>
            <w:shd w:val="clear" w:color="000000" w:fill="FFFFFF" w:themeFill="background1"/>
            <w:noWrap/>
            <w:vAlign w:val="center"/>
            <w:hideMark/>
          </w:tcPr>
          <w:p w:rsidR="00390A68" w:rsidRPr="00390A68" w:rsidRDefault="002176D6" w:rsidP="00390A68">
            <w:pPr>
              <w:jc w:val="center"/>
              <w:rPr>
                <w:rFonts w:asciiTheme="majorHAnsi" w:hAnsiTheme="majorHAnsi"/>
                <w:color w:val="000000"/>
                <w:sz w:val="18"/>
                <w:szCs w:val="18"/>
              </w:rPr>
            </w:pPr>
            <w:r>
              <w:rPr>
                <w:rFonts w:asciiTheme="majorHAnsi" w:hAnsiTheme="majorHAnsi"/>
                <w:color w:val="000000"/>
                <w:sz w:val="18"/>
                <w:szCs w:val="18"/>
              </w:rPr>
              <w:t>2017</w:t>
            </w:r>
          </w:p>
        </w:tc>
        <w:tc>
          <w:tcPr>
            <w:tcW w:w="2290" w:type="dxa"/>
            <w:tcBorders>
              <w:top w:val="single" w:sz="6" w:space="0" w:color="auto"/>
            </w:tcBorders>
            <w:shd w:val="clear" w:color="000000" w:fill="FFFFFF" w:themeFill="background1"/>
            <w:noWrap/>
            <w:vAlign w:val="center"/>
            <w:hideMark/>
          </w:tcPr>
          <w:p w:rsidR="00390A68" w:rsidRPr="00390A68" w:rsidRDefault="00390A68" w:rsidP="002176D6">
            <w:pPr>
              <w:jc w:val="center"/>
              <w:rPr>
                <w:rFonts w:asciiTheme="majorHAnsi" w:hAnsiTheme="majorHAnsi"/>
                <w:color w:val="000000"/>
                <w:sz w:val="18"/>
                <w:szCs w:val="18"/>
              </w:rPr>
            </w:pPr>
            <w:r w:rsidRPr="00390A68">
              <w:rPr>
                <w:rFonts w:asciiTheme="majorHAnsi" w:hAnsiTheme="majorHAnsi"/>
                <w:color w:val="000000"/>
                <w:sz w:val="18"/>
                <w:szCs w:val="18"/>
              </w:rPr>
              <w:t>2</w:t>
            </w:r>
            <w:r w:rsidR="002176D6">
              <w:rPr>
                <w:rFonts w:asciiTheme="majorHAnsi" w:hAnsiTheme="majorHAnsi"/>
                <w:color w:val="000000"/>
                <w:sz w:val="18"/>
                <w:szCs w:val="18"/>
              </w:rPr>
              <w:t>4</w:t>
            </w:r>
          </w:p>
        </w:tc>
        <w:tc>
          <w:tcPr>
            <w:tcW w:w="1347" w:type="dxa"/>
            <w:tcBorders>
              <w:top w:val="single" w:sz="6" w:space="0" w:color="auto"/>
            </w:tcBorders>
            <w:shd w:val="clear" w:color="000000" w:fill="FFFFFF" w:themeFill="background1"/>
            <w:vAlign w:val="center"/>
          </w:tcPr>
          <w:p w:rsidR="00390A68" w:rsidRPr="00212FA7" w:rsidRDefault="00390A68" w:rsidP="002176D6">
            <w:pPr>
              <w:jc w:val="center"/>
              <w:rPr>
                <w:rFonts w:asciiTheme="majorHAnsi" w:hAnsiTheme="majorHAnsi"/>
                <w:color w:val="000000"/>
                <w:sz w:val="18"/>
                <w:szCs w:val="18"/>
              </w:rPr>
            </w:pPr>
            <w:r w:rsidRPr="00212FA7">
              <w:rPr>
                <w:rFonts w:asciiTheme="majorHAnsi" w:hAnsiTheme="majorHAnsi"/>
                <w:color w:val="000000"/>
                <w:sz w:val="18"/>
                <w:szCs w:val="18"/>
              </w:rPr>
              <w:t>9</w:t>
            </w:r>
            <w:r w:rsidR="002176D6">
              <w:rPr>
                <w:rFonts w:asciiTheme="majorHAnsi" w:hAnsiTheme="majorHAnsi"/>
                <w:color w:val="000000"/>
                <w:sz w:val="18"/>
                <w:szCs w:val="18"/>
              </w:rPr>
              <w:t>6</w:t>
            </w:r>
          </w:p>
        </w:tc>
      </w:tr>
      <w:tr w:rsidR="00212FA7" w:rsidRPr="00212FA7" w:rsidTr="00D80751">
        <w:trPr>
          <w:trHeight w:val="300"/>
          <w:jc w:val="center"/>
        </w:trPr>
        <w:tc>
          <w:tcPr>
            <w:tcW w:w="5650" w:type="dxa"/>
            <w:gridSpan w:val="3"/>
            <w:shd w:val="clear" w:color="000000" w:fill="FFFFFF" w:themeFill="background1"/>
            <w:noWrap/>
            <w:vAlign w:val="center"/>
            <w:hideMark/>
          </w:tcPr>
          <w:p w:rsidR="00212FA7" w:rsidRPr="00390A68" w:rsidRDefault="00212FA7" w:rsidP="00212FA7">
            <w:pPr>
              <w:jc w:val="center"/>
              <w:rPr>
                <w:rFonts w:asciiTheme="majorHAnsi" w:hAnsiTheme="majorHAnsi"/>
                <w:color w:val="000000"/>
                <w:sz w:val="18"/>
                <w:szCs w:val="18"/>
              </w:rPr>
            </w:pPr>
            <w:r w:rsidRPr="00390A68">
              <w:rPr>
                <w:rFonts w:asciiTheme="majorHAnsi" w:hAnsiTheme="majorHAnsi"/>
                <w:color w:val="000000"/>
                <w:sz w:val="18"/>
                <w:szCs w:val="18"/>
              </w:rPr>
              <w:t> </w:t>
            </w:r>
            <w:r w:rsidRPr="00212FA7">
              <w:rPr>
                <w:rFonts w:asciiTheme="majorHAnsi" w:hAnsiTheme="majorHAnsi"/>
                <w:color w:val="000000"/>
                <w:sz w:val="18"/>
                <w:szCs w:val="18"/>
              </w:rPr>
              <w:t>Коэффициент возврата капитала (1/срок ост.)</w:t>
            </w:r>
          </w:p>
        </w:tc>
        <w:tc>
          <w:tcPr>
            <w:tcW w:w="1347" w:type="dxa"/>
            <w:shd w:val="clear" w:color="000000" w:fill="FFFFFF" w:themeFill="background1"/>
            <w:vAlign w:val="center"/>
          </w:tcPr>
          <w:p w:rsidR="00212FA7" w:rsidRPr="00212FA7" w:rsidRDefault="00212FA7" w:rsidP="002176D6">
            <w:pPr>
              <w:jc w:val="center"/>
              <w:rPr>
                <w:rFonts w:asciiTheme="majorHAnsi" w:hAnsiTheme="majorHAnsi"/>
                <w:b/>
                <w:color w:val="000000"/>
                <w:sz w:val="18"/>
                <w:szCs w:val="18"/>
              </w:rPr>
            </w:pPr>
            <w:r w:rsidRPr="00390A68">
              <w:rPr>
                <w:rFonts w:asciiTheme="majorHAnsi" w:hAnsiTheme="majorHAnsi"/>
                <w:b/>
                <w:color w:val="000000"/>
                <w:sz w:val="18"/>
                <w:szCs w:val="18"/>
              </w:rPr>
              <w:t>1,0</w:t>
            </w:r>
            <w:r w:rsidR="002176D6">
              <w:rPr>
                <w:rFonts w:asciiTheme="majorHAnsi" w:hAnsiTheme="majorHAnsi"/>
                <w:b/>
                <w:color w:val="000000"/>
                <w:sz w:val="18"/>
                <w:szCs w:val="18"/>
              </w:rPr>
              <w:t>42</w:t>
            </w:r>
          </w:p>
        </w:tc>
      </w:tr>
    </w:tbl>
    <w:p w:rsidR="00865DF8" w:rsidRDefault="00865DF8" w:rsidP="00865DF8">
      <w:pPr>
        <w:jc w:val="center"/>
        <w:rPr>
          <w:b/>
          <w:bCs/>
          <w:sz w:val="20"/>
          <w:szCs w:val="20"/>
        </w:rPr>
      </w:pPr>
    </w:p>
    <w:p w:rsidR="00212FA7" w:rsidRPr="00212FA7" w:rsidRDefault="00212FA7" w:rsidP="00865DF8">
      <w:pPr>
        <w:jc w:val="center"/>
        <w:rPr>
          <w:rStyle w:val="aff"/>
          <w:rFonts w:asciiTheme="majorHAnsi" w:eastAsiaTheme="majorEastAsia" w:hAnsiTheme="majorHAnsi"/>
          <w:bCs w:val="0"/>
          <w:i w:val="0"/>
          <w:sz w:val="20"/>
          <w:szCs w:val="20"/>
        </w:rPr>
      </w:pPr>
      <w:r w:rsidRPr="00212FA7">
        <w:rPr>
          <w:rStyle w:val="aff"/>
          <w:rFonts w:asciiTheme="majorHAnsi" w:eastAsiaTheme="majorEastAsia" w:hAnsiTheme="majorHAnsi"/>
          <w:bCs w:val="0"/>
          <w:i w:val="0"/>
          <w:sz w:val="20"/>
          <w:szCs w:val="20"/>
        </w:rPr>
        <w:t>Расчет коэффициента капит</w:t>
      </w:r>
      <w:r>
        <w:rPr>
          <w:rStyle w:val="aff"/>
          <w:rFonts w:asciiTheme="majorHAnsi" w:eastAsiaTheme="majorEastAsia" w:hAnsiTheme="majorHAnsi"/>
          <w:bCs w:val="0"/>
          <w:i w:val="0"/>
          <w:sz w:val="20"/>
          <w:szCs w:val="20"/>
        </w:rPr>
        <w:t>а</w:t>
      </w:r>
      <w:r w:rsidRPr="00212FA7">
        <w:rPr>
          <w:rStyle w:val="aff"/>
          <w:rFonts w:asciiTheme="majorHAnsi" w:eastAsiaTheme="majorEastAsia" w:hAnsiTheme="majorHAnsi"/>
          <w:bCs w:val="0"/>
          <w:i w:val="0"/>
          <w:sz w:val="20"/>
          <w:szCs w:val="20"/>
        </w:rPr>
        <w:t>лизации</w:t>
      </w:r>
    </w:p>
    <w:p w:rsidR="00212FA7" w:rsidRDefault="00212FA7" w:rsidP="00865DF8">
      <w:pPr>
        <w:jc w:val="center"/>
        <w:rPr>
          <w:b/>
          <w:bCs/>
          <w:sz w:val="20"/>
          <w:szCs w:val="20"/>
        </w:rPr>
      </w:pPr>
    </w:p>
    <w:tbl>
      <w:tblPr>
        <w:tblW w:w="5980"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060"/>
        <w:gridCol w:w="1920"/>
      </w:tblGrid>
      <w:tr w:rsidR="00212FA7" w:rsidRPr="00D80751" w:rsidTr="00212FA7">
        <w:trPr>
          <w:trHeight w:val="20"/>
          <w:jc w:val="center"/>
        </w:trPr>
        <w:tc>
          <w:tcPr>
            <w:tcW w:w="4060" w:type="dxa"/>
            <w:shd w:val="clear" w:color="000000" w:fill="F2F2F2"/>
            <w:vAlign w:val="center"/>
            <w:hideMark/>
          </w:tcPr>
          <w:p w:rsidR="00212FA7" w:rsidRPr="00D80751" w:rsidRDefault="00212FA7" w:rsidP="00212FA7">
            <w:pPr>
              <w:jc w:val="center"/>
              <w:rPr>
                <w:rFonts w:ascii="Cambria" w:hAnsi="Cambria"/>
                <w:b/>
                <w:bCs/>
                <w:sz w:val="18"/>
                <w:szCs w:val="18"/>
              </w:rPr>
            </w:pPr>
            <w:r w:rsidRPr="00D80751">
              <w:rPr>
                <w:rFonts w:ascii="Cambria" w:hAnsi="Cambria"/>
                <w:b/>
                <w:bCs/>
                <w:sz w:val="18"/>
                <w:szCs w:val="18"/>
              </w:rPr>
              <w:t>Показатель</w:t>
            </w:r>
          </w:p>
        </w:tc>
        <w:tc>
          <w:tcPr>
            <w:tcW w:w="1920" w:type="dxa"/>
            <w:shd w:val="clear" w:color="000000" w:fill="F2F2F2"/>
            <w:vAlign w:val="center"/>
            <w:hideMark/>
          </w:tcPr>
          <w:p w:rsidR="00212FA7" w:rsidRPr="00D80751" w:rsidRDefault="00212FA7" w:rsidP="00212FA7">
            <w:pPr>
              <w:jc w:val="center"/>
              <w:rPr>
                <w:rFonts w:ascii="Cambria" w:hAnsi="Cambria"/>
                <w:b/>
                <w:bCs/>
                <w:sz w:val="18"/>
                <w:szCs w:val="18"/>
              </w:rPr>
            </w:pPr>
            <w:r w:rsidRPr="00D80751">
              <w:rPr>
                <w:rFonts w:ascii="Cambria" w:hAnsi="Cambria"/>
                <w:b/>
                <w:bCs/>
                <w:sz w:val="18"/>
                <w:szCs w:val="18"/>
              </w:rPr>
              <w:t>Коэффициент капитализации</w:t>
            </w:r>
          </w:p>
        </w:tc>
      </w:tr>
      <w:tr w:rsidR="002176D6" w:rsidRPr="00D80751" w:rsidTr="00212FA7">
        <w:trPr>
          <w:trHeight w:val="20"/>
          <w:jc w:val="center"/>
        </w:trPr>
        <w:tc>
          <w:tcPr>
            <w:tcW w:w="4060" w:type="dxa"/>
            <w:shd w:val="clear" w:color="auto" w:fill="auto"/>
            <w:vAlign w:val="center"/>
            <w:hideMark/>
          </w:tcPr>
          <w:p w:rsidR="002176D6" w:rsidRPr="00D80751" w:rsidRDefault="002176D6" w:rsidP="00212FA7">
            <w:pPr>
              <w:jc w:val="center"/>
              <w:rPr>
                <w:rFonts w:ascii="Cambria" w:hAnsi="Cambria"/>
                <w:color w:val="000000"/>
                <w:sz w:val="18"/>
                <w:szCs w:val="18"/>
              </w:rPr>
            </w:pPr>
            <w:r w:rsidRPr="00D80751">
              <w:rPr>
                <w:rFonts w:ascii="Cambria" w:hAnsi="Cambria"/>
                <w:color w:val="000000"/>
                <w:sz w:val="18"/>
                <w:szCs w:val="18"/>
              </w:rPr>
              <w:t>Безрисковая ставка, %</w:t>
            </w:r>
          </w:p>
        </w:tc>
        <w:tc>
          <w:tcPr>
            <w:tcW w:w="1920" w:type="dxa"/>
            <w:shd w:val="clear" w:color="000000" w:fill="FFFFFF"/>
            <w:vAlign w:val="center"/>
            <w:hideMark/>
          </w:tcPr>
          <w:p w:rsidR="002176D6" w:rsidRPr="002176D6" w:rsidRDefault="002176D6">
            <w:pPr>
              <w:jc w:val="center"/>
              <w:rPr>
                <w:rFonts w:ascii="Cambria" w:hAnsi="Cambria"/>
                <w:color w:val="000000"/>
                <w:sz w:val="18"/>
                <w:szCs w:val="18"/>
              </w:rPr>
            </w:pPr>
            <w:r w:rsidRPr="002176D6">
              <w:rPr>
                <w:rFonts w:ascii="Cambria" w:hAnsi="Cambria"/>
                <w:color w:val="000000"/>
                <w:sz w:val="18"/>
                <w:szCs w:val="18"/>
              </w:rPr>
              <w:t>5,140%</w:t>
            </w:r>
          </w:p>
        </w:tc>
      </w:tr>
      <w:tr w:rsidR="002176D6" w:rsidRPr="00D80751" w:rsidTr="00212FA7">
        <w:trPr>
          <w:trHeight w:val="20"/>
          <w:jc w:val="center"/>
        </w:trPr>
        <w:tc>
          <w:tcPr>
            <w:tcW w:w="4060" w:type="dxa"/>
            <w:shd w:val="clear" w:color="000000" w:fill="FFFFFF"/>
            <w:vAlign w:val="center"/>
            <w:hideMark/>
          </w:tcPr>
          <w:p w:rsidR="002176D6" w:rsidRPr="00D80751" w:rsidRDefault="002176D6" w:rsidP="00212FA7">
            <w:pPr>
              <w:jc w:val="center"/>
              <w:rPr>
                <w:rFonts w:ascii="Cambria" w:hAnsi="Cambria"/>
                <w:color w:val="000000"/>
                <w:sz w:val="18"/>
                <w:szCs w:val="18"/>
              </w:rPr>
            </w:pPr>
            <w:r w:rsidRPr="00D80751">
              <w:rPr>
                <w:rFonts w:ascii="Cambria" w:hAnsi="Cambria"/>
                <w:color w:val="000000"/>
                <w:sz w:val="18"/>
                <w:szCs w:val="18"/>
              </w:rPr>
              <w:t>Затраты на инвестиционный менеджмент, %</w:t>
            </w:r>
          </w:p>
        </w:tc>
        <w:tc>
          <w:tcPr>
            <w:tcW w:w="1920" w:type="dxa"/>
            <w:shd w:val="clear" w:color="000000" w:fill="FFFFFF"/>
            <w:vAlign w:val="center"/>
            <w:hideMark/>
          </w:tcPr>
          <w:p w:rsidR="002176D6" w:rsidRPr="002176D6" w:rsidRDefault="002176D6">
            <w:pPr>
              <w:jc w:val="center"/>
              <w:rPr>
                <w:rFonts w:ascii="Cambria" w:hAnsi="Cambria"/>
                <w:color w:val="000000"/>
                <w:sz w:val="18"/>
                <w:szCs w:val="18"/>
              </w:rPr>
            </w:pPr>
            <w:r w:rsidRPr="002176D6">
              <w:rPr>
                <w:rFonts w:ascii="Cambria" w:hAnsi="Cambria"/>
                <w:color w:val="000000"/>
                <w:sz w:val="18"/>
                <w:szCs w:val="18"/>
              </w:rPr>
              <w:t>0,500%</w:t>
            </w:r>
          </w:p>
        </w:tc>
      </w:tr>
      <w:tr w:rsidR="002176D6" w:rsidRPr="00D80751" w:rsidTr="00212FA7">
        <w:trPr>
          <w:trHeight w:val="20"/>
          <w:jc w:val="center"/>
        </w:trPr>
        <w:tc>
          <w:tcPr>
            <w:tcW w:w="4060" w:type="dxa"/>
            <w:shd w:val="clear" w:color="000000" w:fill="FFFFFF"/>
            <w:vAlign w:val="center"/>
            <w:hideMark/>
          </w:tcPr>
          <w:p w:rsidR="002176D6" w:rsidRPr="00D80751" w:rsidRDefault="002176D6" w:rsidP="00212FA7">
            <w:pPr>
              <w:jc w:val="center"/>
              <w:rPr>
                <w:rFonts w:ascii="Cambria" w:hAnsi="Cambria"/>
                <w:color w:val="000000"/>
                <w:sz w:val="18"/>
                <w:szCs w:val="18"/>
              </w:rPr>
            </w:pPr>
            <w:r w:rsidRPr="00D80751">
              <w:rPr>
                <w:rFonts w:ascii="Cambria" w:hAnsi="Cambria"/>
                <w:color w:val="000000"/>
                <w:sz w:val="18"/>
                <w:szCs w:val="18"/>
              </w:rPr>
              <w:t>Риск вложения в недвижимость,%</w:t>
            </w:r>
          </w:p>
        </w:tc>
        <w:tc>
          <w:tcPr>
            <w:tcW w:w="1920" w:type="dxa"/>
            <w:shd w:val="clear" w:color="000000" w:fill="FFFFFF"/>
            <w:vAlign w:val="center"/>
            <w:hideMark/>
          </w:tcPr>
          <w:p w:rsidR="002176D6" w:rsidRPr="002176D6" w:rsidRDefault="002176D6">
            <w:pPr>
              <w:jc w:val="center"/>
              <w:rPr>
                <w:rFonts w:ascii="Cambria" w:hAnsi="Cambria"/>
                <w:color w:val="000000"/>
                <w:sz w:val="18"/>
                <w:szCs w:val="18"/>
              </w:rPr>
            </w:pPr>
            <w:r w:rsidRPr="002176D6">
              <w:rPr>
                <w:rFonts w:ascii="Cambria" w:hAnsi="Cambria"/>
                <w:color w:val="000000"/>
                <w:sz w:val="18"/>
                <w:szCs w:val="18"/>
              </w:rPr>
              <w:t>0,500%</w:t>
            </w:r>
          </w:p>
        </w:tc>
      </w:tr>
      <w:tr w:rsidR="002176D6" w:rsidRPr="00D80751" w:rsidTr="00212FA7">
        <w:trPr>
          <w:trHeight w:val="20"/>
          <w:jc w:val="center"/>
        </w:trPr>
        <w:tc>
          <w:tcPr>
            <w:tcW w:w="4060" w:type="dxa"/>
            <w:shd w:val="clear" w:color="000000" w:fill="FFFFFF"/>
            <w:vAlign w:val="center"/>
            <w:hideMark/>
          </w:tcPr>
          <w:p w:rsidR="002176D6" w:rsidRPr="00D80751" w:rsidRDefault="002176D6" w:rsidP="00212FA7">
            <w:pPr>
              <w:jc w:val="center"/>
              <w:rPr>
                <w:rFonts w:ascii="Cambria" w:hAnsi="Cambria"/>
                <w:color w:val="000000"/>
                <w:sz w:val="18"/>
                <w:szCs w:val="18"/>
              </w:rPr>
            </w:pPr>
            <w:r w:rsidRPr="00D80751">
              <w:rPr>
                <w:rFonts w:ascii="Cambria" w:hAnsi="Cambria"/>
                <w:color w:val="000000"/>
                <w:sz w:val="18"/>
                <w:szCs w:val="18"/>
              </w:rPr>
              <w:t>Поправка на низкую ликвидность, %</w:t>
            </w:r>
          </w:p>
        </w:tc>
        <w:tc>
          <w:tcPr>
            <w:tcW w:w="1920" w:type="dxa"/>
            <w:shd w:val="clear" w:color="000000" w:fill="FFFFFF"/>
            <w:vAlign w:val="center"/>
            <w:hideMark/>
          </w:tcPr>
          <w:p w:rsidR="002176D6" w:rsidRPr="002176D6" w:rsidRDefault="002176D6">
            <w:pPr>
              <w:jc w:val="center"/>
              <w:rPr>
                <w:rFonts w:ascii="Cambria" w:hAnsi="Cambria"/>
                <w:color w:val="000000"/>
                <w:sz w:val="18"/>
                <w:szCs w:val="18"/>
              </w:rPr>
            </w:pPr>
            <w:r w:rsidRPr="002176D6">
              <w:rPr>
                <w:rFonts w:ascii="Cambria" w:hAnsi="Cambria"/>
                <w:color w:val="000000"/>
                <w:sz w:val="18"/>
                <w:szCs w:val="18"/>
              </w:rPr>
              <w:t>2,570%</w:t>
            </w:r>
          </w:p>
        </w:tc>
      </w:tr>
      <w:tr w:rsidR="002176D6" w:rsidRPr="00D80751" w:rsidTr="00212FA7">
        <w:trPr>
          <w:trHeight w:val="20"/>
          <w:jc w:val="center"/>
        </w:trPr>
        <w:tc>
          <w:tcPr>
            <w:tcW w:w="4060" w:type="dxa"/>
            <w:shd w:val="clear" w:color="000000" w:fill="FFFFFF"/>
            <w:vAlign w:val="center"/>
            <w:hideMark/>
          </w:tcPr>
          <w:p w:rsidR="002176D6" w:rsidRPr="00D80751" w:rsidRDefault="002176D6" w:rsidP="00212FA7">
            <w:pPr>
              <w:jc w:val="center"/>
              <w:rPr>
                <w:rFonts w:ascii="Cambria" w:hAnsi="Cambria"/>
                <w:color w:val="000000"/>
                <w:sz w:val="18"/>
                <w:szCs w:val="18"/>
              </w:rPr>
            </w:pPr>
            <w:r w:rsidRPr="00D80751">
              <w:rPr>
                <w:rFonts w:ascii="Cambria" w:hAnsi="Cambria"/>
                <w:color w:val="000000"/>
                <w:sz w:val="18"/>
                <w:szCs w:val="18"/>
              </w:rPr>
              <w:t>Ставка доходности инвестиции, %</w:t>
            </w:r>
          </w:p>
        </w:tc>
        <w:tc>
          <w:tcPr>
            <w:tcW w:w="1920" w:type="dxa"/>
            <w:shd w:val="clear" w:color="000000" w:fill="FFFFFF"/>
            <w:vAlign w:val="center"/>
            <w:hideMark/>
          </w:tcPr>
          <w:p w:rsidR="002176D6" w:rsidRPr="002176D6" w:rsidRDefault="002176D6">
            <w:pPr>
              <w:jc w:val="center"/>
              <w:rPr>
                <w:rFonts w:ascii="Cambria" w:hAnsi="Cambria"/>
                <w:color w:val="000000"/>
                <w:sz w:val="18"/>
                <w:szCs w:val="18"/>
              </w:rPr>
            </w:pPr>
            <w:r w:rsidRPr="002176D6">
              <w:rPr>
                <w:rFonts w:ascii="Cambria" w:hAnsi="Cambria"/>
                <w:color w:val="000000"/>
                <w:sz w:val="18"/>
                <w:szCs w:val="18"/>
              </w:rPr>
              <w:t>8,710%</w:t>
            </w:r>
          </w:p>
        </w:tc>
      </w:tr>
      <w:tr w:rsidR="002176D6" w:rsidRPr="00D80751" w:rsidTr="00212FA7">
        <w:trPr>
          <w:trHeight w:val="20"/>
          <w:jc w:val="center"/>
        </w:trPr>
        <w:tc>
          <w:tcPr>
            <w:tcW w:w="4060" w:type="dxa"/>
            <w:shd w:val="clear" w:color="000000" w:fill="FFFFFF"/>
            <w:vAlign w:val="center"/>
            <w:hideMark/>
          </w:tcPr>
          <w:p w:rsidR="002176D6" w:rsidRPr="00D80751" w:rsidRDefault="002176D6" w:rsidP="00212FA7">
            <w:pPr>
              <w:jc w:val="center"/>
              <w:rPr>
                <w:rFonts w:ascii="Cambria" w:hAnsi="Cambria"/>
                <w:color w:val="000000"/>
                <w:sz w:val="18"/>
                <w:szCs w:val="18"/>
              </w:rPr>
            </w:pPr>
            <w:r w:rsidRPr="00D80751">
              <w:rPr>
                <w:rFonts w:ascii="Cambria" w:hAnsi="Cambria"/>
                <w:color w:val="000000"/>
                <w:sz w:val="18"/>
                <w:szCs w:val="18"/>
              </w:rPr>
              <w:t>Норма возврата капитала, %</w:t>
            </w:r>
          </w:p>
        </w:tc>
        <w:tc>
          <w:tcPr>
            <w:tcW w:w="1920" w:type="dxa"/>
            <w:shd w:val="clear" w:color="000000" w:fill="FFFFFF"/>
            <w:vAlign w:val="center"/>
            <w:hideMark/>
          </w:tcPr>
          <w:p w:rsidR="002176D6" w:rsidRPr="002176D6" w:rsidRDefault="002176D6">
            <w:pPr>
              <w:jc w:val="center"/>
              <w:rPr>
                <w:rFonts w:ascii="Cambria" w:hAnsi="Cambria"/>
                <w:color w:val="000000"/>
                <w:sz w:val="18"/>
                <w:szCs w:val="18"/>
              </w:rPr>
            </w:pPr>
            <w:r w:rsidRPr="002176D6">
              <w:rPr>
                <w:rFonts w:ascii="Cambria" w:hAnsi="Cambria"/>
                <w:color w:val="000000"/>
                <w:sz w:val="18"/>
                <w:szCs w:val="18"/>
              </w:rPr>
              <w:t>1,042%</w:t>
            </w:r>
          </w:p>
        </w:tc>
      </w:tr>
      <w:tr w:rsidR="002176D6" w:rsidRPr="00D80751" w:rsidTr="00212FA7">
        <w:trPr>
          <w:trHeight w:val="20"/>
          <w:jc w:val="center"/>
        </w:trPr>
        <w:tc>
          <w:tcPr>
            <w:tcW w:w="4060" w:type="dxa"/>
            <w:shd w:val="clear" w:color="000000" w:fill="FFFFFF"/>
            <w:vAlign w:val="center"/>
            <w:hideMark/>
          </w:tcPr>
          <w:p w:rsidR="002176D6" w:rsidRPr="00D80751" w:rsidRDefault="002176D6" w:rsidP="00212FA7">
            <w:pPr>
              <w:jc w:val="center"/>
              <w:rPr>
                <w:rFonts w:ascii="Cambria" w:hAnsi="Cambria"/>
                <w:color w:val="000000"/>
                <w:sz w:val="18"/>
                <w:szCs w:val="18"/>
              </w:rPr>
            </w:pPr>
            <w:r w:rsidRPr="00D80751">
              <w:rPr>
                <w:rFonts w:ascii="Cambria" w:hAnsi="Cambria"/>
                <w:color w:val="000000"/>
                <w:sz w:val="18"/>
                <w:szCs w:val="18"/>
              </w:rPr>
              <w:t>Суммарная процентная ставка, %</w:t>
            </w:r>
          </w:p>
        </w:tc>
        <w:tc>
          <w:tcPr>
            <w:tcW w:w="1920" w:type="dxa"/>
            <w:shd w:val="clear" w:color="000000" w:fill="FFFFFF"/>
            <w:vAlign w:val="center"/>
            <w:hideMark/>
          </w:tcPr>
          <w:p w:rsidR="002176D6" w:rsidRPr="002176D6" w:rsidRDefault="002176D6">
            <w:pPr>
              <w:jc w:val="center"/>
              <w:rPr>
                <w:rFonts w:ascii="Cambria" w:hAnsi="Cambria"/>
                <w:color w:val="000000"/>
                <w:sz w:val="18"/>
                <w:szCs w:val="18"/>
              </w:rPr>
            </w:pPr>
            <w:r w:rsidRPr="002176D6">
              <w:rPr>
                <w:rFonts w:ascii="Cambria" w:hAnsi="Cambria"/>
                <w:color w:val="000000"/>
                <w:sz w:val="18"/>
                <w:szCs w:val="18"/>
              </w:rPr>
              <w:t>9,752%</w:t>
            </w:r>
          </w:p>
        </w:tc>
      </w:tr>
      <w:tr w:rsidR="002176D6" w:rsidRPr="00D80751" w:rsidTr="00212FA7">
        <w:trPr>
          <w:trHeight w:val="20"/>
          <w:jc w:val="center"/>
        </w:trPr>
        <w:tc>
          <w:tcPr>
            <w:tcW w:w="4060" w:type="dxa"/>
            <w:shd w:val="clear" w:color="000000" w:fill="FFFFFF"/>
            <w:vAlign w:val="center"/>
            <w:hideMark/>
          </w:tcPr>
          <w:p w:rsidR="002176D6" w:rsidRPr="00D80751" w:rsidRDefault="002176D6" w:rsidP="00212FA7">
            <w:pPr>
              <w:jc w:val="center"/>
              <w:rPr>
                <w:rFonts w:ascii="Cambria" w:hAnsi="Cambria"/>
                <w:color w:val="000000"/>
                <w:sz w:val="18"/>
                <w:szCs w:val="18"/>
              </w:rPr>
            </w:pPr>
            <w:r w:rsidRPr="00D80751">
              <w:rPr>
                <w:rFonts w:ascii="Cambria" w:hAnsi="Cambria"/>
                <w:color w:val="000000"/>
                <w:sz w:val="18"/>
                <w:szCs w:val="18"/>
              </w:rPr>
              <w:t>Общий коэффициент капитализации</w:t>
            </w:r>
          </w:p>
        </w:tc>
        <w:tc>
          <w:tcPr>
            <w:tcW w:w="1920" w:type="dxa"/>
            <w:shd w:val="clear" w:color="000000" w:fill="FFFFFF"/>
            <w:vAlign w:val="center"/>
            <w:hideMark/>
          </w:tcPr>
          <w:p w:rsidR="002176D6" w:rsidRPr="002176D6" w:rsidRDefault="002176D6">
            <w:pPr>
              <w:jc w:val="center"/>
              <w:rPr>
                <w:rFonts w:ascii="Cambria" w:hAnsi="Cambria"/>
                <w:color w:val="000000"/>
                <w:sz w:val="18"/>
                <w:szCs w:val="18"/>
              </w:rPr>
            </w:pPr>
            <w:r w:rsidRPr="002176D6">
              <w:rPr>
                <w:rFonts w:ascii="Cambria" w:hAnsi="Cambria"/>
                <w:color w:val="000000"/>
                <w:sz w:val="18"/>
                <w:szCs w:val="18"/>
              </w:rPr>
              <w:t>9,752%</w:t>
            </w:r>
          </w:p>
        </w:tc>
      </w:tr>
    </w:tbl>
    <w:p w:rsidR="00212FA7" w:rsidRDefault="00212FA7" w:rsidP="00865DF8">
      <w:pPr>
        <w:jc w:val="center"/>
        <w:rPr>
          <w:rStyle w:val="aff"/>
          <w:rFonts w:asciiTheme="majorHAnsi" w:eastAsiaTheme="majorEastAsia" w:hAnsiTheme="majorHAnsi"/>
          <w:i w:val="0"/>
          <w:sz w:val="20"/>
          <w:szCs w:val="20"/>
        </w:rPr>
      </w:pPr>
    </w:p>
    <w:p w:rsidR="00D80751" w:rsidRDefault="00212FA7" w:rsidP="00865DF8">
      <w:pPr>
        <w:jc w:val="center"/>
        <w:rPr>
          <w:rStyle w:val="aff"/>
          <w:rFonts w:asciiTheme="majorHAnsi" w:eastAsiaTheme="majorEastAsia" w:hAnsiTheme="majorHAnsi"/>
          <w:i w:val="0"/>
          <w:sz w:val="20"/>
          <w:szCs w:val="20"/>
        </w:rPr>
      </w:pPr>
      <w:r w:rsidRPr="00212FA7">
        <w:rPr>
          <w:rStyle w:val="aff"/>
          <w:rFonts w:asciiTheme="majorHAnsi" w:eastAsiaTheme="majorEastAsia" w:hAnsiTheme="majorHAnsi"/>
          <w:i w:val="0"/>
          <w:sz w:val="20"/>
          <w:szCs w:val="20"/>
        </w:rPr>
        <w:t>Расчет рыночной стоимости объекта оценки</w:t>
      </w:r>
      <w:r w:rsidR="00D80751">
        <w:rPr>
          <w:rStyle w:val="aff"/>
          <w:rFonts w:asciiTheme="majorHAnsi" w:eastAsiaTheme="majorEastAsia" w:hAnsiTheme="majorHAnsi"/>
          <w:i w:val="0"/>
          <w:sz w:val="20"/>
          <w:szCs w:val="20"/>
        </w:rPr>
        <w:t xml:space="preserve"> доходным подходом</w:t>
      </w:r>
    </w:p>
    <w:p w:rsidR="00D80751" w:rsidRDefault="00D80751" w:rsidP="00865DF8">
      <w:pPr>
        <w:jc w:val="center"/>
        <w:rPr>
          <w:rStyle w:val="aff"/>
          <w:rFonts w:asciiTheme="majorHAnsi" w:eastAsiaTheme="majorEastAsia" w:hAnsiTheme="majorHAnsi"/>
          <w:i w:val="0"/>
          <w:sz w:val="20"/>
          <w:szCs w:val="20"/>
        </w:rPr>
      </w:pPr>
    </w:p>
    <w:tbl>
      <w:tblPr>
        <w:tblW w:w="10058"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127"/>
        <w:gridCol w:w="1984"/>
        <w:gridCol w:w="1701"/>
        <w:gridCol w:w="2126"/>
        <w:gridCol w:w="2120"/>
      </w:tblGrid>
      <w:tr w:rsidR="00D80751" w:rsidRPr="00D80751" w:rsidTr="00D80751">
        <w:trPr>
          <w:trHeight w:val="20"/>
        </w:trPr>
        <w:tc>
          <w:tcPr>
            <w:tcW w:w="2127" w:type="dxa"/>
            <w:tcBorders>
              <w:top w:val="double" w:sz="4" w:space="0" w:color="auto"/>
              <w:bottom w:val="single" w:sz="6" w:space="0" w:color="auto"/>
            </w:tcBorders>
            <w:shd w:val="clear" w:color="auto" w:fill="F2F2F2" w:themeFill="background1" w:themeFillShade="F2"/>
            <w:vAlign w:val="center"/>
            <w:hideMark/>
          </w:tcPr>
          <w:p w:rsidR="00D80751" w:rsidRPr="00D80751" w:rsidRDefault="00D80751" w:rsidP="00D80751">
            <w:pPr>
              <w:jc w:val="center"/>
              <w:rPr>
                <w:rFonts w:ascii="Cambria" w:hAnsi="Cambria"/>
                <w:b/>
                <w:bCs/>
                <w:color w:val="000000"/>
                <w:sz w:val="18"/>
                <w:szCs w:val="18"/>
              </w:rPr>
            </w:pPr>
            <w:r w:rsidRPr="00D80751">
              <w:rPr>
                <w:rFonts w:ascii="Cambria" w:hAnsi="Cambria"/>
                <w:b/>
                <w:bCs/>
                <w:color w:val="000000"/>
                <w:sz w:val="18"/>
                <w:szCs w:val="18"/>
              </w:rPr>
              <w:t>Наименование объекта оценки</w:t>
            </w:r>
          </w:p>
        </w:tc>
        <w:tc>
          <w:tcPr>
            <w:tcW w:w="1984" w:type="dxa"/>
            <w:tcBorders>
              <w:top w:val="double" w:sz="4" w:space="0" w:color="auto"/>
              <w:bottom w:val="single" w:sz="6" w:space="0" w:color="auto"/>
            </w:tcBorders>
            <w:shd w:val="clear" w:color="auto" w:fill="F2F2F2" w:themeFill="background1" w:themeFillShade="F2"/>
            <w:vAlign w:val="center"/>
            <w:hideMark/>
          </w:tcPr>
          <w:p w:rsidR="00D80751" w:rsidRPr="00D80751" w:rsidRDefault="00D80751" w:rsidP="00D80751">
            <w:pPr>
              <w:jc w:val="center"/>
              <w:rPr>
                <w:rFonts w:ascii="Cambria" w:hAnsi="Cambria"/>
                <w:b/>
                <w:bCs/>
                <w:color w:val="000000"/>
                <w:sz w:val="18"/>
                <w:szCs w:val="18"/>
              </w:rPr>
            </w:pPr>
            <w:r w:rsidRPr="00D80751">
              <w:rPr>
                <w:rFonts w:ascii="Cambria" w:hAnsi="Cambria"/>
                <w:b/>
                <w:bCs/>
                <w:color w:val="000000"/>
                <w:sz w:val="18"/>
                <w:szCs w:val="18"/>
              </w:rPr>
              <w:t>Чистый операционный доход  (ЧОД), п.6-п.11</w:t>
            </w:r>
          </w:p>
        </w:tc>
        <w:tc>
          <w:tcPr>
            <w:tcW w:w="1701" w:type="dxa"/>
            <w:tcBorders>
              <w:top w:val="double" w:sz="4" w:space="0" w:color="auto"/>
              <w:bottom w:val="single" w:sz="6" w:space="0" w:color="auto"/>
            </w:tcBorders>
            <w:shd w:val="clear" w:color="auto" w:fill="F2F2F2" w:themeFill="background1" w:themeFillShade="F2"/>
            <w:vAlign w:val="center"/>
            <w:hideMark/>
          </w:tcPr>
          <w:p w:rsidR="00D80751" w:rsidRPr="00D80751" w:rsidRDefault="00D80751" w:rsidP="00D80751">
            <w:pPr>
              <w:jc w:val="center"/>
              <w:rPr>
                <w:rFonts w:ascii="Cambria" w:hAnsi="Cambria"/>
                <w:b/>
                <w:bCs/>
                <w:color w:val="000000"/>
                <w:sz w:val="18"/>
                <w:szCs w:val="18"/>
              </w:rPr>
            </w:pPr>
            <w:r w:rsidRPr="00D80751">
              <w:rPr>
                <w:rFonts w:ascii="Cambria" w:hAnsi="Cambria"/>
                <w:b/>
                <w:bCs/>
                <w:color w:val="000000"/>
                <w:sz w:val="18"/>
                <w:szCs w:val="18"/>
              </w:rPr>
              <w:t>Общий коэффициент капитализации</w:t>
            </w:r>
          </w:p>
        </w:tc>
        <w:tc>
          <w:tcPr>
            <w:tcW w:w="2126" w:type="dxa"/>
            <w:tcBorders>
              <w:top w:val="double" w:sz="4" w:space="0" w:color="auto"/>
              <w:bottom w:val="single" w:sz="6" w:space="0" w:color="auto"/>
            </w:tcBorders>
            <w:shd w:val="clear" w:color="auto" w:fill="F2F2F2" w:themeFill="background1" w:themeFillShade="F2"/>
            <w:vAlign w:val="center"/>
            <w:hideMark/>
          </w:tcPr>
          <w:p w:rsidR="00D80751" w:rsidRPr="00D80751" w:rsidRDefault="00D80751" w:rsidP="00D80751">
            <w:pPr>
              <w:jc w:val="center"/>
              <w:rPr>
                <w:rFonts w:ascii="Cambria" w:hAnsi="Cambria"/>
                <w:b/>
                <w:bCs/>
                <w:color w:val="000000"/>
                <w:sz w:val="18"/>
                <w:szCs w:val="18"/>
              </w:rPr>
            </w:pPr>
            <w:r w:rsidRPr="00D80751">
              <w:rPr>
                <w:rFonts w:ascii="Cambria" w:hAnsi="Cambria"/>
                <w:b/>
                <w:bCs/>
                <w:color w:val="000000"/>
                <w:sz w:val="18"/>
                <w:szCs w:val="18"/>
              </w:rPr>
              <w:t>Стоимость объекта оценки с учетом НДС, руб.</w:t>
            </w:r>
          </w:p>
        </w:tc>
        <w:tc>
          <w:tcPr>
            <w:tcW w:w="2120" w:type="dxa"/>
            <w:tcBorders>
              <w:top w:val="double" w:sz="4" w:space="0" w:color="auto"/>
              <w:bottom w:val="single" w:sz="6" w:space="0" w:color="auto"/>
            </w:tcBorders>
            <w:shd w:val="clear" w:color="auto" w:fill="F2F2F2" w:themeFill="background1" w:themeFillShade="F2"/>
            <w:vAlign w:val="center"/>
            <w:hideMark/>
          </w:tcPr>
          <w:p w:rsidR="00D80751" w:rsidRPr="00D80751" w:rsidRDefault="00D80751" w:rsidP="00D80751">
            <w:pPr>
              <w:jc w:val="center"/>
              <w:rPr>
                <w:rFonts w:ascii="Cambria" w:hAnsi="Cambria"/>
                <w:b/>
                <w:bCs/>
                <w:color w:val="000000"/>
                <w:sz w:val="18"/>
                <w:szCs w:val="18"/>
              </w:rPr>
            </w:pPr>
            <w:r w:rsidRPr="00D80751">
              <w:rPr>
                <w:rFonts w:ascii="Cambria" w:hAnsi="Cambria"/>
                <w:b/>
                <w:bCs/>
                <w:color w:val="000000"/>
                <w:sz w:val="18"/>
                <w:szCs w:val="18"/>
              </w:rPr>
              <w:t>Стоимость объекта оценки без учета НДС, руб.</w:t>
            </w:r>
          </w:p>
        </w:tc>
      </w:tr>
      <w:tr w:rsidR="002176D6" w:rsidRPr="00D80751" w:rsidTr="00D80751">
        <w:trPr>
          <w:trHeight w:val="20"/>
        </w:trPr>
        <w:tc>
          <w:tcPr>
            <w:tcW w:w="2127" w:type="dxa"/>
            <w:tcBorders>
              <w:top w:val="single" w:sz="6" w:space="0" w:color="auto"/>
            </w:tcBorders>
            <w:shd w:val="clear" w:color="auto" w:fill="auto"/>
            <w:vAlign w:val="center"/>
            <w:hideMark/>
          </w:tcPr>
          <w:p w:rsidR="002176D6" w:rsidRPr="00D80751" w:rsidRDefault="002176D6" w:rsidP="002176D6">
            <w:pPr>
              <w:jc w:val="center"/>
              <w:rPr>
                <w:rFonts w:ascii="Cambria" w:hAnsi="Cambria"/>
                <w:color w:val="000000"/>
                <w:sz w:val="18"/>
                <w:szCs w:val="18"/>
              </w:rPr>
            </w:pPr>
            <w:r w:rsidRPr="00D80751">
              <w:rPr>
                <w:rFonts w:ascii="Cambria" w:hAnsi="Cambria"/>
                <w:color w:val="000000"/>
                <w:sz w:val="18"/>
                <w:szCs w:val="18"/>
              </w:rPr>
              <w:t>Единый объект недвижимости</w:t>
            </w:r>
            <w:r>
              <w:rPr>
                <w:rFonts w:ascii="Cambria" w:hAnsi="Cambria"/>
                <w:color w:val="000000"/>
                <w:sz w:val="18"/>
                <w:szCs w:val="18"/>
              </w:rPr>
              <w:t xml:space="preserve"> – производственный комплекс</w:t>
            </w:r>
          </w:p>
        </w:tc>
        <w:tc>
          <w:tcPr>
            <w:tcW w:w="1984" w:type="dxa"/>
            <w:tcBorders>
              <w:top w:val="single" w:sz="6" w:space="0" w:color="auto"/>
            </w:tcBorders>
            <w:shd w:val="clear" w:color="000000" w:fill="FFFFFF"/>
            <w:noWrap/>
            <w:vAlign w:val="center"/>
            <w:hideMark/>
          </w:tcPr>
          <w:p w:rsidR="002176D6" w:rsidRPr="002176D6" w:rsidRDefault="002176D6" w:rsidP="002176D6">
            <w:pPr>
              <w:jc w:val="center"/>
              <w:rPr>
                <w:rFonts w:ascii="Cambria" w:hAnsi="Cambria"/>
                <w:color w:val="000000"/>
                <w:sz w:val="18"/>
                <w:szCs w:val="18"/>
              </w:rPr>
            </w:pPr>
            <w:r w:rsidRPr="002176D6">
              <w:rPr>
                <w:rFonts w:ascii="Cambria" w:hAnsi="Cambria"/>
                <w:color w:val="000000"/>
                <w:sz w:val="18"/>
                <w:szCs w:val="18"/>
              </w:rPr>
              <w:t>8 416 371,00</w:t>
            </w:r>
          </w:p>
        </w:tc>
        <w:tc>
          <w:tcPr>
            <w:tcW w:w="1701" w:type="dxa"/>
            <w:tcBorders>
              <w:top w:val="single" w:sz="6" w:space="0" w:color="auto"/>
            </w:tcBorders>
            <w:shd w:val="clear" w:color="000000" w:fill="FFFFFF"/>
            <w:noWrap/>
            <w:vAlign w:val="center"/>
            <w:hideMark/>
          </w:tcPr>
          <w:p w:rsidR="002176D6" w:rsidRPr="002176D6" w:rsidRDefault="002176D6" w:rsidP="002176D6">
            <w:pPr>
              <w:jc w:val="center"/>
              <w:rPr>
                <w:rFonts w:ascii="Cambria" w:hAnsi="Cambria"/>
                <w:color w:val="000000"/>
                <w:sz w:val="18"/>
                <w:szCs w:val="18"/>
              </w:rPr>
            </w:pPr>
            <w:r w:rsidRPr="002176D6">
              <w:rPr>
                <w:rFonts w:ascii="Cambria" w:hAnsi="Cambria"/>
                <w:color w:val="000000"/>
                <w:sz w:val="18"/>
                <w:szCs w:val="18"/>
              </w:rPr>
              <w:t>9,75%</w:t>
            </w:r>
          </w:p>
        </w:tc>
        <w:tc>
          <w:tcPr>
            <w:tcW w:w="2126" w:type="dxa"/>
            <w:tcBorders>
              <w:top w:val="single" w:sz="6" w:space="0" w:color="auto"/>
            </w:tcBorders>
            <w:shd w:val="clear" w:color="000000" w:fill="FFFFFF"/>
            <w:noWrap/>
            <w:vAlign w:val="center"/>
            <w:hideMark/>
          </w:tcPr>
          <w:p w:rsidR="002176D6" w:rsidRPr="002176D6" w:rsidRDefault="002176D6" w:rsidP="002176D6">
            <w:pPr>
              <w:jc w:val="center"/>
              <w:rPr>
                <w:rFonts w:ascii="Cambria" w:hAnsi="Cambria"/>
                <w:color w:val="000000"/>
                <w:sz w:val="18"/>
                <w:szCs w:val="18"/>
              </w:rPr>
            </w:pPr>
            <w:r w:rsidRPr="002176D6">
              <w:rPr>
                <w:rFonts w:ascii="Cambria" w:hAnsi="Cambria"/>
                <w:color w:val="000000"/>
                <w:sz w:val="18"/>
                <w:szCs w:val="18"/>
              </w:rPr>
              <w:t>86 307 001,00</w:t>
            </w:r>
          </w:p>
        </w:tc>
        <w:tc>
          <w:tcPr>
            <w:tcW w:w="2120" w:type="dxa"/>
            <w:tcBorders>
              <w:top w:val="single" w:sz="6" w:space="0" w:color="auto"/>
            </w:tcBorders>
            <w:shd w:val="clear" w:color="000000" w:fill="FFFFFF"/>
            <w:noWrap/>
            <w:vAlign w:val="center"/>
            <w:hideMark/>
          </w:tcPr>
          <w:p w:rsidR="002176D6" w:rsidRPr="002176D6" w:rsidRDefault="002176D6" w:rsidP="002176D6">
            <w:pPr>
              <w:jc w:val="center"/>
              <w:rPr>
                <w:rFonts w:ascii="Cambria" w:hAnsi="Cambria"/>
                <w:color w:val="000000"/>
                <w:sz w:val="18"/>
                <w:szCs w:val="18"/>
              </w:rPr>
            </w:pPr>
            <w:r w:rsidRPr="002176D6">
              <w:rPr>
                <w:rFonts w:ascii="Cambria" w:hAnsi="Cambria"/>
                <w:color w:val="000000"/>
                <w:sz w:val="18"/>
                <w:szCs w:val="18"/>
              </w:rPr>
              <w:t>73 141 526,00</w:t>
            </w:r>
          </w:p>
        </w:tc>
      </w:tr>
    </w:tbl>
    <w:p w:rsidR="00865DF8" w:rsidRPr="00212FA7" w:rsidRDefault="00865DF8" w:rsidP="00D80751">
      <w:pPr>
        <w:ind w:firstLine="709"/>
        <w:jc w:val="center"/>
        <w:rPr>
          <w:rFonts w:asciiTheme="majorHAnsi" w:hAnsiTheme="majorHAnsi"/>
          <w:b/>
          <w:bCs/>
          <w:i/>
          <w:sz w:val="20"/>
          <w:szCs w:val="20"/>
        </w:rPr>
      </w:pPr>
    </w:p>
    <w:p w:rsidR="002176D6" w:rsidRDefault="002176D6" w:rsidP="00D80751">
      <w:pPr>
        <w:autoSpaceDE w:val="0"/>
        <w:autoSpaceDN w:val="0"/>
        <w:adjustRightInd w:val="0"/>
        <w:ind w:firstLine="709"/>
        <w:jc w:val="both"/>
        <w:rPr>
          <w:rFonts w:ascii="Cambria" w:eastAsiaTheme="minorHAnsi" w:hAnsi="Cambria" w:cs="Cambria"/>
          <w:b/>
          <w:bCs/>
          <w:iCs/>
          <w:color w:val="000000"/>
          <w:sz w:val="20"/>
          <w:szCs w:val="20"/>
          <w:lang w:eastAsia="en-US"/>
        </w:rPr>
      </w:pPr>
    </w:p>
    <w:p w:rsidR="002176D6" w:rsidRDefault="002176D6" w:rsidP="00D80751">
      <w:pPr>
        <w:autoSpaceDE w:val="0"/>
        <w:autoSpaceDN w:val="0"/>
        <w:adjustRightInd w:val="0"/>
        <w:ind w:firstLine="709"/>
        <w:jc w:val="both"/>
        <w:rPr>
          <w:rFonts w:ascii="Cambria" w:eastAsiaTheme="minorHAnsi" w:hAnsi="Cambria" w:cs="Cambria"/>
          <w:b/>
          <w:bCs/>
          <w:iCs/>
          <w:color w:val="000000"/>
          <w:sz w:val="20"/>
          <w:szCs w:val="20"/>
          <w:lang w:eastAsia="en-US"/>
        </w:rPr>
      </w:pPr>
    </w:p>
    <w:p w:rsidR="002176D6" w:rsidRDefault="002176D6" w:rsidP="00D80751">
      <w:pPr>
        <w:autoSpaceDE w:val="0"/>
        <w:autoSpaceDN w:val="0"/>
        <w:adjustRightInd w:val="0"/>
        <w:ind w:firstLine="709"/>
        <w:jc w:val="both"/>
        <w:rPr>
          <w:rFonts w:ascii="Cambria" w:eastAsiaTheme="minorHAnsi" w:hAnsi="Cambria" w:cs="Cambria"/>
          <w:b/>
          <w:bCs/>
          <w:iCs/>
          <w:color w:val="000000"/>
          <w:sz w:val="20"/>
          <w:szCs w:val="20"/>
          <w:lang w:eastAsia="en-US"/>
        </w:rPr>
      </w:pPr>
    </w:p>
    <w:p w:rsidR="002176D6" w:rsidRPr="002176D6" w:rsidRDefault="002176D6" w:rsidP="002176D6">
      <w:pPr>
        <w:tabs>
          <w:tab w:val="left" w:pos="2925"/>
        </w:tabs>
        <w:spacing w:before="120" w:after="120"/>
        <w:ind w:firstLine="709"/>
        <w:jc w:val="both"/>
        <w:rPr>
          <w:rFonts w:ascii="Cambria" w:hAnsi="Cambria"/>
          <w:b/>
          <w:bCs/>
          <w:sz w:val="20"/>
          <w:szCs w:val="20"/>
        </w:rPr>
      </w:pPr>
      <w:r w:rsidRPr="002176D6">
        <w:rPr>
          <w:rFonts w:ascii="Cambria" w:hAnsi="Cambria"/>
          <w:b/>
          <w:bCs/>
          <w:sz w:val="20"/>
          <w:szCs w:val="20"/>
        </w:rPr>
        <w:lastRenderedPageBreak/>
        <w:t xml:space="preserve">– подбор аналогов для </w:t>
      </w:r>
      <w:r>
        <w:rPr>
          <w:rFonts w:ascii="Cambria" w:hAnsi="Cambria"/>
          <w:b/>
          <w:bCs/>
          <w:sz w:val="20"/>
          <w:szCs w:val="20"/>
        </w:rPr>
        <w:t>административно-бытового комплекса</w:t>
      </w:r>
      <w:r w:rsidRPr="002176D6">
        <w:rPr>
          <w:rFonts w:ascii="Cambria" w:hAnsi="Cambria"/>
          <w:b/>
          <w:bCs/>
          <w:sz w:val="20"/>
          <w:szCs w:val="20"/>
        </w:rPr>
        <w:t>:</w:t>
      </w:r>
    </w:p>
    <w:p w:rsidR="002176D6" w:rsidRPr="002176D6" w:rsidRDefault="002176D6" w:rsidP="002176D6">
      <w:pPr>
        <w:jc w:val="center"/>
        <w:rPr>
          <w:rFonts w:asciiTheme="majorHAnsi" w:eastAsiaTheme="minorHAnsi" w:hAnsiTheme="majorHAnsi" w:cstheme="minorBidi"/>
          <w:b/>
          <w:bCs/>
          <w:sz w:val="20"/>
          <w:szCs w:val="22"/>
          <w:lang w:eastAsia="en-US"/>
        </w:rPr>
      </w:pPr>
    </w:p>
    <w:p w:rsidR="002176D6" w:rsidRPr="002176D6" w:rsidRDefault="002176D6" w:rsidP="002176D6">
      <w:pPr>
        <w:rPr>
          <w:rFonts w:asciiTheme="majorHAnsi" w:eastAsiaTheme="minorHAnsi" w:hAnsiTheme="majorHAnsi" w:cstheme="minorBidi"/>
          <w:b/>
          <w:bCs/>
          <w:sz w:val="20"/>
          <w:szCs w:val="22"/>
          <w:lang w:eastAsia="en-US"/>
        </w:rPr>
      </w:pPr>
      <w:r w:rsidRPr="002176D6">
        <w:rPr>
          <w:rFonts w:asciiTheme="majorHAnsi" w:eastAsiaTheme="minorHAnsi" w:hAnsiTheme="majorHAnsi" w:cstheme="minorBidi"/>
          <w:b/>
          <w:bCs/>
          <w:sz w:val="20"/>
          <w:szCs w:val="22"/>
          <w:lang w:eastAsia="en-US"/>
        </w:rPr>
        <w:t>Аналог 1</w:t>
      </w:r>
    </w:p>
    <w:p w:rsidR="002176D6" w:rsidRPr="002176D6" w:rsidRDefault="002176D6" w:rsidP="002176D6">
      <w:pPr>
        <w:jc w:val="center"/>
        <w:rPr>
          <w:rFonts w:asciiTheme="majorHAnsi" w:eastAsiaTheme="minorHAnsi" w:hAnsiTheme="majorHAnsi" w:cstheme="minorBidi"/>
          <w:b/>
          <w:bCs/>
          <w:sz w:val="20"/>
          <w:szCs w:val="22"/>
          <w:lang w:eastAsia="en-US"/>
        </w:rPr>
      </w:pPr>
    </w:p>
    <w:p w:rsidR="002176D6" w:rsidRPr="002176D6" w:rsidRDefault="004E60FE" w:rsidP="002176D6">
      <w:pPr>
        <w:spacing w:after="160" w:line="259" w:lineRule="auto"/>
        <w:jc w:val="center"/>
        <w:rPr>
          <w:rFonts w:ascii="Calibri" w:eastAsia="Calibri" w:hAnsi="Calibri"/>
          <w:sz w:val="22"/>
          <w:szCs w:val="22"/>
          <w:lang w:eastAsia="en-US"/>
        </w:rPr>
      </w:pPr>
      <w:r>
        <w:rPr>
          <w:noProof/>
        </w:rPr>
        <w:drawing>
          <wp:inline distT="0" distB="0" distL="0" distR="0" wp14:anchorId="56EBADB5" wp14:editId="2A73DBBC">
            <wp:extent cx="5943599" cy="2638425"/>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t="3705" b="7369"/>
                    <a:stretch/>
                  </pic:blipFill>
                  <pic:spPr bwMode="auto">
                    <a:xfrm>
                      <a:off x="0" y="0"/>
                      <a:ext cx="5940425" cy="2637016"/>
                    </a:xfrm>
                    <a:prstGeom prst="rect">
                      <a:avLst/>
                    </a:prstGeom>
                    <a:ln>
                      <a:noFill/>
                    </a:ln>
                    <a:extLst>
                      <a:ext uri="{53640926-AAD7-44D8-BBD7-CCE9431645EC}">
                        <a14:shadowObscured xmlns:a14="http://schemas.microsoft.com/office/drawing/2010/main"/>
                      </a:ext>
                    </a:extLst>
                  </pic:spPr>
                </pic:pic>
              </a:graphicData>
            </a:graphic>
          </wp:inline>
        </w:drawing>
      </w:r>
    </w:p>
    <w:p w:rsidR="002176D6" w:rsidRPr="002176D6" w:rsidRDefault="002176D6" w:rsidP="002176D6">
      <w:pPr>
        <w:spacing w:after="160" w:line="259" w:lineRule="auto"/>
        <w:rPr>
          <w:rFonts w:asciiTheme="majorHAnsi" w:eastAsiaTheme="minorHAnsi" w:hAnsiTheme="majorHAnsi" w:cstheme="minorBidi"/>
          <w:b/>
          <w:bCs/>
          <w:sz w:val="20"/>
          <w:szCs w:val="22"/>
          <w:lang w:eastAsia="en-US"/>
        </w:rPr>
      </w:pPr>
      <w:r w:rsidRPr="002176D6">
        <w:rPr>
          <w:rFonts w:asciiTheme="majorHAnsi" w:eastAsiaTheme="minorHAnsi" w:hAnsiTheme="majorHAnsi" w:cstheme="minorBidi"/>
          <w:b/>
          <w:bCs/>
          <w:sz w:val="20"/>
          <w:szCs w:val="22"/>
          <w:lang w:eastAsia="en-US"/>
        </w:rPr>
        <w:t>Аналог 2</w:t>
      </w:r>
    </w:p>
    <w:p w:rsidR="002176D6" w:rsidRPr="002176D6" w:rsidRDefault="004E60FE" w:rsidP="002176D6">
      <w:pPr>
        <w:spacing w:after="160" w:line="259" w:lineRule="auto"/>
        <w:jc w:val="center"/>
        <w:rPr>
          <w:rFonts w:asciiTheme="majorHAnsi" w:eastAsiaTheme="minorHAnsi" w:hAnsiTheme="majorHAnsi" w:cstheme="minorBidi"/>
          <w:b/>
          <w:bCs/>
          <w:sz w:val="20"/>
          <w:szCs w:val="22"/>
          <w:lang w:eastAsia="en-US"/>
        </w:rPr>
      </w:pPr>
      <w:r>
        <w:rPr>
          <w:noProof/>
        </w:rPr>
        <w:drawing>
          <wp:inline distT="0" distB="0" distL="0" distR="0" wp14:anchorId="39C1931D" wp14:editId="523594E1">
            <wp:extent cx="5943600" cy="22860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t="3134" b="10505"/>
                    <a:stretch/>
                  </pic:blipFill>
                  <pic:spPr bwMode="auto">
                    <a:xfrm>
                      <a:off x="0" y="0"/>
                      <a:ext cx="5940425" cy="2284779"/>
                    </a:xfrm>
                    <a:prstGeom prst="rect">
                      <a:avLst/>
                    </a:prstGeom>
                    <a:ln>
                      <a:noFill/>
                    </a:ln>
                    <a:extLst>
                      <a:ext uri="{53640926-AAD7-44D8-BBD7-CCE9431645EC}">
                        <a14:shadowObscured xmlns:a14="http://schemas.microsoft.com/office/drawing/2010/main"/>
                      </a:ext>
                    </a:extLst>
                  </pic:spPr>
                </pic:pic>
              </a:graphicData>
            </a:graphic>
          </wp:inline>
        </w:drawing>
      </w:r>
    </w:p>
    <w:p w:rsidR="004E60FE" w:rsidRDefault="002176D6" w:rsidP="002176D6">
      <w:pPr>
        <w:rPr>
          <w:rFonts w:asciiTheme="majorHAnsi" w:eastAsia="Calibri" w:hAnsiTheme="majorHAnsi"/>
          <w:b/>
          <w:sz w:val="20"/>
          <w:szCs w:val="20"/>
          <w:lang w:eastAsia="en-US"/>
        </w:rPr>
      </w:pPr>
      <w:r w:rsidRPr="002176D6">
        <w:rPr>
          <w:rFonts w:asciiTheme="majorHAnsi" w:eastAsia="Calibri" w:hAnsiTheme="majorHAnsi"/>
          <w:b/>
          <w:sz w:val="20"/>
          <w:szCs w:val="20"/>
          <w:lang w:eastAsia="en-US"/>
        </w:rPr>
        <w:t>Аналог 3</w:t>
      </w:r>
    </w:p>
    <w:p w:rsidR="002176D6" w:rsidRPr="002176D6" w:rsidRDefault="002176D6" w:rsidP="002176D6">
      <w:pPr>
        <w:rPr>
          <w:rFonts w:asciiTheme="majorHAnsi" w:eastAsiaTheme="minorHAnsi" w:hAnsiTheme="majorHAnsi" w:cstheme="minorBidi"/>
          <w:b/>
          <w:bCs/>
          <w:sz w:val="20"/>
          <w:szCs w:val="20"/>
          <w:lang w:eastAsia="en-US"/>
        </w:rPr>
      </w:pPr>
      <w:r w:rsidRPr="002176D6">
        <w:rPr>
          <w:rFonts w:asciiTheme="majorHAnsi" w:eastAsia="Calibri" w:hAnsiTheme="majorHAnsi"/>
          <w:b/>
          <w:sz w:val="20"/>
          <w:szCs w:val="20"/>
          <w:lang w:eastAsia="en-US"/>
        </w:rPr>
        <w:br/>
      </w:r>
      <w:r w:rsidR="004E60FE">
        <w:rPr>
          <w:noProof/>
        </w:rPr>
        <w:drawing>
          <wp:inline distT="0" distB="0" distL="0" distR="0" wp14:anchorId="6C9D514E" wp14:editId="6A4507CF">
            <wp:extent cx="5943600" cy="28194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t="3706" b="5373"/>
                    <a:stretch/>
                  </pic:blipFill>
                  <pic:spPr bwMode="auto">
                    <a:xfrm>
                      <a:off x="0" y="0"/>
                      <a:ext cx="5940425" cy="2817894"/>
                    </a:xfrm>
                    <a:prstGeom prst="rect">
                      <a:avLst/>
                    </a:prstGeom>
                    <a:ln>
                      <a:noFill/>
                    </a:ln>
                    <a:extLst>
                      <a:ext uri="{53640926-AAD7-44D8-BBD7-CCE9431645EC}">
                        <a14:shadowObscured xmlns:a14="http://schemas.microsoft.com/office/drawing/2010/main"/>
                      </a:ext>
                    </a:extLst>
                  </pic:spPr>
                </pic:pic>
              </a:graphicData>
            </a:graphic>
          </wp:inline>
        </w:drawing>
      </w:r>
    </w:p>
    <w:p w:rsidR="002176D6" w:rsidRPr="002176D6" w:rsidRDefault="002176D6" w:rsidP="002176D6">
      <w:pPr>
        <w:spacing w:after="160" w:line="259" w:lineRule="auto"/>
        <w:jc w:val="center"/>
        <w:rPr>
          <w:rFonts w:ascii="Calibri" w:eastAsia="Calibri" w:hAnsi="Calibri"/>
          <w:sz w:val="22"/>
          <w:szCs w:val="22"/>
          <w:lang w:eastAsia="en-US"/>
        </w:rPr>
      </w:pPr>
    </w:p>
    <w:p w:rsidR="002176D6" w:rsidRPr="002176D6" w:rsidRDefault="002176D6" w:rsidP="002176D6">
      <w:pPr>
        <w:jc w:val="center"/>
        <w:rPr>
          <w:rFonts w:asciiTheme="majorHAnsi" w:eastAsiaTheme="minorHAnsi" w:hAnsiTheme="majorHAnsi" w:cstheme="minorBidi"/>
          <w:b/>
          <w:bCs/>
          <w:sz w:val="20"/>
          <w:szCs w:val="22"/>
          <w:lang w:eastAsia="en-US"/>
        </w:rPr>
      </w:pPr>
      <w:r w:rsidRPr="002176D6">
        <w:rPr>
          <w:rFonts w:asciiTheme="majorHAnsi" w:hAnsiTheme="majorHAnsi"/>
          <w:b/>
          <w:bCs/>
          <w:sz w:val="20"/>
          <w:szCs w:val="20"/>
        </w:rPr>
        <w:lastRenderedPageBreak/>
        <w:t>Расчет средней стоимости арендной ставки для производственно-складской недвижимости</w:t>
      </w:r>
    </w:p>
    <w:p w:rsidR="002176D6" w:rsidRPr="002176D6" w:rsidRDefault="002176D6" w:rsidP="002176D6">
      <w:pPr>
        <w:rPr>
          <w:rFonts w:eastAsiaTheme="majorEastAsia" w:cstheme="majorBidi"/>
          <w:b/>
          <w:bCs/>
          <w:sz w:val="28"/>
          <w:szCs w:val="28"/>
        </w:rPr>
      </w:pPr>
    </w:p>
    <w:tbl>
      <w:tblPr>
        <w:tblW w:w="8514"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1134"/>
        <w:gridCol w:w="1282"/>
        <w:gridCol w:w="850"/>
        <w:gridCol w:w="1418"/>
        <w:gridCol w:w="1401"/>
        <w:gridCol w:w="1183"/>
        <w:gridCol w:w="1246"/>
      </w:tblGrid>
      <w:tr w:rsidR="002176D6" w:rsidRPr="002176D6" w:rsidTr="002176D6">
        <w:trPr>
          <w:trHeight w:val="20"/>
          <w:jc w:val="center"/>
        </w:trPr>
        <w:tc>
          <w:tcPr>
            <w:tcW w:w="2416" w:type="dxa"/>
            <w:gridSpan w:val="2"/>
            <w:shd w:val="clear" w:color="000000" w:fill="F2F2F2"/>
            <w:vAlign w:val="center"/>
            <w:hideMark/>
          </w:tcPr>
          <w:p w:rsidR="002176D6" w:rsidRPr="002176D6" w:rsidRDefault="002176D6" w:rsidP="002176D6">
            <w:pPr>
              <w:ind w:left="-102" w:right="-108"/>
              <w:jc w:val="center"/>
              <w:rPr>
                <w:rFonts w:asciiTheme="majorHAnsi" w:hAnsiTheme="majorHAnsi"/>
                <w:b/>
                <w:bCs/>
                <w:color w:val="000000"/>
                <w:sz w:val="18"/>
                <w:szCs w:val="18"/>
              </w:rPr>
            </w:pPr>
            <w:r w:rsidRPr="002176D6">
              <w:rPr>
                <w:rFonts w:asciiTheme="majorHAnsi" w:hAnsiTheme="majorHAnsi"/>
                <w:b/>
                <w:bCs/>
                <w:color w:val="000000"/>
                <w:sz w:val="18"/>
                <w:szCs w:val="18"/>
              </w:rPr>
              <w:t>Характеристика</w:t>
            </w:r>
          </w:p>
        </w:tc>
        <w:tc>
          <w:tcPr>
            <w:tcW w:w="850" w:type="dxa"/>
            <w:shd w:val="clear" w:color="000000" w:fill="F2F2F2"/>
            <w:vAlign w:val="center"/>
            <w:hideMark/>
          </w:tcPr>
          <w:p w:rsidR="002176D6" w:rsidRPr="002176D6" w:rsidRDefault="002176D6" w:rsidP="002176D6">
            <w:pPr>
              <w:ind w:left="-102" w:right="-108"/>
              <w:jc w:val="center"/>
              <w:rPr>
                <w:rFonts w:asciiTheme="majorHAnsi" w:hAnsiTheme="majorHAnsi"/>
                <w:b/>
                <w:bCs/>
                <w:sz w:val="18"/>
                <w:szCs w:val="18"/>
              </w:rPr>
            </w:pPr>
            <w:r w:rsidRPr="002176D6">
              <w:rPr>
                <w:rFonts w:asciiTheme="majorHAnsi" w:hAnsiTheme="majorHAnsi"/>
                <w:b/>
                <w:bCs/>
                <w:sz w:val="18"/>
                <w:szCs w:val="18"/>
              </w:rPr>
              <w:t>Единица измер.</w:t>
            </w:r>
          </w:p>
        </w:tc>
        <w:tc>
          <w:tcPr>
            <w:tcW w:w="1418" w:type="dxa"/>
            <w:shd w:val="clear" w:color="000000" w:fill="F2F2F2"/>
            <w:vAlign w:val="center"/>
            <w:hideMark/>
          </w:tcPr>
          <w:p w:rsidR="002176D6" w:rsidRPr="002176D6" w:rsidRDefault="002176D6" w:rsidP="002176D6">
            <w:pPr>
              <w:ind w:left="-102" w:right="-108"/>
              <w:jc w:val="center"/>
              <w:rPr>
                <w:rFonts w:asciiTheme="majorHAnsi" w:hAnsiTheme="majorHAnsi"/>
                <w:b/>
                <w:bCs/>
                <w:color w:val="000000"/>
                <w:sz w:val="18"/>
                <w:szCs w:val="18"/>
              </w:rPr>
            </w:pPr>
            <w:r w:rsidRPr="002176D6">
              <w:rPr>
                <w:rFonts w:asciiTheme="majorHAnsi" w:hAnsiTheme="majorHAnsi"/>
                <w:b/>
                <w:bCs/>
                <w:color w:val="000000"/>
                <w:sz w:val="18"/>
                <w:szCs w:val="18"/>
              </w:rPr>
              <w:t>Объект оценки</w:t>
            </w:r>
          </w:p>
        </w:tc>
        <w:tc>
          <w:tcPr>
            <w:tcW w:w="1401" w:type="dxa"/>
            <w:shd w:val="clear" w:color="000000" w:fill="F2F2F2"/>
            <w:vAlign w:val="center"/>
            <w:hideMark/>
          </w:tcPr>
          <w:p w:rsidR="002176D6" w:rsidRPr="002176D6" w:rsidRDefault="002176D6" w:rsidP="002176D6">
            <w:pPr>
              <w:ind w:left="-102" w:right="-108"/>
              <w:jc w:val="center"/>
              <w:rPr>
                <w:rFonts w:asciiTheme="majorHAnsi" w:hAnsiTheme="majorHAnsi"/>
                <w:b/>
                <w:bCs/>
                <w:color w:val="000000"/>
                <w:sz w:val="18"/>
                <w:szCs w:val="18"/>
              </w:rPr>
            </w:pPr>
            <w:r w:rsidRPr="002176D6">
              <w:rPr>
                <w:rFonts w:asciiTheme="majorHAnsi" w:hAnsiTheme="majorHAnsi"/>
                <w:b/>
                <w:bCs/>
                <w:color w:val="000000"/>
                <w:sz w:val="18"/>
                <w:szCs w:val="18"/>
              </w:rPr>
              <w:t>Аналог № 1</w:t>
            </w:r>
          </w:p>
        </w:tc>
        <w:tc>
          <w:tcPr>
            <w:tcW w:w="1183" w:type="dxa"/>
            <w:shd w:val="clear" w:color="000000" w:fill="F2F2F2"/>
            <w:vAlign w:val="center"/>
            <w:hideMark/>
          </w:tcPr>
          <w:p w:rsidR="002176D6" w:rsidRPr="002176D6" w:rsidRDefault="002176D6" w:rsidP="002176D6">
            <w:pPr>
              <w:ind w:left="-102" w:right="-108"/>
              <w:jc w:val="center"/>
              <w:rPr>
                <w:rFonts w:asciiTheme="majorHAnsi" w:hAnsiTheme="majorHAnsi"/>
                <w:b/>
                <w:bCs/>
                <w:color w:val="000000"/>
                <w:sz w:val="18"/>
                <w:szCs w:val="18"/>
              </w:rPr>
            </w:pPr>
            <w:r w:rsidRPr="002176D6">
              <w:rPr>
                <w:rFonts w:asciiTheme="majorHAnsi" w:hAnsiTheme="majorHAnsi"/>
                <w:b/>
                <w:bCs/>
                <w:color w:val="000000"/>
                <w:sz w:val="18"/>
                <w:szCs w:val="18"/>
              </w:rPr>
              <w:t>Аналог № 2</w:t>
            </w:r>
          </w:p>
        </w:tc>
        <w:tc>
          <w:tcPr>
            <w:tcW w:w="1246" w:type="dxa"/>
            <w:shd w:val="clear" w:color="000000" w:fill="F2F2F2"/>
            <w:vAlign w:val="center"/>
            <w:hideMark/>
          </w:tcPr>
          <w:p w:rsidR="002176D6" w:rsidRPr="002176D6" w:rsidRDefault="002176D6" w:rsidP="002176D6">
            <w:pPr>
              <w:ind w:left="-102" w:right="-108"/>
              <w:jc w:val="center"/>
              <w:rPr>
                <w:rFonts w:asciiTheme="majorHAnsi" w:hAnsiTheme="majorHAnsi"/>
                <w:b/>
                <w:bCs/>
                <w:color w:val="000000"/>
                <w:sz w:val="18"/>
                <w:szCs w:val="18"/>
              </w:rPr>
            </w:pPr>
            <w:r w:rsidRPr="002176D6">
              <w:rPr>
                <w:rFonts w:asciiTheme="majorHAnsi" w:hAnsiTheme="majorHAnsi"/>
                <w:b/>
                <w:bCs/>
                <w:color w:val="000000"/>
                <w:sz w:val="18"/>
                <w:szCs w:val="18"/>
              </w:rPr>
              <w:t>Аналог № 3</w:t>
            </w:r>
          </w:p>
        </w:tc>
      </w:tr>
      <w:tr w:rsidR="004E60FE" w:rsidRPr="002176D6" w:rsidTr="002176D6">
        <w:trPr>
          <w:trHeight w:val="20"/>
          <w:jc w:val="center"/>
        </w:trPr>
        <w:tc>
          <w:tcPr>
            <w:tcW w:w="1134" w:type="dxa"/>
            <w:vMerge w:val="restart"/>
            <w:shd w:val="clear" w:color="auto" w:fill="auto"/>
            <w:vAlign w:val="center"/>
            <w:hideMark/>
          </w:tcPr>
          <w:p w:rsidR="004E60FE" w:rsidRPr="002176D6" w:rsidRDefault="004E60FE" w:rsidP="002176D6">
            <w:pPr>
              <w:ind w:left="-102" w:right="-108"/>
              <w:jc w:val="center"/>
              <w:rPr>
                <w:rFonts w:asciiTheme="majorHAnsi" w:hAnsiTheme="majorHAnsi"/>
                <w:color w:val="000000"/>
                <w:sz w:val="18"/>
                <w:szCs w:val="18"/>
              </w:rPr>
            </w:pPr>
            <w:r w:rsidRPr="002176D6">
              <w:rPr>
                <w:rFonts w:asciiTheme="majorHAnsi" w:hAnsiTheme="majorHAnsi"/>
                <w:color w:val="000000"/>
                <w:sz w:val="18"/>
                <w:szCs w:val="18"/>
              </w:rPr>
              <w:t>Единица сравнения</w:t>
            </w:r>
          </w:p>
        </w:tc>
        <w:tc>
          <w:tcPr>
            <w:tcW w:w="1282" w:type="dxa"/>
            <w:shd w:val="clear" w:color="auto" w:fill="auto"/>
            <w:vAlign w:val="center"/>
            <w:hideMark/>
          </w:tcPr>
          <w:p w:rsidR="004E60FE" w:rsidRPr="002176D6" w:rsidRDefault="004E60FE" w:rsidP="002176D6">
            <w:pPr>
              <w:ind w:left="-102" w:right="-108"/>
              <w:jc w:val="center"/>
              <w:rPr>
                <w:rFonts w:asciiTheme="majorHAnsi" w:hAnsiTheme="majorHAnsi"/>
                <w:sz w:val="18"/>
                <w:szCs w:val="18"/>
              </w:rPr>
            </w:pPr>
            <w:r w:rsidRPr="002176D6">
              <w:rPr>
                <w:rFonts w:asciiTheme="majorHAnsi" w:hAnsiTheme="majorHAnsi"/>
                <w:sz w:val="18"/>
                <w:szCs w:val="18"/>
              </w:rPr>
              <w:t>Цена предложения</w:t>
            </w:r>
          </w:p>
        </w:tc>
        <w:tc>
          <w:tcPr>
            <w:tcW w:w="850" w:type="dxa"/>
            <w:shd w:val="clear" w:color="auto" w:fill="auto"/>
            <w:vAlign w:val="center"/>
            <w:hideMark/>
          </w:tcPr>
          <w:p w:rsidR="004E60FE" w:rsidRPr="002176D6" w:rsidRDefault="004E60FE" w:rsidP="002176D6">
            <w:pPr>
              <w:ind w:left="-102" w:right="-108"/>
              <w:jc w:val="center"/>
              <w:rPr>
                <w:rFonts w:asciiTheme="majorHAnsi" w:hAnsiTheme="majorHAnsi"/>
                <w:sz w:val="18"/>
                <w:szCs w:val="18"/>
              </w:rPr>
            </w:pPr>
            <w:r w:rsidRPr="002176D6">
              <w:rPr>
                <w:rFonts w:asciiTheme="majorHAnsi" w:hAnsiTheme="majorHAnsi"/>
                <w:sz w:val="18"/>
                <w:szCs w:val="18"/>
              </w:rPr>
              <w:t>руб.</w:t>
            </w:r>
          </w:p>
        </w:tc>
        <w:tc>
          <w:tcPr>
            <w:tcW w:w="1418" w:type="dxa"/>
            <w:shd w:val="clear" w:color="auto" w:fill="auto"/>
            <w:vAlign w:val="center"/>
            <w:hideMark/>
          </w:tcPr>
          <w:p w:rsidR="004E60FE" w:rsidRPr="002176D6" w:rsidRDefault="004E60FE" w:rsidP="002176D6">
            <w:pPr>
              <w:jc w:val="center"/>
              <w:rPr>
                <w:rFonts w:asciiTheme="majorHAnsi" w:hAnsiTheme="majorHAnsi"/>
                <w:color w:val="000000"/>
                <w:sz w:val="18"/>
                <w:szCs w:val="18"/>
              </w:rPr>
            </w:pPr>
          </w:p>
        </w:tc>
        <w:tc>
          <w:tcPr>
            <w:tcW w:w="1401" w:type="dxa"/>
            <w:shd w:val="clear" w:color="auto" w:fill="auto"/>
            <w:vAlign w:val="center"/>
            <w:hideMark/>
          </w:tcPr>
          <w:p w:rsidR="004E60FE" w:rsidRPr="004E60FE" w:rsidRDefault="004E60FE" w:rsidP="004E60FE">
            <w:pPr>
              <w:jc w:val="center"/>
              <w:rPr>
                <w:rFonts w:ascii="Cambria" w:hAnsi="Cambria"/>
                <w:color w:val="000000"/>
                <w:sz w:val="18"/>
                <w:szCs w:val="18"/>
              </w:rPr>
            </w:pPr>
            <w:r w:rsidRPr="004E60FE">
              <w:rPr>
                <w:rFonts w:ascii="Cambria" w:hAnsi="Cambria"/>
                <w:color w:val="000000"/>
                <w:sz w:val="18"/>
                <w:szCs w:val="18"/>
              </w:rPr>
              <w:t>255 400</w:t>
            </w:r>
          </w:p>
        </w:tc>
        <w:tc>
          <w:tcPr>
            <w:tcW w:w="1183" w:type="dxa"/>
            <w:shd w:val="clear" w:color="auto" w:fill="auto"/>
            <w:vAlign w:val="center"/>
            <w:hideMark/>
          </w:tcPr>
          <w:p w:rsidR="004E60FE" w:rsidRPr="004E60FE" w:rsidRDefault="004E60FE" w:rsidP="004E60FE">
            <w:pPr>
              <w:jc w:val="center"/>
              <w:rPr>
                <w:rFonts w:ascii="Cambria" w:hAnsi="Cambria"/>
                <w:color w:val="000000"/>
                <w:sz w:val="18"/>
                <w:szCs w:val="18"/>
              </w:rPr>
            </w:pPr>
            <w:r w:rsidRPr="004E60FE">
              <w:rPr>
                <w:rFonts w:ascii="Cambria" w:hAnsi="Cambria"/>
                <w:color w:val="000000"/>
                <w:sz w:val="18"/>
                <w:szCs w:val="18"/>
              </w:rPr>
              <w:t>450 000</w:t>
            </w:r>
          </w:p>
        </w:tc>
        <w:tc>
          <w:tcPr>
            <w:tcW w:w="1246" w:type="dxa"/>
            <w:shd w:val="clear" w:color="auto" w:fill="auto"/>
            <w:vAlign w:val="center"/>
            <w:hideMark/>
          </w:tcPr>
          <w:p w:rsidR="004E60FE" w:rsidRPr="004E60FE" w:rsidRDefault="004E60FE" w:rsidP="004E60FE">
            <w:pPr>
              <w:jc w:val="center"/>
              <w:rPr>
                <w:rFonts w:ascii="Cambria" w:hAnsi="Cambria"/>
                <w:color w:val="000000"/>
                <w:sz w:val="18"/>
                <w:szCs w:val="18"/>
              </w:rPr>
            </w:pPr>
            <w:r w:rsidRPr="004E60FE">
              <w:rPr>
                <w:rFonts w:ascii="Cambria" w:hAnsi="Cambria"/>
                <w:color w:val="000000"/>
                <w:sz w:val="18"/>
                <w:szCs w:val="18"/>
              </w:rPr>
              <w:t>720 000</w:t>
            </w:r>
          </w:p>
        </w:tc>
      </w:tr>
      <w:tr w:rsidR="004E60FE" w:rsidRPr="002176D6" w:rsidTr="002176D6">
        <w:trPr>
          <w:trHeight w:val="20"/>
          <w:jc w:val="center"/>
        </w:trPr>
        <w:tc>
          <w:tcPr>
            <w:tcW w:w="1134" w:type="dxa"/>
            <w:vMerge/>
            <w:vAlign w:val="center"/>
            <w:hideMark/>
          </w:tcPr>
          <w:p w:rsidR="004E60FE" w:rsidRPr="002176D6" w:rsidRDefault="004E60FE" w:rsidP="002176D6">
            <w:pPr>
              <w:ind w:left="-102" w:right="-108"/>
              <w:jc w:val="center"/>
              <w:rPr>
                <w:rFonts w:asciiTheme="majorHAnsi" w:hAnsiTheme="majorHAnsi"/>
                <w:color w:val="000000"/>
                <w:sz w:val="18"/>
                <w:szCs w:val="18"/>
              </w:rPr>
            </w:pPr>
          </w:p>
        </w:tc>
        <w:tc>
          <w:tcPr>
            <w:tcW w:w="1282" w:type="dxa"/>
            <w:shd w:val="clear" w:color="auto" w:fill="auto"/>
            <w:vAlign w:val="center"/>
            <w:hideMark/>
          </w:tcPr>
          <w:p w:rsidR="004E60FE" w:rsidRPr="002176D6" w:rsidRDefault="004E60FE" w:rsidP="002176D6">
            <w:pPr>
              <w:ind w:left="-102" w:right="-108"/>
              <w:jc w:val="center"/>
              <w:rPr>
                <w:rFonts w:asciiTheme="majorHAnsi" w:hAnsiTheme="majorHAnsi"/>
                <w:sz w:val="18"/>
                <w:szCs w:val="18"/>
              </w:rPr>
            </w:pPr>
            <w:r w:rsidRPr="002176D6">
              <w:rPr>
                <w:rFonts w:asciiTheme="majorHAnsi" w:hAnsiTheme="majorHAnsi"/>
                <w:sz w:val="18"/>
                <w:szCs w:val="18"/>
              </w:rPr>
              <w:t>Общая площадь</w:t>
            </w:r>
          </w:p>
        </w:tc>
        <w:tc>
          <w:tcPr>
            <w:tcW w:w="850" w:type="dxa"/>
            <w:shd w:val="clear" w:color="auto" w:fill="auto"/>
            <w:vAlign w:val="center"/>
            <w:hideMark/>
          </w:tcPr>
          <w:p w:rsidR="004E60FE" w:rsidRPr="002176D6" w:rsidRDefault="004E60FE" w:rsidP="002176D6">
            <w:pPr>
              <w:ind w:left="-102" w:right="-108"/>
              <w:jc w:val="center"/>
              <w:rPr>
                <w:rFonts w:asciiTheme="majorHAnsi" w:hAnsiTheme="majorHAnsi"/>
                <w:sz w:val="18"/>
                <w:szCs w:val="18"/>
              </w:rPr>
            </w:pPr>
            <w:r w:rsidRPr="002176D6">
              <w:rPr>
                <w:rFonts w:asciiTheme="majorHAnsi" w:hAnsiTheme="majorHAnsi"/>
                <w:sz w:val="18"/>
                <w:szCs w:val="18"/>
              </w:rPr>
              <w:t>кв.м.</w:t>
            </w:r>
          </w:p>
        </w:tc>
        <w:tc>
          <w:tcPr>
            <w:tcW w:w="1418" w:type="dxa"/>
            <w:shd w:val="clear" w:color="auto" w:fill="auto"/>
            <w:vAlign w:val="center"/>
            <w:hideMark/>
          </w:tcPr>
          <w:p w:rsidR="004E60FE" w:rsidRPr="002176D6" w:rsidRDefault="004E60FE" w:rsidP="002176D6">
            <w:pPr>
              <w:jc w:val="center"/>
              <w:rPr>
                <w:rFonts w:asciiTheme="majorHAnsi" w:hAnsiTheme="majorHAnsi"/>
                <w:color w:val="000000"/>
                <w:sz w:val="18"/>
                <w:szCs w:val="18"/>
              </w:rPr>
            </w:pPr>
            <w:r w:rsidRPr="004E60FE">
              <w:rPr>
                <w:rFonts w:asciiTheme="majorHAnsi" w:hAnsiTheme="majorHAnsi"/>
                <w:color w:val="000000"/>
                <w:sz w:val="18"/>
                <w:szCs w:val="18"/>
              </w:rPr>
              <w:t xml:space="preserve">3 149,60   </w:t>
            </w:r>
          </w:p>
        </w:tc>
        <w:tc>
          <w:tcPr>
            <w:tcW w:w="1401" w:type="dxa"/>
            <w:shd w:val="clear" w:color="auto" w:fill="auto"/>
            <w:vAlign w:val="center"/>
            <w:hideMark/>
          </w:tcPr>
          <w:p w:rsidR="004E60FE" w:rsidRPr="004E60FE" w:rsidRDefault="004E60FE" w:rsidP="004E60FE">
            <w:pPr>
              <w:jc w:val="center"/>
              <w:rPr>
                <w:rFonts w:ascii="Cambria" w:hAnsi="Cambria"/>
                <w:color w:val="000000"/>
                <w:sz w:val="18"/>
                <w:szCs w:val="18"/>
              </w:rPr>
            </w:pPr>
            <w:r w:rsidRPr="004E60FE">
              <w:rPr>
                <w:rFonts w:ascii="Cambria" w:hAnsi="Cambria"/>
                <w:color w:val="000000"/>
                <w:sz w:val="18"/>
                <w:szCs w:val="18"/>
              </w:rPr>
              <w:t>1 277</w:t>
            </w:r>
          </w:p>
        </w:tc>
        <w:tc>
          <w:tcPr>
            <w:tcW w:w="1183" w:type="dxa"/>
            <w:shd w:val="clear" w:color="auto" w:fill="auto"/>
            <w:vAlign w:val="center"/>
            <w:hideMark/>
          </w:tcPr>
          <w:p w:rsidR="004E60FE" w:rsidRPr="004E60FE" w:rsidRDefault="004E60FE" w:rsidP="004E60FE">
            <w:pPr>
              <w:jc w:val="center"/>
              <w:rPr>
                <w:rFonts w:ascii="Cambria" w:hAnsi="Cambria"/>
                <w:color w:val="000000"/>
                <w:sz w:val="18"/>
                <w:szCs w:val="18"/>
              </w:rPr>
            </w:pPr>
            <w:r w:rsidRPr="004E60FE">
              <w:rPr>
                <w:rFonts w:ascii="Cambria" w:hAnsi="Cambria"/>
                <w:color w:val="000000"/>
                <w:sz w:val="18"/>
                <w:szCs w:val="18"/>
              </w:rPr>
              <w:t>1 500,00</w:t>
            </w:r>
          </w:p>
        </w:tc>
        <w:tc>
          <w:tcPr>
            <w:tcW w:w="1246" w:type="dxa"/>
            <w:shd w:val="clear" w:color="auto" w:fill="auto"/>
            <w:vAlign w:val="center"/>
            <w:hideMark/>
          </w:tcPr>
          <w:p w:rsidR="004E60FE" w:rsidRPr="004E60FE" w:rsidRDefault="004E60FE" w:rsidP="004E60FE">
            <w:pPr>
              <w:jc w:val="center"/>
              <w:rPr>
                <w:rFonts w:ascii="Cambria" w:hAnsi="Cambria"/>
                <w:color w:val="000000"/>
                <w:sz w:val="18"/>
                <w:szCs w:val="18"/>
              </w:rPr>
            </w:pPr>
            <w:r w:rsidRPr="004E60FE">
              <w:rPr>
                <w:rFonts w:ascii="Cambria" w:hAnsi="Cambria"/>
                <w:color w:val="000000"/>
                <w:sz w:val="18"/>
                <w:szCs w:val="18"/>
              </w:rPr>
              <w:t>2 400</w:t>
            </w:r>
          </w:p>
        </w:tc>
      </w:tr>
      <w:tr w:rsidR="004E60FE" w:rsidRPr="002176D6" w:rsidTr="002176D6">
        <w:trPr>
          <w:trHeight w:val="20"/>
          <w:jc w:val="center"/>
        </w:trPr>
        <w:tc>
          <w:tcPr>
            <w:tcW w:w="1134" w:type="dxa"/>
            <w:vMerge/>
            <w:vAlign w:val="center"/>
            <w:hideMark/>
          </w:tcPr>
          <w:p w:rsidR="004E60FE" w:rsidRPr="002176D6" w:rsidRDefault="004E60FE" w:rsidP="002176D6">
            <w:pPr>
              <w:ind w:left="-102" w:right="-108"/>
              <w:jc w:val="center"/>
              <w:rPr>
                <w:rFonts w:asciiTheme="majorHAnsi" w:hAnsiTheme="majorHAnsi"/>
                <w:color w:val="000000"/>
                <w:sz w:val="18"/>
                <w:szCs w:val="18"/>
              </w:rPr>
            </w:pPr>
          </w:p>
        </w:tc>
        <w:tc>
          <w:tcPr>
            <w:tcW w:w="1282" w:type="dxa"/>
            <w:shd w:val="clear" w:color="auto" w:fill="auto"/>
            <w:vAlign w:val="center"/>
            <w:hideMark/>
          </w:tcPr>
          <w:p w:rsidR="004E60FE" w:rsidRPr="002176D6" w:rsidRDefault="004E60FE" w:rsidP="002176D6">
            <w:pPr>
              <w:ind w:left="-102" w:right="-108"/>
              <w:jc w:val="center"/>
              <w:rPr>
                <w:rFonts w:asciiTheme="majorHAnsi" w:hAnsiTheme="majorHAnsi"/>
                <w:sz w:val="18"/>
                <w:szCs w:val="18"/>
              </w:rPr>
            </w:pPr>
            <w:r w:rsidRPr="002176D6">
              <w:rPr>
                <w:rFonts w:asciiTheme="majorHAnsi" w:hAnsiTheme="majorHAnsi"/>
                <w:sz w:val="18"/>
                <w:szCs w:val="18"/>
              </w:rPr>
              <w:t>Цена за ед. площади</w:t>
            </w:r>
          </w:p>
        </w:tc>
        <w:tc>
          <w:tcPr>
            <w:tcW w:w="850" w:type="dxa"/>
            <w:shd w:val="clear" w:color="auto" w:fill="auto"/>
            <w:vAlign w:val="center"/>
            <w:hideMark/>
          </w:tcPr>
          <w:p w:rsidR="004E60FE" w:rsidRPr="002176D6" w:rsidRDefault="004E60FE" w:rsidP="002176D6">
            <w:pPr>
              <w:ind w:left="-102" w:right="-108"/>
              <w:jc w:val="center"/>
              <w:rPr>
                <w:rFonts w:asciiTheme="majorHAnsi" w:hAnsiTheme="majorHAnsi"/>
                <w:sz w:val="18"/>
                <w:szCs w:val="18"/>
              </w:rPr>
            </w:pPr>
            <w:r w:rsidRPr="002176D6">
              <w:rPr>
                <w:rFonts w:asciiTheme="majorHAnsi" w:hAnsiTheme="majorHAnsi"/>
                <w:sz w:val="18"/>
                <w:szCs w:val="18"/>
              </w:rPr>
              <w:t>руб.</w:t>
            </w:r>
          </w:p>
        </w:tc>
        <w:tc>
          <w:tcPr>
            <w:tcW w:w="1418" w:type="dxa"/>
            <w:shd w:val="clear" w:color="auto" w:fill="auto"/>
            <w:vAlign w:val="center"/>
            <w:hideMark/>
          </w:tcPr>
          <w:p w:rsidR="004E60FE" w:rsidRPr="002176D6" w:rsidRDefault="004E60FE" w:rsidP="002176D6">
            <w:pPr>
              <w:jc w:val="center"/>
              <w:rPr>
                <w:rFonts w:asciiTheme="majorHAnsi" w:hAnsiTheme="majorHAnsi"/>
                <w:color w:val="000000"/>
                <w:sz w:val="18"/>
                <w:szCs w:val="18"/>
              </w:rPr>
            </w:pPr>
          </w:p>
        </w:tc>
        <w:tc>
          <w:tcPr>
            <w:tcW w:w="1401" w:type="dxa"/>
            <w:shd w:val="clear" w:color="auto" w:fill="auto"/>
            <w:vAlign w:val="center"/>
            <w:hideMark/>
          </w:tcPr>
          <w:p w:rsidR="004E60FE" w:rsidRPr="004E60FE" w:rsidRDefault="004E60FE" w:rsidP="004E60FE">
            <w:pPr>
              <w:jc w:val="center"/>
              <w:rPr>
                <w:rFonts w:ascii="Cambria" w:hAnsi="Cambria"/>
                <w:color w:val="000000"/>
                <w:sz w:val="18"/>
                <w:szCs w:val="18"/>
              </w:rPr>
            </w:pPr>
            <w:r w:rsidRPr="004E60FE">
              <w:rPr>
                <w:rFonts w:ascii="Cambria" w:hAnsi="Cambria"/>
                <w:color w:val="000000"/>
                <w:sz w:val="18"/>
                <w:szCs w:val="18"/>
              </w:rPr>
              <w:t>200,00</w:t>
            </w:r>
          </w:p>
        </w:tc>
        <w:tc>
          <w:tcPr>
            <w:tcW w:w="1183" w:type="dxa"/>
            <w:shd w:val="clear" w:color="auto" w:fill="auto"/>
            <w:vAlign w:val="center"/>
            <w:hideMark/>
          </w:tcPr>
          <w:p w:rsidR="004E60FE" w:rsidRPr="004E60FE" w:rsidRDefault="004E60FE" w:rsidP="004E60FE">
            <w:pPr>
              <w:jc w:val="center"/>
              <w:rPr>
                <w:rFonts w:ascii="Cambria" w:hAnsi="Cambria"/>
                <w:color w:val="000000"/>
                <w:sz w:val="18"/>
                <w:szCs w:val="18"/>
              </w:rPr>
            </w:pPr>
            <w:r w:rsidRPr="004E60FE">
              <w:rPr>
                <w:rFonts w:ascii="Cambria" w:hAnsi="Cambria"/>
                <w:color w:val="000000"/>
                <w:sz w:val="18"/>
                <w:szCs w:val="18"/>
              </w:rPr>
              <w:t>300,00</w:t>
            </w:r>
          </w:p>
        </w:tc>
        <w:tc>
          <w:tcPr>
            <w:tcW w:w="1246" w:type="dxa"/>
            <w:shd w:val="clear" w:color="auto" w:fill="auto"/>
            <w:vAlign w:val="center"/>
            <w:hideMark/>
          </w:tcPr>
          <w:p w:rsidR="004E60FE" w:rsidRPr="004E60FE" w:rsidRDefault="004E60FE" w:rsidP="004E60FE">
            <w:pPr>
              <w:jc w:val="center"/>
              <w:rPr>
                <w:rFonts w:ascii="Cambria" w:hAnsi="Cambria"/>
                <w:color w:val="000000"/>
                <w:sz w:val="18"/>
                <w:szCs w:val="18"/>
              </w:rPr>
            </w:pPr>
            <w:r w:rsidRPr="004E60FE">
              <w:rPr>
                <w:rFonts w:ascii="Cambria" w:hAnsi="Cambria"/>
                <w:color w:val="000000"/>
                <w:sz w:val="18"/>
                <w:szCs w:val="18"/>
              </w:rPr>
              <w:t>300,00</w:t>
            </w:r>
          </w:p>
        </w:tc>
      </w:tr>
      <w:tr w:rsidR="004E60FE" w:rsidRPr="002176D6" w:rsidTr="002176D6">
        <w:trPr>
          <w:trHeight w:val="20"/>
          <w:jc w:val="center"/>
        </w:trPr>
        <w:tc>
          <w:tcPr>
            <w:tcW w:w="2416" w:type="dxa"/>
            <w:gridSpan w:val="2"/>
            <w:shd w:val="clear" w:color="auto" w:fill="auto"/>
            <w:vAlign w:val="center"/>
            <w:hideMark/>
          </w:tcPr>
          <w:p w:rsidR="004E60FE" w:rsidRPr="002176D6" w:rsidRDefault="004E60FE" w:rsidP="002176D6">
            <w:pPr>
              <w:ind w:left="-102" w:right="-108"/>
              <w:jc w:val="center"/>
              <w:rPr>
                <w:rFonts w:asciiTheme="majorHAnsi" w:hAnsiTheme="majorHAnsi"/>
                <w:b/>
                <w:bCs/>
                <w:color w:val="000000"/>
                <w:sz w:val="18"/>
                <w:szCs w:val="18"/>
              </w:rPr>
            </w:pPr>
            <w:r w:rsidRPr="002176D6">
              <w:rPr>
                <w:rFonts w:asciiTheme="majorHAnsi" w:hAnsiTheme="majorHAnsi"/>
                <w:b/>
                <w:bCs/>
                <w:color w:val="000000"/>
                <w:sz w:val="18"/>
                <w:szCs w:val="18"/>
              </w:rPr>
              <w:t>Дата продажи, предложения (оценки)</w:t>
            </w:r>
          </w:p>
        </w:tc>
        <w:tc>
          <w:tcPr>
            <w:tcW w:w="850" w:type="dxa"/>
            <w:shd w:val="clear" w:color="auto" w:fill="auto"/>
            <w:vAlign w:val="center"/>
            <w:hideMark/>
          </w:tcPr>
          <w:p w:rsidR="004E60FE" w:rsidRPr="002176D6" w:rsidRDefault="004E60FE" w:rsidP="002176D6">
            <w:pPr>
              <w:ind w:left="-102" w:right="-108"/>
              <w:jc w:val="center"/>
              <w:rPr>
                <w:rFonts w:asciiTheme="majorHAnsi" w:hAnsiTheme="majorHAnsi"/>
                <w:b/>
                <w:bCs/>
                <w:sz w:val="18"/>
                <w:szCs w:val="18"/>
              </w:rPr>
            </w:pPr>
          </w:p>
        </w:tc>
        <w:tc>
          <w:tcPr>
            <w:tcW w:w="1418" w:type="dxa"/>
            <w:tcBorders>
              <w:bottom w:val="single" w:sz="6" w:space="0" w:color="auto"/>
            </w:tcBorders>
            <w:shd w:val="clear" w:color="auto" w:fill="auto"/>
            <w:vAlign w:val="center"/>
            <w:hideMark/>
          </w:tcPr>
          <w:p w:rsidR="004E60FE" w:rsidRPr="002176D6" w:rsidRDefault="004E60FE" w:rsidP="002176D6">
            <w:pPr>
              <w:ind w:left="-102" w:right="-108"/>
              <w:jc w:val="center"/>
              <w:rPr>
                <w:rFonts w:asciiTheme="majorHAnsi" w:hAnsiTheme="majorHAnsi"/>
                <w:color w:val="000000"/>
                <w:sz w:val="18"/>
                <w:szCs w:val="18"/>
              </w:rPr>
            </w:pPr>
            <w:r w:rsidRPr="002176D6">
              <w:rPr>
                <w:rFonts w:asciiTheme="majorHAnsi" w:hAnsiTheme="majorHAnsi"/>
                <w:color w:val="000000"/>
                <w:sz w:val="18"/>
                <w:szCs w:val="18"/>
              </w:rPr>
              <w:t>авг.17</w:t>
            </w:r>
          </w:p>
        </w:tc>
        <w:tc>
          <w:tcPr>
            <w:tcW w:w="1401" w:type="dxa"/>
            <w:tcBorders>
              <w:bottom w:val="single" w:sz="6" w:space="0" w:color="auto"/>
            </w:tcBorders>
            <w:shd w:val="clear" w:color="auto" w:fill="auto"/>
            <w:vAlign w:val="center"/>
            <w:hideMark/>
          </w:tcPr>
          <w:p w:rsidR="004E60FE" w:rsidRPr="004E60FE" w:rsidRDefault="004E60FE" w:rsidP="004E60FE">
            <w:pPr>
              <w:jc w:val="center"/>
              <w:rPr>
                <w:rFonts w:asciiTheme="majorHAnsi" w:hAnsiTheme="majorHAnsi"/>
                <w:color w:val="000000"/>
                <w:sz w:val="18"/>
                <w:szCs w:val="18"/>
              </w:rPr>
            </w:pPr>
            <w:r w:rsidRPr="004E60FE">
              <w:rPr>
                <w:rFonts w:asciiTheme="majorHAnsi" w:hAnsiTheme="majorHAnsi"/>
                <w:color w:val="000000"/>
                <w:sz w:val="18"/>
                <w:szCs w:val="18"/>
              </w:rPr>
              <w:t>авг.17</w:t>
            </w:r>
          </w:p>
        </w:tc>
        <w:tc>
          <w:tcPr>
            <w:tcW w:w="1183" w:type="dxa"/>
            <w:tcBorders>
              <w:bottom w:val="single" w:sz="6" w:space="0" w:color="auto"/>
            </w:tcBorders>
            <w:shd w:val="clear" w:color="auto" w:fill="auto"/>
            <w:vAlign w:val="center"/>
            <w:hideMark/>
          </w:tcPr>
          <w:p w:rsidR="004E60FE" w:rsidRPr="004E60FE" w:rsidRDefault="004E60FE" w:rsidP="004E60FE">
            <w:pPr>
              <w:jc w:val="center"/>
              <w:rPr>
                <w:rFonts w:ascii="Cambria" w:hAnsi="Cambria"/>
                <w:color w:val="000000"/>
                <w:sz w:val="18"/>
                <w:szCs w:val="18"/>
              </w:rPr>
            </w:pPr>
            <w:r w:rsidRPr="004E60FE">
              <w:rPr>
                <w:rFonts w:ascii="Cambria" w:hAnsi="Cambria"/>
                <w:color w:val="000000"/>
                <w:sz w:val="18"/>
                <w:szCs w:val="18"/>
              </w:rPr>
              <w:t>авг.17</w:t>
            </w:r>
          </w:p>
        </w:tc>
        <w:tc>
          <w:tcPr>
            <w:tcW w:w="1246" w:type="dxa"/>
            <w:tcBorders>
              <w:bottom w:val="single" w:sz="6" w:space="0" w:color="auto"/>
            </w:tcBorders>
            <w:shd w:val="clear" w:color="auto" w:fill="auto"/>
            <w:vAlign w:val="center"/>
            <w:hideMark/>
          </w:tcPr>
          <w:p w:rsidR="004E60FE" w:rsidRPr="004E60FE" w:rsidRDefault="004E60FE" w:rsidP="004E60FE">
            <w:pPr>
              <w:jc w:val="center"/>
              <w:rPr>
                <w:rFonts w:ascii="Cambria" w:hAnsi="Cambria"/>
                <w:color w:val="000000"/>
                <w:sz w:val="18"/>
                <w:szCs w:val="18"/>
              </w:rPr>
            </w:pPr>
            <w:r w:rsidRPr="004E60FE">
              <w:rPr>
                <w:rFonts w:ascii="Cambria" w:hAnsi="Cambria"/>
                <w:color w:val="000000"/>
                <w:sz w:val="18"/>
                <w:szCs w:val="18"/>
              </w:rPr>
              <w:t>авг.17</w:t>
            </w:r>
          </w:p>
        </w:tc>
      </w:tr>
      <w:tr w:rsidR="004E60FE" w:rsidRPr="002176D6" w:rsidTr="002176D6">
        <w:trPr>
          <w:trHeight w:val="20"/>
          <w:jc w:val="center"/>
        </w:trPr>
        <w:tc>
          <w:tcPr>
            <w:tcW w:w="2416" w:type="dxa"/>
            <w:gridSpan w:val="2"/>
            <w:shd w:val="clear" w:color="auto" w:fill="auto"/>
            <w:vAlign w:val="center"/>
            <w:hideMark/>
          </w:tcPr>
          <w:p w:rsidR="004E60FE" w:rsidRPr="002176D6" w:rsidRDefault="004E60FE" w:rsidP="002176D6">
            <w:pPr>
              <w:ind w:left="-102" w:right="-108"/>
              <w:jc w:val="center"/>
              <w:rPr>
                <w:rFonts w:asciiTheme="majorHAnsi" w:hAnsiTheme="majorHAnsi"/>
                <w:color w:val="000000"/>
                <w:sz w:val="18"/>
                <w:szCs w:val="18"/>
              </w:rPr>
            </w:pPr>
            <w:r w:rsidRPr="002176D6">
              <w:rPr>
                <w:rFonts w:asciiTheme="majorHAnsi" w:hAnsiTheme="majorHAnsi"/>
                <w:color w:val="000000"/>
                <w:sz w:val="18"/>
                <w:szCs w:val="18"/>
              </w:rPr>
              <w:t>Местоположение</w:t>
            </w:r>
          </w:p>
        </w:tc>
        <w:tc>
          <w:tcPr>
            <w:tcW w:w="850" w:type="dxa"/>
            <w:shd w:val="clear" w:color="auto" w:fill="auto"/>
            <w:vAlign w:val="center"/>
            <w:hideMark/>
          </w:tcPr>
          <w:p w:rsidR="004E60FE" w:rsidRPr="002176D6" w:rsidRDefault="004E60FE" w:rsidP="002176D6">
            <w:pPr>
              <w:ind w:left="-102" w:right="-108"/>
              <w:jc w:val="center"/>
              <w:rPr>
                <w:rFonts w:asciiTheme="majorHAnsi" w:hAnsiTheme="majorHAnsi"/>
                <w:color w:val="000000"/>
                <w:sz w:val="18"/>
                <w:szCs w:val="18"/>
              </w:rPr>
            </w:pPr>
          </w:p>
        </w:tc>
        <w:tc>
          <w:tcPr>
            <w:tcW w:w="1418" w:type="dxa"/>
            <w:tcBorders>
              <w:top w:val="single" w:sz="6" w:space="0" w:color="auto"/>
              <w:bottom w:val="single" w:sz="6" w:space="0" w:color="auto"/>
            </w:tcBorders>
            <w:shd w:val="clear" w:color="auto" w:fill="auto"/>
            <w:vAlign w:val="center"/>
            <w:hideMark/>
          </w:tcPr>
          <w:p w:rsidR="004E60FE" w:rsidRPr="004E60FE" w:rsidRDefault="004E60FE" w:rsidP="004E60FE">
            <w:pPr>
              <w:ind w:left="-108" w:right="-108"/>
              <w:jc w:val="center"/>
              <w:rPr>
                <w:rFonts w:ascii="Cambria" w:hAnsi="Cambria"/>
                <w:color w:val="000000"/>
                <w:sz w:val="18"/>
                <w:szCs w:val="18"/>
              </w:rPr>
            </w:pPr>
            <w:r w:rsidRPr="004E60FE">
              <w:rPr>
                <w:rFonts w:ascii="Cambria" w:hAnsi="Cambria"/>
                <w:color w:val="000000"/>
                <w:sz w:val="18"/>
                <w:szCs w:val="18"/>
              </w:rPr>
              <w:t>Белгородская обл. г. Белгород, ул Сумская, 168</w:t>
            </w:r>
          </w:p>
        </w:tc>
        <w:tc>
          <w:tcPr>
            <w:tcW w:w="1401" w:type="dxa"/>
            <w:tcBorders>
              <w:top w:val="single" w:sz="6" w:space="0" w:color="auto"/>
              <w:bottom w:val="single" w:sz="6" w:space="0" w:color="auto"/>
            </w:tcBorders>
            <w:shd w:val="clear" w:color="auto" w:fill="auto"/>
            <w:vAlign w:val="center"/>
            <w:hideMark/>
          </w:tcPr>
          <w:p w:rsidR="004E60FE" w:rsidRPr="004E60FE" w:rsidRDefault="004E60FE" w:rsidP="004E60FE">
            <w:pPr>
              <w:ind w:left="-108" w:right="-108"/>
              <w:jc w:val="center"/>
              <w:rPr>
                <w:rFonts w:ascii="Cambria" w:hAnsi="Cambria"/>
                <w:sz w:val="18"/>
                <w:szCs w:val="18"/>
              </w:rPr>
            </w:pPr>
            <w:r w:rsidRPr="004E60FE">
              <w:rPr>
                <w:rFonts w:ascii="Cambria" w:hAnsi="Cambria"/>
                <w:sz w:val="18"/>
                <w:szCs w:val="18"/>
              </w:rPr>
              <w:t>Белгородская область, Белгород, район Западный, Промышленный проезд, 8А</w:t>
            </w:r>
          </w:p>
        </w:tc>
        <w:tc>
          <w:tcPr>
            <w:tcW w:w="1183" w:type="dxa"/>
            <w:tcBorders>
              <w:top w:val="single" w:sz="6" w:space="0" w:color="auto"/>
              <w:bottom w:val="single" w:sz="6" w:space="0" w:color="auto"/>
            </w:tcBorders>
            <w:shd w:val="clear" w:color="auto" w:fill="auto"/>
            <w:vAlign w:val="center"/>
            <w:hideMark/>
          </w:tcPr>
          <w:p w:rsidR="004E60FE" w:rsidRPr="004E60FE" w:rsidRDefault="004E60FE" w:rsidP="004E60FE">
            <w:pPr>
              <w:ind w:left="-108" w:right="-108"/>
              <w:jc w:val="center"/>
              <w:rPr>
                <w:rFonts w:ascii="Cambria" w:hAnsi="Cambria"/>
                <w:sz w:val="18"/>
                <w:szCs w:val="18"/>
              </w:rPr>
            </w:pPr>
            <w:r w:rsidRPr="004E60FE">
              <w:rPr>
                <w:rFonts w:ascii="Cambria" w:hAnsi="Cambria"/>
                <w:sz w:val="18"/>
                <w:szCs w:val="18"/>
              </w:rPr>
              <w:t>Белгород, Волчанская</w:t>
            </w:r>
          </w:p>
        </w:tc>
        <w:tc>
          <w:tcPr>
            <w:tcW w:w="1246" w:type="dxa"/>
            <w:tcBorders>
              <w:top w:val="single" w:sz="6" w:space="0" w:color="auto"/>
              <w:bottom w:val="single" w:sz="6" w:space="0" w:color="auto"/>
            </w:tcBorders>
            <w:shd w:val="clear" w:color="auto" w:fill="auto"/>
            <w:vAlign w:val="center"/>
            <w:hideMark/>
          </w:tcPr>
          <w:p w:rsidR="004E60FE" w:rsidRPr="004E60FE" w:rsidRDefault="004E60FE" w:rsidP="004E60FE">
            <w:pPr>
              <w:ind w:left="-108" w:right="-108"/>
              <w:jc w:val="center"/>
              <w:rPr>
                <w:rFonts w:ascii="Cambria" w:hAnsi="Cambria"/>
                <w:sz w:val="18"/>
                <w:szCs w:val="18"/>
              </w:rPr>
            </w:pPr>
            <w:r w:rsidRPr="004E60FE">
              <w:rPr>
                <w:rFonts w:ascii="Cambria" w:hAnsi="Cambria"/>
                <w:sz w:val="18"/>
                <w:szCs w:val="18"/>
              </w:rPr>
              <w:t xml:space="preserve">Белгород, р-н Восточный, княгини </w:t>
            </w:r>
            <w:r>
              <w:rPr>
                <w:rFonts w:ascii="Cambria" w:hAnsi="Cambria"/>
                <w:sz w:val="18"/>
                <w:szCs w:val="18"/>
              </w:rPr>
              <w:t>В</w:t>
            </w:r>
            <w:r w:rsidRPr="004E60FE">
              <w:rPr>
                <w:rFonts w:ascii="Cambria" w:hAnsi="Cambria"/>
                <w:sz w:val="18"/>
                <w:szCs w:val="18"/>
              </w:rPr>
              <w:t>олковой, 4</w:t>
            </w:r>
          </w:p>
        </w:tc>
      </w:tr>
      <w:tr w:rsidR="00045306" w:rsidRPr="002176D6" w:rsidTr="002176D6">
        <w:trPr>
          <w:trHeight w:val="20"/>
          <w:jc w:val="center"/>
        </w:trPr>
        <w:tc>
          <w:tcPr>
            <w:tcW w:w="2416" w:type="dxa"/>
            <w:gridSpan w:val="2"/>
            <w:shd w:val="clear" w:color="auto" w:fill="auto"/>
            <w:vAlign w:val="center"/>
            <w:hideMark/>
          </w:tcPr>
          <w:p w:rsidR="00045306" w:rsidRPr="002176D6" w:rsidRDefault="00045306" w:rsidP="002176D6">
            <w:pPr>
              <w:ind w:left="-102" w:right="-108"/>
              <w:jc w:val="center"/>
              <w:rPr>
                <w:rFonts w:asciiTheme="majorHAnsi" w:hAnsiTheme="majorHAnsi"/>
                <w:color w:val="000000"/>
                <w:sz w:val="18"/>
                <w:szCs w:val="18"/>
              </w:rPr>
            </w:pPr>
            <w:r w:rsidRPr="002176D6">
              <w:rPr>
                <w:rFonts w:asciiTheme="majorHAnsi" w:hAnsiTheme="majorHAnsi"/>
                <w:color w:val="000000"/>
                <w:sz w:val="18"/>
                <w:szCs w:val="18"/>
              </w:rPr>
              <w:t>Степень соответствия местоположения объекта оценки месту расположения аналога</w:t>
            </w:r>
          </w:p>
        </w:tc>
        <w:tc>
          <w:tcPr>
            <w:tcW w:w="850" w:type="dxa"/>
            <w:tcBorders>
              <w:bottom w:val="single" w:sz="6" w:space="0" w:color="auto"/>
            </w:tcBorders>
            <w:shd w:val="clear" w:color="auto" w:fill="auto"/>
            <w:vAlign w:val="center"/>
            <w:hideMark/>
          </w:tcPr>
          <w:p w:rsidR="00045306" w:rsidRPr="002176D6" w:rsidRDefault="00045306" w:rsidP="002176D6">
            <w:pPr>
              <w:ind w:left="-102" w:right="-108"/>
              <w:jc w:val="center"/>
              <w:rPr>
                <w:rFonts w:asciiTheme="majorHAnsi" w:hAnsiTheme="majorHAnsi"/>
                <w:color w:val="000000"/>
                <w:sz w:val="18"/>
                <w:szCs w:val="18"/>
              </w:rPr>
            </w:pPr>
          </w:p>
        </w:tc>
        <w:tc>
          <w:tcPr>
            <w:tcW w:w="1418" w:type="dxa"/>
            <w:tcBorders>
              <w:top w:val="single" w:sz="6" w:space="0" w:color="auto"/>
              <w:bottom w:val="single" w:sz="6" w:space="0" w:color="auto"/>
            </w:tcBorders>
            <w:shd w:val="clear" w:color="auto" w:fill="auto"/>
            <w:vAlign w:val="center"/>
          </w:tcPr>
          <w:p w:rsidR="00045306" w:rsidRPr="00045306" w:rsidRDefault="00045306" w:rsidP="00045306">
            <w:pPr>
              <w:jc w:val="center"/>
              <w:rPr>
                <w:rFonts w:ascii="Cambria" w:hAnsi="Cambria"/>
                <w:color w:val="000000"/>
                <w:sz w:val="18"/>
                <w:szCs w:val="18"/>
              </w:rPr>
            </w:pPr>
            <w:r w:rsidRPr="00045306">
              <w:rPr>
                <w:rFonts w:ascii="Cambria" w:hAnsi="Cambria"/>
                <w:color w:val="000000"/>
                <w:sz w:val="18"/>
                <w:szCs w:val="18"/>
              </w:rPr>
              <w:t>1</w:t>
            </w:r>
          </w:p>
        </w:tc>
        <w:tc>
          <w:tcPr>
            <w:tcW w:w="1401" w:type="dxa"/>
            <w:tcBorders>
              <w:top w:val="single" w:sz="6" w:space="0" w:color="auto"/>
              <w:bottom w:val="single" w:sz="6" w:space="0" w:color="auto"/>
            </w:tcBorders>
            <w:shd w:val="clear" w:color="auto" w:fill="auto"/>
            <w:vAlign w:val="center"/>
            <w:hideMark/>
          </w:tcPr>
          <w:p w:rsidR="00045306" w:rsidRPr="00045306" w:rsidRDefault="00045306" w:rsidP="00045306">
            <w:pPr>
              <w:jc w:val="center"/>
              <w:rPr>
                <w:rFonts w:ascii="Cambria" w:hAnsi="Cambria"/>
                <w:color w:val="000000"/>
                <w:sz w:val="18"/>
                <w:szCs w:val="18"/>
              </w:rPr>
            </w:pPr>
            <w:r w:rsidRPr="00045306">
              <w:rPr>
                <w:rFonts w:ascii="Cambria" w:hAnsi="Cambria"/>
                <w:color w:val="000000"/>
                <w:sz w:val="18"/>
                <w:szCs w:val="18"/>
              </w:rPr>
              <w:t>1</w:t>
            </w:r>
          </w:p>
        </w:tc>
        <w:tc>
          <w:tcPr>
            <w:tcW w:w="1183" w:type="dxa"/>
            <w:tcBorders>
              <w:top w:val="single" w:sz="6" w:space="0" w:color="auto"/>
              <w:bottom w:val="single" w:sz="6" w:space="0" w:color="auto"/>
            </w:tcBorders>
            <w:shd w:val="clear" w:color="auto" w:fill="auto"/>
            <w:vAlign w:val="center"/>
            <w:hideMark/>
          </w:tcPr>
          <w:p w:rsidR="00045306" w:rsidRPr="00045306" w:rsidRDefault="00045306" w:rsidP="00045306">
            <w:pPr>
              <w:jc w:val="center"/>
              <w:rPr>
                <w:rFonts w:ascii="Cambria" w:hAnsi="Cambria"/>
                <w:color w:val="000000"/>
                <w:sz w:val="18"/>
                <w:szCs w:val="18"/>
              </w:rPr>
            </w:pPr>
            <w:r w:rsidRPr="00045306">
              <w:rPr>
                <w:rFonts w:ascii="Cambria" w:hAnsi="Cambria"/>
                <w:color w:val="000000"/>
                <w:sz w:val="18"/>
                <w:szCs w:val="18"/>
              </w:rPr>
              <w:t>1</w:t>
            </w:r>
          </w:p>
        </w:tc>
        <w:tc>
          <w:tcPr>
            <w:tcW w:w="1246" w:type="dxa"/>
            <w:tcBorders>
              <w:top w:val="single" w:sz="6" w:space="0" w:color="auto"/>
              <w:bottom w:val="single" w:sz="6" w:space="0" w:color="auto"/>
            </w:tcBorders>
            <w:shd w:val="clear" w:color="auto" w:fill="auto"/>
            <w:vAlign w:val="center"/>
            <w:hideMark/>
          </w:tcPr>
          <w:p w:rsidR="00045306" w:rsidRPr="00045306" w:rsidRDefault="00045306" w:rsidP="00045306">
            <w:pPr>
              <w:jc w:val="center"/>
              <w:rPr>
                <w:rFonts w:ascii="Cambria" w:hAnsi="Cambria"/>
                <w:color w:val="000000"/>
                <w:sz w:val="18"/>
                <w:szCs w:val="18"/>
              </w:rPr>
            </w:pPr>
            <w:r w:rsidRPr="00045306">
              <w:rPr>
                <w:rFonts w:ascii="Cambria" w:hAnsi="Cambria"/>
                <w:color w:val="000000"/>
                <w:sz w:val="18"/>
                <w:szCs w:val="18"/>
              </w:rPr>
              <w:t>1</w:t>
            </w:r>
          </w:p>
        </w:tc>
      </w:tr>
      <w:tr w:rsidR="00045306" w:rsidRPr="002176D6" w:rsidTr="002176D6">
        <w:trPr>
          <w:trHeight w:val="20"/>
          <w:jc w:val="center"/>
        </w:trPr>
        <w:tc>
          <w:tcPr>
            <w:tcW w:w="2416" w:type="dxa"/>
            <w:gridSpan w:val="2"/>
            <w:shd w:val="clear" w:color="auto" w:fill="auto"/>
            <w:vAlign w:val="center"/>
            <w:hideMark/>
          </w:tcPr>
          <w:p w:rsidR="00045306" w:rsidRPr="002176D6" w:rsidRDefault="00045306" w:rsidP="002176D6">
            <w:pPr>
              <w:ind w:left="-102" w:right="-108"/>
              <w:jc w:val="center"/>
              <w:rPr>
                <w:rFonts w:asciiTheme="majorHAnsi" w:hAnsiTheme="majorHAnsi"/>
                <w:color w:val="000000"/>
                <w:sz w:val="18"/>
                <w:szCs w:val="18"/>
              </w:rPr>
            </w:pPr>
            <w:r w:rsidRPr="002176D6">
              <w:rPr>
                <w:rFonts w:asciiTheme="majorHAnsi" w:hAnsiTheme="majorHAnsi"/>
                <w:color w:val="000000"/>
                <w:sz w:val="18"/>
                <w:szCs w:val="18"/>
              </w:rPr>
              <w:t>Корректировка</w:t>
            </w:r>
          </w:p>
        </w:tc>
        <w:tc>
          <w:tcPr>
            <w:tcW w:w="850" w:type="dxa"/>
            <w:tcBorders>
              <w:top w:val="single" w:sz="6" w:space="0" w:color="auto"/>
              <w:bottom w:val="single" w:sz="6" w:space="0" w:color="auto"/>
            </w:tcBorders>
            <w:shd w:val="clear" w:color="000000" w:fill="auto"/>
            <w:vAlign w:val="center"/>
            <w:hideMark/>
          </w:tcPr>
          <w:p w:rsidR="00045306" w:rsidRPr="002176D6" w:rsidRDefault="00045306" w:rsidP="002176D6">
            <w:pPr>
              <w:ind w:left="-102" w:right="-108"/>
              <w:jc w:val="center"/>
              <w:rPr>
                <w:rFonts w:asciiTheme="majorHAnsi" w:hAnsiTheme="majorHAnsi"/>
                <w:color w:val="000000"/>
                <w:sz w:val="18"/>
                <w:szCs w:val="18"/>
              </w:rPr>
            </w:pPr>
          </w:p>
        </w:tc>
        <w:tc>
          <w:tcPr>
            <w:tcW w:w="1418" w:type="dxa"/>
            <w:tcBorders>
              <w:top w:val="single" w:sz="6" w:space="0" w:color="auto"/>
              <w:bottom w:val="single" w:sz="6" w:space="0" w:color="auto"/>
            </w:tcBorders>
            <w:shd w:val="clear" w:color="000000" w:fill="auto"/>
            <w:vAlign w:val="center"/>
            <w:hideMark/>
          </w:tcPr>
          <w:p w:rsidR="00045306" w:rsidRPr="00045306" w:rsidRDefault="00045306" w:rsidP="00045306">
            <w:pPr>
              <w:jc w:val="center"/>
              <w:rPr>
                <w:rFonts w:ascii="Cambria" w:hAnsi="Cambria"/>
                <w:color w:val="000000"/>
                <w:sz w:val="18"/>
                <w:szCs w:val="18"/>
              </w:rPr>
            </w:pPr>
          </w:p>
        </w:tc>
        <w:tc>
          <w:tcPr>
            <w:tcW w:w="1401" w:type="dxa"/>
            <w:tcBorders>
              <w:top w:val="single" w:sz="6" w:space="0" w:color="auto"/>
              <w:bottom w:val="single" w:sz="6" w:space="0" w:color="auto"/>
            </w:tcBorders>
            <w:shd w:val="clear" w:color="000000" w:fill="auto"/>
            <w:vAlign w:val="center"/>
            <w:hideMark/>
          </w:tcPr>
          <w:p w:rsidR="00045306" w:rsidRPr="00045306" w:rsidRDefault="00045306" w:rsidP="00045306">
            <w:pPr>
              <w:jc w:val="center"/>
              <w:rPr>
                <w:rFonts w:ascii="Cambria" w:hAnsi="Cambria"/>
                <w:color w:val="000000"/>
                <w:sz w:val="18"/>
                <w:szCs w:val="18"/>
              </w:rPr>
            </w:pPr>
            <w:r w:rsidRPr="00045306">
              <w:rPr>
                <w:rFonts w:ascii="Cambria" w:hAnsi="Cambria"/>
                <w:color w:val="000000"/>
                <w:sz w:val="18"/>
                <w:szCs w:val="18"/>
              </w:rPr>
              <w:t>1,00</w:t>
            </w:r>
          </w:p>
        </w:tc>
        <w:tc>
          <w:tcPr>
            <w:tcW w:w="1183" w:type="dxa"/>
            <w:tcBorders>
              <w:top w:val="single" w:sz="6" w:space="0" w:color="auto"/>
              <w:bottom w:val="single" w:sz="6" w:space="0" w:color="auto"/>
            </w:tcBorders>
            <w:shd w:val="clear" w:color="000000" w:fill="auto"/>
            <w:vAlign w:val="center"/>
            <w:hideMark/>
          </w:tcPr>
          <w:p w:rsidR="00045306" w:rsidRPr="00045306" w:rsidRDefault="00045306" w:rsidP="00045306">
            <w:pPr>
              <w:jc w:val="center"/>
              <w:rPr>
                <w:rFonts w:ascii="Cambria" w:hAnsi="Cambria"/>
                <w:color w:val="000000"/>
                <w:sz w:val="18"/>
                <w:szCs w:val="18"/>
              </w:rPr>
            </w:pPr>
            <w:r w:rsidRPr="00045306">
              <w:rPr>
                <w:rFonts w:ascii="Cambria" w:hAnsi="Cambria"/>
                <w:color w:val="000000"/>
                <w:sz w:val="18"/>
                <w:szCs w:val="18"/>
              </w:rPr>
              <w:t>1,00</w:t>
            </w:r>
          </w:p>
        </w:tc>
        <w:tc>
          <w:tcPr>
            <w:tcW w:w="1246" w:type="dxa"/>
            <w:tcBorders>
              <w:top w:val="single" w:sz="6" w:space="0" w:color="auto"/>
              <w:bottom w:val="single" w:sz="6" w:space="0" w:color="auto"/>
            </w:tcBorders>
            <w:shd w:val="clear" w:color="000000" w:fill="auto"/>
            <w:vAlign w:val="center"/>
            <w:hideMark/>
          </w:tcPr>
          <w:p w:rsidR="00045306" w:rsidRPr="00045306" w:rsidRDefault="00045306" w:rsidP="00045306">
            <w:pPr>
              <w:jc w:val="center"/>
              <w:rPr>
                <w:rFonts w:ascii="Cambria" w:hAnsi="Cambria"/>
                <w:color w:val="000000"/>
                <w:sz w:val="18"/>
                <w:szCs w:val="18"/>
              </w:rPr>
            </w:pPr>
            <w:r w:rsidRPr="00045306">
              <w:rPr>
                <w:rFonts w:ascii="Cambria" w:hAnsi="Cambria"/>
                <w:color w:val="000000"/>
                <w:sz w:val="18"/>
                <w:szCs w:val="18"/>
              </w:rPr>
              <w:t>1,00</w:t>
            </w:r>
          </w:p>
        </w:tc>
      </w:tr>
      <w:tr w:rsidR="00045306" w:rsidRPr="002176D6" w:rsidTr="002176D6">
        <w:trPr>
          <w:trHeight w:val="20"/>
          <w:jc w:val="center"/>
        </w:trPr>
        <w:tc>
          <w:tcPr>
            <w:tcW w:w="2416" w:type="dxa"/>
            <w:gridSpan w:val="2"/>
            <w:shd w:val="clear" w:color="auto" w:fill="auto"/>
            <w:vAlign w:val="center"/>
            <w:hideMark/>
          </w:tcPr>
          <w:p w:rsidR="00045306" w:rsidRPr="002176D6" w:rsidRDefault="00045306" w:rsidP="002176D6">
            <w:pPr>
              <w:ind w:left="-102" w:right="-108"/>
              <w:jc w:val="center"/>
              <w:rPr>
                <w:rFonts w:asciiTheme="majorHAnsi" w:hAnsiTheme="majorHAnsi"/>
                <w:color w:val="000000"/>
                <w:sz w:val="18"/>
                <w:szCs w:val="18"/>
              </w:rPr>
            </w:pPr>
            <w:r w:rsidRPr="002176D6">
              <w:rPr>
                <w:rFonts w:asciiTheme="majorHAnsi" w:hAnsiTheme="majorHAnsi"/>
                <w:color w:val="000000"/>
                <w:sz w:val="18"/>
                <w:szCs w:val="18"/>
              </w:rPr>
              <w:t>Скорректированная цена</w:t>
            </w:r>
          </w:p>
        </w:tc>
        <w:tc>
          <w:tcPr>
            <w:tcW w:w="850" w:type="dxa"/>
            <w:tcBorders>
              <w:top w:val="single" w:sz="6" w:space="0" w:color="auto"/>
            </w:tcBorders>
            <w:shd w:val="clear" w:color="auto" w:fill="auto"/>
            <w:vAlign w:val="center"/>
            <w:hideMark/>
          </w:tcPr>
          <w:p w:rsidR="00045306" w:rsidRPr="002176D6" w:rsidRDefault="00045306" w:rsidP="002176D6">
            <w:pPr>
              <w:ind w:left="-102" w:right="-108"/>
              <w:jc w:val="center"/>
              <w:rPr>
                <w:rFonts w:asciiTheme="majorHAnsi" w:hAnsiTheme="majorHAnsi"/>
                <w:color w:val="000000"/>
                <w:sz w:val="18"/>
                <w:szCs w:val="18"/>
              </w:rPr>
            </w:pPr>
            <w:r w:rsidRPr="002176D6">
              <w:rPr>
                <w:rFonts w:asciiTheme="majorHAnsi" w:hAnsiTheme="majorHAnsi"/>
                <w:color w:val="000000"/>
                <w:sz w:val="18"/>
                <w:szCs w:val="18"/>
              </w:rPr>
              <w:t>руб.</w:t>
            </w:r>
          </w:p>
        </w:tc>
        <w:tc>
          <w:tcPr>
            <w:tcW w:w="1418" w:type="dxa"/>
            <w:tcBorders>
              <w:top w:val="single" w:sz="6" w:space="0" w:color="auto"/>
            </w:tcBorders>
            <w:shd w:val="clear" w:color="auto" w:fill="auto"/>
            <w:vAlign w:val="center"/>
            <w:hideMark/>
          </w:tcPr>
          <w:p w:rsidR="00045306" w:rsidRPr="00045306" w:rsidRDefault="00045306" w:rsidP="00045306">
            <w:pPr>
              <w:jc w:val="center"/>
              <w:rPr>
                <w:rFonts w:ascii="Cambria" w:hAnsi="Cambria"/>
                <w:color w:val="000000"/>
                <w:sz w:val="18"/>
                <w:szCs w:val="18"/>
              </w:rPr>
            </w:pPr>
          </w:p>
        </w:tc>
        <w:tc>
          <w:tcPr>
            <w:tcW w:w="1401" w:type="dxa"/>
            <w:tcBorders>
              <w:top w:val="single" w:sz="6" w:space="0" w:color="auto"/>
            </w:tcBorders>
            <w:shd w:val="clear" w:color="auto" w:fill="auto"/>
            <w:vAlign w:val="center"/>
            <w:hideMark/>
          </w:tcPr>
          <w:p w:rsidR="00045306" w:rsidRPr="00045306" w:rsidRDefault="00045306" w:rsidP="00045306">
            <w:pPr>
              <w:jc w:val="center"/>
              <w:rPr>
                <w:rFonts w:ascii="Cambria" w:hAnsi="Cambria"/>
                <w:color w:val="000000"/>
                <w:sz w:val="18"/>
                <w:szCs w:val="18"/>
              </w:rPr>
            </w:pPr>
            <w:r w:rsidRPr="00045306">
              <w:rPr>
                <w:rFonts w:ascii="Cambria" w:hAnsi="Cambria"/>
                <w:color w:val="000000"/>
                <w:sz w:val="18"/>
                <w:szCs w:val="18"/>
              </w:rPr>
              <w:t>200,00</w:t>
            </w:r>
          </w:p>
        </w:tc>
        <w:tc>
          <w:tcPr>
            <w:tcW w:w="1183" w:type="dxa"/>
            <w:tcBorders>
              <w:top w:val="single" w:sz="6" w:space="0" w:color="auto"/>
            </w:tcBorders>
            <w:shd w:val="clear" w:color="auto" w:fill="auto"/>
            <w:vAlign w:val="center"/>
            <w:hideMark/>
          </w:tcPr>
          <w:p w:rsidR="00045306" w:rsidRPr="00045306" w:rsidRDefault="00045306" w:rsidP="00045306">
            <w:pPr>
              <w:jc w:val="center"/>
              <w:rPr>
                <w:rFonts w:ascii="Cambria" w:hAnsi="Cambria"/>
                <w:color w:val="000000"/>
                <w:sz w:val="18"/>
                <w:szCs w:val="18"/>
              </w:rPr>
            </w:pPr>
            <w:r w:rsidRPr="00045306">
              <w:rPr>
                <w:rFonts w:ascii="Cambria" w:hAnsi="Cambria"/>
                <w:color w:val="000000"/>
                <w:sz w:val="18"/>
                <w:szCs w:val="18"/>
              </w:rPr>
              <w:t>300,00</w:t>
            </w:r>
          </w:p>
        </w:tc>
        <w:tc>
          <w:tcPr>
            <w:tcW w:w="1246" w:type="dxa"/>
            <w:tcBorders>
              <w:top w:val="single" w:sz="6" w:space="0" w:color="auto"/>
            </w:tcBorders>
            <w:shd w:val="clear" w:color="auto" w:fill="auto"/>
            <w:vAlign w:val="center"/>
            <w:hideMark/>
          </w:tcPr>
          <w:p w:rsidR="00045306" w:rsidRPr="00045306" w:rsidRDefault="00045306" w:rsidP="00045306">
            <w:pPr>
              <w:jc w:val="center"/>
              <w:rPr>
                <w:rFonts w:ascii="Cambria" w:hAnsi="Cambria"/>
                <w:color w:val="000000"/>
                <w:sz w:val="18"/>
                <w:szCs w:val="18"/>
              </w:rPr>
            </w:pPr>
            <w:r w:rsidRPr="00045306">
              <w:rPr>
                <w:rFonts w:ascii="Cambria" w:hAnsi="Cambria"/>
                <w:color w:val="000000"/>
                <w:sz w:val="18"/>
                <w:szCs w:val="18"/>
              </w:rPr>
              <w:t>300,00</w:t>
            </w:r>
          </w:p>
        </w:tc>
      </w:tr>
      <w:tr w:rsidR="00045306" w:rsidRPr="002176D6" w:rsidTr="002176D6">
        <w:trPr>
          <w:trHeight w:val="20"/>
          <w:jc w:val="center"/>
        </w:trPr>
        <w:tc>
          <w:tcPr>
            <w:tcW w:w="2416" w:type="dxa"/>
            <w:gridSpan w:val="2"/>
            <w:shd w:val="clear" w:color="auto" w:fill="auto"/>
            <w:vAlign w:val="center"/>
            <w:hideMark/>
          </w:tcPr>
          <w:p w:rsidR="00045306" w:rsidRPr="002176D6" w:rsidRDefault="00045306" w:rsidP="002176D6">
            <w:pPr>
              <w:ind w:left="-102" w:right="-108"/>
              <w:jc w:val="center"/>
              <w:rPr>
                <w:rFonts w:asciiTheme="majorHAnsi" w:hAnsiTheme="majorHAnsi"/>
                <w:sz w:val="18"/>
                <w:szCs w:val="18"/>
              </w:rPr>
            </w:pPr>
            <w:r w:rsidRPr="002176D6">
              <w:rPr>
                <w:rFonts w:asciiTheme="majorHAnsi" w:hAnsiTheme="majorHAnsi"/>
                <w:sz w:val="18"/>
                <w:szCs w:val="18"/>
              </w:rPr>
              <w:t>Корректировка на уторговывание</w:t>
            </w:r>
          </w:p>
        </w:tc>
        <w:tc>
          <w:tcPr>
            <w:tcW w:w="850" w:type="dxa"/>
            <w:shd w:val="clear" w:color="auto" w:fill="auto"/>
            <w:vAlign w:val="center"/>
            <w:hideMark/>
          </w:tcPr>
          <w:p w:rsidR="00045306" w:rsidRPr="002176D6" w:rsidRDefault="00045306" w:rsidP="002176D6">
            <w:pPr>
              <w:ind w:left="-102" w:right="-108"/>
              <w:jc w:val="center"/>
              <w:rPr>
                <w:rFonts w:asciiTheme="majorHAnsi" w:hAnsiTheme="majorHAnsi"/>
                <w:color w:val="000000"/>
                <w:sz w:val="18"/>
                <w:szCs w:val="18"/>
              </w:rPr>
            </w:pPr>
          </w:p>
        </w:tc>
        <w:tc>
          <w:tcPr>
            <w:tcW w:w="1418" w:type="dxa"/>
            <w:shd w:val="clear" w:color="auto" w:fill="auto"/>
            <w:vAlign w:val="center"/>
            <w:hideMark/>
          </w:tcPr>
          <w:p w:rsidR="00045306" w:rsidRPr="00045306" w:rsidRDefault="00045306" w:rsidP="00045306">
            <w:pPr>
              <w:jc w:val="center"/>
              <w:rPr>
                <w:rFonts w:ascii="Cambria" w:hAnsi="Cambria"/>
                <w:color w:val="000000"/>
                <w:sz w:val="18"/>
                <w:szCs w:val="18"/>
              </w:rPr>
            </w:pPr>
          </w:p>
        </w:tc>
        <w:tc>
          <w:tcPr>
            <w:tcW w:w="1401" w:type="dxa"/>
            <w:shd w:val="clear" w:color="000000" w:fill="FFFFFF"/>
            <w:vAlign w:val="center"/>
            <w:hideMark/>
          </w:tcPr>
          <w:p w:rsidR="00045306" w:rsidRPr="00045306" w:rsidRDefault="00045306" w:rsidP="00045306">
            <w:pPr>
              <w:jc w:val="center"/>
              <w:rPr>
                <w:rFonts w:ascii="Cambria" w:hAnsi="Cambria"/>
                <w:color w:val="000000"/>
                <w:sz w:val="18"/>
                <w:szCs w:val="18"/>
              </w:rPr>
            </w:pPr>
            <w:r w:rsidRPr="00045306">
              <w:rPr>
                <w:rFonts w:ascii="Cambria" w:hAnsi="Cambria"/>
                <w:color w:val="000000"/>
                <w:sz w:val="18"/>
                <w:szCs w:val="18"/>
              </w:rPr>
              <w:t>13,90%</w:t>
            </w:r>
          </w:p>
        </w:tc>
        <w:tc>
          <w:tcPr>
            <w:tcW w:w="1183" w:type="dxa"/>
            <w:shd w:val="clear" w:color="000000" w:fill="FFFFFF"/>
            <w:vAlign w:val="center"/>
            <w:hideMark/>
          </w:tcPr>
          <w:p w:rsidR="00045306" w:rsidRPr="00045306" w:rsidRDefault="00045306" w:rsidP="00045306">
            <w:pPr>
              <w:jc w:val="center"/>
              <w:rPr>
                <w:rFonts w:ascii="Cambria" w:hAnsi="Cambria"/>
                <w:color w:val="000000"/>
                <w:sz w:val="18"/>
                <w:szCs w:val="18"/>
              </w:rPr>
            </w:pPr>
            <w:r w:rsidRPr="00045306">
              <w:rPr>
                <w:rFonts w:ascii="Cambria" w:hAnsi="Cambria"/>
                <w:color w:val="000000"/>
                <w:sz w:val="18"/>
                <w:szCs w:val="18"/>
              </w:rPr>
              <w:t>13,90%</w:t>
            </w:r>
          </w:p>
        </w:tc>
        <w:tc>
          <w:tcPr>
            <w:tcW w:w="1246" w:type="dxa"/>
            <w:shd w:val="clear" w:color="000000" w:fill="FFFFFF"/>
            <w:vAlign w:val="center"/>
            <w:hideMark/>
          </w:tcPr>
          <w:p w:rsidR="00045306" w:rsidRPr="00045306" w:rsidRDefault="00045306" w:rsidP="00045306">
            <w:pPr>
              <w:jc w:val="center"/>
              <w:rPr>
                <w:rFonts w:ascii="Cambria" w:hAnsi="Cambria"/>
                <w:color w:val="000000"/>
                <w:sz w:val="18"/>
                <w:szCs w:val="18"/>
              </w:rPr>
            </w:pPr>
            <w:r w:rsidRPr="00045306">
              <w:rPr>
                <w:rFonts w:ascii="Cambria" w:hAnsi="Cambria"/>
                <w:color w:val="000000"/>
                <w:sz w:val="18"/>
                <w:szCs w:val="18"/>
              </w:rPr>
              <w:t>13,90%</w:t>
            </w:r>
          </w:p>
        </w:tc>
      </w:tr>
      <w:tr w:rsidR="00045306" w:rsidRPr="002176D6" w:rsidTr="002176D6">
        <w:trPr>
          <w:trHeight w:val="20"/>
          <w:jc w:val="center"/>
        </w:trPr>
        <w:tc>
          <w:tcPr>
            <w:tcW w:w="2416" w:type="dxa"/>
            <w:gridSpan w:val="2"/>
            <w:shd w:val="clear" w:color="auto" w:fill="auto"/>
            <w:vAlign w:val="center"/>
            <w:hideMark/>
          </w:tcPr>
          <w:p w:rsidR="00045306" w:rsidRPr="002176D6" w:rsidRDefault="00045306" w:rsidP="002176D6">
            <w:pPr>
              <w:ind w:left="-102" w:right="-108"/>
              <w:jc w:val="center"/>
              <w:rPr>
                <w:rFonts w:asciiTheme="majorHAnsi" w:hAnsiTheme="majorHAnsi"/>
                <w:color w:val="000000"/>
                <w:sz w:val="18"/>
                <w:szCs w:val="18"/>
              </w:rPr>
            </w:pPr>
            <w:r w:rsidRPr="002176D6">
              <w:rPr>
                <w:rFonts w:asciiTheme="majorHAnsi" w:hAnsiTheme="majorHAnsi"/>
                <w:color w:val="000000"/>
                <w:sz w:val="18"/>
                <w:szCs w:val="18"/>
              </w:rPr>
              <w:t>Скорректированная цена</w:t>
            </w:r>
          </w:p>
        </w:tc>
        <w:tc>
          <w:tcPr>
            <w:tcW w:w="850" w:type="dxa"/>
            <w:shd w:val="clear" w:color="auto" w:fill="auto"/>
            <w:vAlign w:val="center"/>
            <w:hideMark/>
          </w:tcPr>
          <w:p w:rsidR="00045306" w:rsidRPr="002176D6" w:rsidRDefault="00045306" w:rsidP="002176D6">
            <w:pPr>
              <w:ind w:left="-102" w:right="-108"/>
              <w:jc w:val="center"/>
              <w:rPr>
                <w:rFonts w:asciiTheme="majorHAnsi" w:hAnsiTheme="majorHAnsi"/>
                <w:color w:val="000000"/>
                <w:sz w:val="18"/>
                <w:szCs w:val="18"/>
              </w:rPr>
            </w:pPr>
            <w:r w:rsidRPr="002176D6">
              <w:rPr>
                <w:rFonts w:asciiTheme="majorHAnsi" w:hAnsiTheme="majorHAnsi"/>
                <w:color w:val="000000"/>
                <w:sz w:val="18"/>
                <w:szCs w:val="18"/>
              </w:rPr>
              <w:t>руб.</w:t>
            </w:r>
          </w:p>
        </w:tc>
        <w:tc>
          <w:tcPr>
            <w:tcW w:w="1418" w:type="dxa"/>
            <w:shd w:val="clear" w:color="auto" w:fill="auto"/>
            <w:vAlign w:val="center"/>
            <w:hideMark/>
          </w:tcPr>
          <w:p w:rsidR="00045306" w:rsidRPr="00045306" w:rsidRDefault="00045306" w:rsidP="00045306">
            <w:pPr>
              <w:jc w:val="center"/>
              <w:rPr>
                <w:rFonts w:ascii="Cambria" w:hAnsi="Cambria"/>
                <w:color w:val="000000"/>
                <w:sz w:val="18"/>
                <w:szCs w:val="18"/>
              </w:rPr>
            </w:pPr>
          </w:p>
        </w:tc>
        <w:tc>
          <w:tcPr>
            <w:tcW w:w="1401" w:type="dxa"/>
            <w:shd w:val="clear" w:color="auto" w:fill="auto"/>
            <w:vAlign w:val="center"/>
            <w:hideMark/>
          </w:tcPr>
          <w:p w:rsidR="00045306" w:rsidRPr="00045306" w:rsidRDefault="00045306" w:rsidP="00045306">
            <w:pPr>
              <w:jc w:val="center"/>
              <w:rPr>
                <w:rFonts w:ascii="Cambria" w:hAnsi="Cambria"/>
                <w:color w:val="000000"/>
                <w:sz w:val="18"/>
                <w:szCs w:val="18"/>
              </w:rPr>
            </w:pPr>
            <w:r w:rsidRPr="00045306">
              <w:rPr>
                <w:rFonts w:ascii="Cambria" w:hAnsi="Cambria"/>
                <w:color w:val="000000"/>
                <w:sz w:val="18"/>
                <w:szCs w:val="18"/>
              </w:rPr>
              <w:t>172,20</w:t>
            </w:r>
          </w:p>
        </w:tc>
        <w:tc>
          <w:tcPr>
            <w:tcW w:w="1183" w:type="dxa"/>
            <w:shd w:val="clear" w:color="auto" w:fill="auto"/>
            <w:vAlign w:val="center"/>
            <w:hideMark/>
          </w:tcPr>
          <w:p w:rsidR="00045306" w:rsidRPr="00045306" w:rsidRDefault="00045306" w:rsidP="00045306">
            <w:pPr>
              <w:jc w:val="center"/>
              <w:rPr>
                <w:rFonts w:ascii="Cambria" w:hAnsi="Cambria"/>
                <w:color w:val="000000"/>
                <w:sz w:val="18"/>
                <w:szCs w:val="18"/>
              </w:rPr>
            </w:pPr>
            <w:r w:rsidRPr="00045306">
              <w:rPr>
                <w:rFonts w:ascii="Cambria" w:hAnsi="Cambria"/>
                <w:color w:val="000000"/>
                <w:sz w:val="18"/>
                <w:szCs w:val="18"/>
              </w:rPr>
              <w:t>258,30</w:t>
            </w:r>
          </w:p>
        </w:tc>
        <w:tc>
          <w:tcPr>
            <w:tcW w:w="1246" w:type="dxa"/>
            <w:shd w:val="clear" w:color="auto" w:fill="auto"/>
            <w:vAlign w:val="center"/>
            <w:hideMark/>
          </w:tcPr>
          <w:p w:rsidR="00045306" w:rsidRPr="00045306" w:rsidRDefault="00045306" w:rsidP="00045306">
            <w:pPr>
              <w:jc w:val="center"/>
              <w:rPr>
                <w:rFonts w:ascii="Cambria" w:hAnsi="Cambria"/>
                <w:color w:val="000000"/>
                <w:sz w:val="18"/>
                <w:szCs w:val="18"/>
              </w:rPr>
            </w:pPr>
            <w:r w:rsidRPr="00045306">
              <w:rPr>
                <w:rFonts w:ascii="Cambria" w:hAnsi="Cambria"/>
                <w:color w:val="000000"/>
                <w:sz w:val="18"/>
                <w:szCs w:val="18"/>
              </w:rPr>
              <w:t>258,30</w:t>
            </w:r>
          </w:p>
        </w:tc>
      </w:tr>
      <w:tr w:rsidR="002176D6" w:rsidRPr="002176D6" w:rsidTr="002176D6">
        <w:trPr>
          <w:trHeight w:val="20"/>
          <w:jc w:val="center"/>
        </w:trPr>
        <w:tc>
          <w:tcPr>
            <w:tcW w:w="2416" w:type="dxa"/>
            <w:gridSpan w:val="2"/>
            <w:shd w:val="clear" w:color="auto" w:fill="auto"/>
            <w:vAlign w:val="center"/>
            <w:hideMark/>
          </w:tcPr>
          <w:p w:rsidR="002176D6" w:rsidRPr="002176D6" w:rsidRDefault="002176D6" w:rsidP="00045306">
            <w:pPr>
              <w:ind w:left="-102" w:right="-108"/>
              <w:jc w:val="center"/>
              <w:rPr>
                <w:rFonts w:asciiTheme="majorHAnsi" w:hAnsiTheme="majorHAnsi"/>
                <w:color w:val="000000"/>
                <w:sz w:val="18"/>
                <w:szCs w:val="18"/>
              </w:rPr>
            </w:pPr>
            <w:r w:rsidRPr="002176D6">
              <w:rPr>
                <w:rFonts w:asciiTheme="majorHAnsi" w:hAnsiTheme="majorHAnsi"/>
                <w:color w:val="000000"/>
                <w:sz w:val="18"/>
                <w:szCs w:val="18"/>
              </w:rPr>
              <w:t xml:space="preserve">Состояние </w:t>
            </w:r>
            <w:r w:rsidR="00045306">
              <w:rPr>
                <w:rFonts w:asciiTheme="majorHAnsi" w:hAnsiTheme="majorHAnsi"/>
                <w:color w:val="000000"/>
                <w:sz w:val="18"/>
                <w:szCs w:val="18"/>
              </w:rPr>
              <w:t>отделки</w:t>
            </w:r>
          </w:p>
        </w:tc>
        <w:tc>
          <w:tcPr>
            <w:tcW w:w="850" w:type="dxa"/>
            <w:shd w:val="clear" w:color="auto" w:fill="auto"/>
            <w:vAlign w:val="center"/>
            <w:hideMark/>
          </w:tcPr>
          <w:p w:rsidR="002176D6" w:rsidRPr="002176D6" w:rsidRDefault="002176D6" w:rsidP="002176D6">
            <w:pPr>
              <w:ind w:left="-102" w:right="-108"/>
              <w:jc w:val="center"/>
              <w:rPr>
                <w:rFonts w:asciiTheme="majorHAnsi" w:hAnsiTheme="majorHAnsi"/>
                <w:color w:val="000000"/>
                <w:sz w:val="18"/>
                <w:szCs w:val="18"/>
              </w:rPr>
            </w:pPr>
          </w:p>
        </w:tc>
        <w:tc>
          <w:tcPr>
            <w:tcW w:w="1418" w:type="dxa"/>
            <w:shd w:val="clear" w:color="auto" w:fill="auto"/>
            <w:vAlign w:val="center"/>
            <w:hideMark/>
          </w:tcPr>
          <w:p w:rsidR="002176D6" w:rsidRPr="002176D6" w:rsidRDefault="002176D6" w:rsidP="002176D6">
            <w:pPr>
              <w:jc w:val="center"/>
              <w:rPr>
                <w:rFonts w:ascii="Cambria" w:hAnsi="Cambria"/>
                <w:color w:val="000000"/>
                <w:sz w:val="18"/>
                <w:szCs w:val="18"/>
              </w:rPr>
            </w:pPr>
            <w:r w:rsidRPr="002176D6">
              <w:rPr>
                <w:rFonts w:ascii="Cambria" w:hAnsi="Cambria"/>
                <w:color w:val="000000"/>
                <w:sz w:val="18"/>
                <w:szCs w:val="18"/>
              </w:rPr>
              <w:t>1</w:t>
            </w:r>
          </w:p>
        </w:tc>
        <w:tc>
          <w:tcPr>
            <w:tcW w:w="1401" w:type="dxa"/>
            <w:shd w:val="clear" w:color="auto" w:fill="auto"/>
            <w:vAlign w:val="center"/>
            <w:hideMark/>
          </w:tcPr>
          <w:p w:rsidR="002176D6" w:rsidRPr="002176D6" w:rsidRDefault="002176D6" w:rsidP="002176D6">
            <w:pPr>
              <w:jc w:val="center"/>
              <w:rPr>
                <w:rFonts w:ascii="Cambria" w:hAnsi="Cambria"/>
                <w:color w:val="000000"/>
                <w:sz w:val="18"/>
                <w:szCs w:val="18"/>
              </w:rPr>
            </w:pPr>
            <w:r w:rsidRPr="002176D6">
              <w:rPr>
                <w:rFonts w:ascii="Cambria" w:hAnsi="Cambria"/>
                <w:color w:val="000000"/>
                <w:sz w:val="18"/>
                <w:szCs w:val="18"/>
              </w:rPr>
              <w:t>1,00</w:t>
            </w:r>
          </w:p>
        </w:tc>
        <w:tc>
          <w:tcPr>
            <w:tcW w:w="1183" w:type="dxa"/>
            <w:shd w:val="clear" w:color="auto" w:fill="auto"/>
            <w:vAlign w:val="center"/>
            <w:hideMark/>
          </w:tcPr>
          <w:p w:rsidR="002176D6" w:rsidRPr="002176D6" w:rsidRDefault="002176D6" w:rsidP="002176D6">
            <w:pPr>
              <w:jc w:val="center"/>
              <w:rPr>
                <w:rFonts w:ascii="Cambria" w:hAnsi="Cambria"/>
                <w:color w:val="000000"/>
                <w:sz w:val="18"/>
                <w:szCs w:val="18"/>
              </w:rPr>
            </w:pPr>
            <w:r w:rsidRPr="002176D6">
              <w:rPr>
                <w:rFonts w:ascii="Cambria" w:hAnsi="Cambria"/>
                <w:color w:val="000000"/>
                <w:sz w:val="18"/>
                <w:szCs w:val="18"/>
              </w:rPr>
              <w:t>1,00</w:t>
            </w:r>
          </w:p>
        </w:tc>
        <w:tc>
          <w:tcPr>
            <w:tcW w:w="1246" w:type="dxa"/>
            <w:shd w:val="clear" w:color="auto" w:fill="auto"/>
            <w:vAlign w:val="center"/>
            <w:hideMark/>
          </w:tcPr>
          <w:p w:rsidR="002176D6" w:rsidRPr="002176D6" w:rsidRDefault="002176D6" w:rsidP="002176D6">
            <w:pPr>
              <w:jc w:val="center"/>
              <w:rPr>
                <w:rFonts w:ascii="Cambria" w:hAnsi="Cambria"/>
                <w:color w:val="000000"/>
                <w:sz w:val="18"/>
                <w:szCs w:val="18"/>
              </w:rPr>
            </w:pPr>
            <w:r w:rsidRPr="002176D6">
              <w:rPr>
                <w:rFonts w:ascii="Cambria" w:hAnsi="Cambria"/>
                <w:color w:val="000000"/>
                <w:sz w:val="18"/>
                <w:szCs w:val="18"/>
              </w:rPr>
              <w:t>1,00</w:t>
            </w:r>
          </w:p>
        </w:tc>
      </w:tr>
      <w:tr w:rsidR="002176D6" w:rsidRPr="002176D6" w:rsidTr="002176D6">
        <w:trPr>
          <w:trHeight w:val="20"/>
          <w:jc w:val="center"/>
        </w:trPr>
        <w:tc>
          <w:tcPr>
            <w:tcW w:w="2416" w:type="dxa"/>
            <w:gridSpan w:val="2"/>
            <w:shd w:val="clear" w:color="auto" w:fill="auto"/>
            <w:vAlign w:val="center"/>
            <w:hideMark/>
          </w:tcPr>
          <w:p w:rsidR="002176D6" w:rsidRPr="002176D6" w:rsidRDefault="002176D6" w:rsidP="002176D6">
            <w:pPr>
              <w:ind w:left="-102" w:right="-108"/>
              <w:jc w:val="center"/>
              <w:rPr>
                <w:rFonts w:asciiTheme="majorHAnsi" w:hAnsiTheme="majorHAnsi"/>
                <w:color w:val="000000"/>
                <w:sz w:val="18"/>
                <w:szCs w:val="18"/>
              </w:rPr>
            </w:pPr>
            <w:r w:rsidRPr="002176D6">
              <w:rPr>
                <w:rFonts w:asciiTheme="majorHAnsi" w:hAnsiTheme="majorHAnsi"/>
                <w:color w:val="000000"/>
                <w:sz w:val="18"/>
                <w:szCs w:val="18"/>
              </w:rPr>
              <w:t>Корректировка</w:t>
            </w:r>
          </w:p>
        </w:tc>
        <w:tc>
          <w:tcPr>
            <w:tcW w:w="850" w:type="dxa"/>
            <w:shd w:val="clear" w:color="auto" w:fill="auto"/>
            <w:vAlign w:val="center"/>
            <w:hideMark/>
          </w:tcPr>
          <w:p w:rsidR="002176D6" w:rsidRPr="002176D6" w:rsidRDefault="002176D6" w:rsidP="002176D6">
            <w:pPr>
              <w:ind w:left="-102" w:right="-108"/>
              <w:jc w:val="center"/>
              <w:rPr>
                <w:rFonts w:asciiTheme="majorHAnsi" w:hAnsiTheme="majorHAnsi"/>
                <w:color w:val="000000"/>
                <w:sz w:val="18"/>
                <w:szCs w:val="18"/>
              </w:rPr>
            </w:pPr>
          </w:p>
        </w:tc>
        <w:tc>
          <w:tcPr>
            <w:tcW w:w="1418" w:type="dxa"/>
            <w:shd w:val="clear" w:color="auto" w:fill="auto"/>
            <w:vAlign w:val="center"/>
            <w:hideMark/>
          </w:tcPr>
          <w:p w:rsidR="002176D6" w:rsidRPr="002176D6" w:rsidRDefault="002176D6" w:rsidP="002176D6">
            <w:pPr>
              <w:jc w:val="center"/>
              <w:rPr>
                <w:rFonts w:ascii="Cambria" w:hAnsi="Cambria"/>
                <w:color w:val="000000"/>
                <w:sz w:val="18"/>
                <w:szCs w:val="18"/>
              </w:rPr>
            </w:pPr>
          </w:p>
        </w:tc>
        <w:tc>
          <w:tcPr>
            <w:tcW w:w="1401" w:type="dxa"/>
            <w:shd w:val="clear" w:color="auto" w:fill="auto"/>
            <w:vAlign w:val="center"/>
            <w:hideMark/>
          </w:tcPr>
          <w:p w:rsidR="002176D6" w:rsidRPr="002176D6" w:rsidRDefault="002176D6" w:rsidP="002176D6">
            <w:pPr>
              <w:jc w:val="center"/>
              <w:rPr>
                <w:rFonts w:ascii="Cambria" w:hAnsi="Cambria"/>
                <w:color w:val="000000"/>
                <w:sz w:val="18"/>
                <w:szCs w:val="18"/>
              </w:rPr>
            </w:pPr>
            <w:r w:rsidRPr="002176D6">
              <w:rPr>
                <w:rFonts w:ascii="Cambria" w:hAnsi="Cambria"/>
                <w:color w:val="000000"/>
                <w:sz w:val="18"/>
                <w:szCs w:val="18"/>
              </w:rPr>
              <w:t>1,00</w:t>
            </w:r>
          </w:p>
        </w:tc>
        <w:tc>
          <w:tcPr>
            <w:tcW w:w="1183" w:type="dxa"/>
            <w:shd w:val="clear" w:color="auto" w:fill="auto"/>
            <w:vAlign w:val="center"/>
            <w:hideMark/>
          </w:tcPr>
          <w:p w:rsidR="002176D6" w:rsidRPr="002176D6" w:rsidRDefault="002176D6" w:rsidP="002176D6">
            <w:pPr>
              <w:jc w:val="center"/>
              <w:rPr>
                <w:rFonts w:ascii="Cambria" w:hAnsi="Cambria"/>
                <w:color w:val="000000"/>
                <w:sz w:val="18"/>
                <w:szCs w:val="18"/>
              </w:rPr>
            </w:pPr>
            <w:r w:rsidRPr="002176D6">
              <w:rPr>
                <w:rFonts w:ascii="Cambria" w:hAnsi="Cambria"/>
                <w:color w:val="000000"/>
                <w:sz w:val="18"/>
                <w:szCs w:val="18"/>
              </w:rPr>
              <w:t>1,00</w:t>
            </w:r>
          </w:p>
        </w:tc>
        <w:tc>
          <w:tcPr>
            <w:tcW w:w="1246" w:type="dxa"/>
            <w:shd w:val="clear" w:color="auto" w:fill="auto"/>
            <w:vAlign w:val="center"/>
            <w:hideMark/>
          </w:tcPr>
          <w:p w:rsidR="002176D6" w:rsidRPr="002176D6" w:rsidRDefault="002176D6" w:rsidP="002176D6">
            <w:pPr>
              <w:jc w:val="center"/>
              <w:rPr>
                <w:rFonts w:ascii="Cambria" w:hAnsi="Cambria"/>
                <w:color w:val="000000"/>
                <w:sz w:val="18"/>
                <w:szCs w:val="18"/>
              </w:rPr>
            </w:pPr>
            <w:r w:rsidRPr="002176D6">
              <w:rPr>
                <w:rFonts w:ascii="Cambria" w:hAnsi="Cambria"/>
                <w:color w:val="000000"/>
                <w:sz w:val="18"/>
                <w:szCs w:val="18"/>
              </w:rPr>
              <w:t>1,00</w:t>
            </w:r>
          </w:p>
        </w:tc>
      </w:tr>
      <w:tr w:rsidR="00045306" w:rsidRPr="002176D6" w:rsidTr="002176D6">
        <w:trPr>
          <w:trHeight w:val="20"/>
          <w:jc w:val="center"/>
        </w:trPr>
        <w:tc>
          <w:tcPr>
            <w:tcW w:w="2416" w:type="dxa"/>
            <w:gridSpan w:val="2"/>
            <w:shd w:val="clear" w:color="auto" w:fill="auto"/>
            <w:vAlign w:val="center"/>
            <w:hideMark/>
          </w:tcPr>
          <w:p w:rsidR="00045306" w:rsidRPr="002176D6" w:rsidRDefault="00045306" w:rsidP="002176D6">
            <w:pPr>
              <w:ind w:left="-102" w:right="-108"/>
              <w:jc w:val="center"/>
              <w:rPr>
                <w:rFonts w:asciiTheme="majorHAnsi" w:hAnsiTheme="majorHAnsi"/>
                <w:color w:val="000000"/>
                <w:sz w:val="18"/>
                <w:szCs w:val="18"/>
              </w:rPr>
            </w:pPr>
            <w:r w:rsidRPr="002176D6">
              <w:rPr>
                <w:rFonts w:asciiTheme="majorHAnsi" w:hAnsiTheme="majorHAnsi"/>
                <w:color w:val="000000"/>
                <w:sz w:val="18"/>
                <w:szCs w:val="18"/>
              </w:rPr>
              <w:t>Скорректированная цена</w:t>
            </w:r>
          </w:p>
        </w:tc>
        <w:tc>
          <w:tcPr>
            <w:tcW w:w="850" w:type="dxa"/>
            <w:shd w:val="clear" w:color="auto" w:fill="auto"/>
            <w:vAlign w:val="center"/>
            <w:hideMark/>
          </w:tcPr>
          <w:p w:rsidR="00045306" w:rsidRPr="002176D6" w:rsidRDefault="00045306" w:rsidP="002176D6">
            <w:pPr>
              <w:ind w:left="-102" w:right="-108"/>
              <w:jc w:val="center"/>
              <w:rPr>
                <w:rFonts w:asciiTheme="majorHAnsi" w:hAnsiTheme="majorHAnsi"/>
                <w:color w:val="000000"/>
                <w:sz w:val="18"/>
                <w:szCs w:val="18"/>
              </w:rPr>
            </w:pPr>
            <w:r w:rsidRPr="002176D6">
              <w:rPr>
                <w:rFonts w:asciiTheme="majorHAnsi" w:hAnsiTheme="majorHAnsi"/>
                <w:color w:val="000000"/>
                <w:sz w:val="18"/>
                <w:szCs w:val="18"/>
              </w:rPr>
              <w:t>руб.</w:t>
            </w:r>
          </w:p>
        </w:tc>
        <w:tc>
          <w:tcPr>
            <w:tcW w:w="1418" w:type="dxa"/>
            <w:shd w:val="clear" w:color="auto" w:fill="auto"/>
            <w:vAlign w:val="center"/>
            <w:hideMark/>
          </w:tcPr>
          <w:p w:rsidR="00045306" w:rsidRPr="002176D6" w:rsidRDefault="00045306" w:rsidP="002176D6">
            <w:pPr>
              <w:jc w:val="center"/>
              <w:rPr>
                <w:rFonts w:ascii="Cambria" w:hAnsi="Cambria"/>
                <w:color w:val="000000"/>
                <w:sz w:val="18"/>
                <w:szCs w:val="18"/>
              </w:rPr>
            </w:pPr>
          </w:p>
        </w:tc>
        <w:tc>
          <w:tcPr>
            <w:tcW w:w="1401" w:type="dxa"/>
            <w:shd w:val="clear" w:color="auto" w:fill="auto"/>
            <w:vAlign w:val="center"/>
            <w:hideMark/>
          </w:tcPr>
          <w:p w:rsidR="00045306" w:rsidRPr="00045306" w:rsidRDefault="00045306" w:rsidP="00946077">
            <w:pPr>
              <w:jc w:val="center"/>
              <w:rPr>
                <w:rFonts w:ascii="Cambria" w:hAnsi="Cambria"/>
                <w:color w:val="000000"/>
                <w:sz w:val="18"/>
                <w:szCs w:val="18"/>
              </w:rPr>
            </w:pPr>
            <w:r w:rsidRPr="00045306">
              <w:rPr>
                <w:rFonts w:ascii="Cambria" w:hAnsi="Cambria"/>
                <w:color w:val="000000"/>
                <w:sz w:val="18"/>
                <w:szCs w:val="18"/>
              </w:rPr>
              <w:t>172,20</w:t>
            </w:r>
          </w:p>
        </w:tc>
        <w:tc>
          <w:tcPr>
            <w:tcW w:w="1183" w:type="dxa"/>
            <w:shd w:val="clear" w:color="auto" w:fill="auto"/>
            <w:vAlign w:val="center"/>
            <w:hideMark/>
          </w:tcPr>
          <w:p w:rsidR="00045306" w:rsidRPr="00045306" w:rsidRDefault="00045306" w:rsidP="00946077">
            <w:pPr>
              <w:jc w:val="center"/>
              <w:rPr>
                <w:rFonts w:ascii="Cambria" w:hAnsi="Cambria"/>
                <w:color w:val="000000"/>
                <w:sz w:val="18"/>
                <w:szCs w:val="18"/>
              </w:rPr>
            </w:pPr>
            <w:r w:rsidRPr="00045306">
              <w:rPr>
                <w:rFonts w:ascii="Cambria" w:hAnsi="Cambria"/>
                <w:color w:val="000000"/>
                <w:sz w:val="18"/>
                <w:szCs w:val="18"/>
              </w:rPr>
              <w:t>258,30</w:t>
            </w:r>
          </w:p>
        </w:tc>
        <w:tc>
          <w:tcPr>
            <w:tcW w:w="1246" w:type="dxa"/>
            <w:shd w:val="clear" w:color="auto" w:fill="auto"/>
            <w:vAlign w:val="center"/>
            <w:hideMark/>
          </w:tcPr>
          <w:p w:rsidR="00045306" w:rsidRPr="00045306" w:rsidRDefault="00045306" w:rsidP="00946077">
            <w:pPr>
              <w:jc w:val="center"/>
              <w:rPr>
                <w:rFonts w:ascii="Cambria" w:hAnsi="Cambria"/>
                <w:color w:val="000000"/>
                <w:sz w:val="18"/>
                <w:szCs w:val="18"/>
              </w:rPr>
            </w:pPr>
            <w:r w:rsidRPr="00045306">
              <w:rPr>
                <w:rFonts w:ascii="Cambria" w:hAnsi="Cambria"/>
                <w:color w:val="000000"/>
                <w:sz w:val="18"/>
                <w:szCs w:val="18"/>
              </w:rPr>
              <w:t>258,30</w:t>
            </w:r>
          </w:p>
        </w:tc>
      </w:tr>
      <w:tr w:rsidR="002176D6" w:rsidRPr="002176D6" w:rsidTr="002176D6">
        <w:trPr>
          <w:trHeight w:val="20"/>
          <w:jc w:val="center"/>
        </w:trPr>
        <w:tc>
          <w:tcPr>
            <w:tcW w:w="2416" w:type="dxa"/>
            <w:gridSpan w:val="2"/>
            <w:shd w:val="clear" w:color="auto" w:fill="auto"/>
            <w:vAlign w:val="center"/>
            <w:hideMark/>
          </w:tcPr>
          <w:p w:rsidR="002176D6" w:rsidRPr="002176D6" w:rsidRDefault="002176D6" w:rsidP="002176D6">
            <w:pPr>
              <w:ind w:left="-102" w:right="-108"/>
              <w:jc w:val="center"/>
              <w:rPr>
                <w:rFonts w:asciiTheme="majorHAnsi" w:hAnsiTheme="majorHAnsi"/>
                <w:b/>
                <w:color w:val="000000"/>
                <w:sz w:val="18"/>
                <w:szCs w:val="18"/>
              </w:rPr>
            </w:pPr>
            <w:r w:rsidRPr="002176D6">
              <w:rPr>
                <w:rFonts w:asciiTheme="majorHAnsi" w:hAnsiTheme="majorHAnsi"/>
                <w:b/>
                <w:color w:val="000000"/>
                <w:sz w:val="18"/>
                <w:szCs w:val="18"/>
              </w:rPr>
              <w:t>Итоговое значение арендной ставки</w:t>
            </w:r>
          </w:p>
        </w:tc>
        <w:tc>
          <w:tcPr>
            <w:tcW w:w="850" w:type="dxa"/>
            <w:shd w:val="clear" w:color="auto" w:fill="auto"/>
            <w:vAlign w:val="center"/>
            <w:hideMark/>
          </w:tcPr>
          <w:p w:rsidR="002176D6" w:rsidRPr="002176D6" w:rsidRDefault="002176D6" w:rsidP="002176D6">
            <w:pPr>
              <w:ind w:left="-102" w:right="-108"/>
              <w:jc w:val="center"/>
              <w:rPr>
                <w:rFonts w:asciiTheme="majorHAnsi" w:hAnsiTheme="majorHAnsi"/>
                <w:color w:val="000000"/>
                <w:sz w:val="18"/>
                <w:szCs w:val="18"/>
              </w:rPr>
            </w:pPr>
            <w:r w:rsidRPr="002176D6">
              <w:rPr>
                <w:rFonts w:asciiTheme="majorHAnsi" w:hAnsiTheme="majorHAnsi"/>
                <w:color w:val="000000"/>
                <w:sz w:val="18"/>
                <w:szCs w:val="18"/>
              </w:rPr>
              <w:t>руб.</w:t>
            </w:r>
          </w:p>
        </w:tc>
        <w:tc>
          <w:tcPr>
            <w:tcW w:w="1418" w:type="dxa"/>
            <w:shd w:val="clear" w:color="auto" w:fill="auto"/>
            <w:vAlign w:val="center"/>
            <w:hideMark/>
          </w:tcPr>
          <w:p w:rsidR="002176D6" w:rsidRPr="002176D6" w:rsidRDefault="00045306" w:rsidP="002176D6">
            <w:pPr>
              <w:jc w:val="center"/>
              <w:rPr>
                <w:rFonts w:ascii="Cambria" w:hAnsi="Cambria"/>
                <w:b/>
                <w:color w:val="000000"/>
                <w:sz w:val="18"/>
                <w:szCs w:val="18"/>
              </w:rPr>
            </w:pPr>
            <w:r>
              <w:rPr>
                <w:rFonts w:ascii="Cambria" w:hAnsi="Cambria"/>
                <w:b/>
                <w:color w:val="000000"/>
                <w:sz w:val="18"/>
                <w:szCs w:val="18"/>
              </w:rPr>
              <w:t>230</w:t>
            </w:r>
          </w:p>
        </w:tc>
        <w:tc>
          <w:tcPr>
            <w:tcW w:w="1401" w:type="dxa"/>
            <w:shd w:val="clear" w:color="auto" w:fill="auto"/>
            <w:vAlign w:val="center"/>
            <w:hideMark/>
          </w:tcPr>
          <w:p w:rsidR="002176D6" w:rsidRPr="002176D6" w:rsidRDefault="002176D6" w:rsidP="002176D6">
            <w:pPr>
              <w:jc w:val="center"/>
              <w:rPr>
                <w:rFonts w:ascii="Cambria" w:hAnsi="Cambria"/>
                <w:color w:val="000000"/>
                <w:sz w:val="18"/>
                <w:szCs w:val="18"/>
              </w:rPr>
            </w:pPr>
          </w:p>
        </w:tc>
        <w:tc>
          <w:tcPr>
            <w:tcW w:w="1183" w:type="dxa"/>
            <w:shd w:val="clear" w:color="auto" w:fill="auto"/>
            <w:vAlign w:val="center"/>
            <w:hideMark/>
          </w:tcPr>
          <w:p w:rsidR="002176D6" w:rsidRPr="002176D6" w:rsidRDefault="002176D6" w:rsidP="002176D6">
            <w:pPr>
              <w:jc w:val="center"/>
              <w:rPr>
                <w:rFonts w:ascii="Cambria" w:hAnsi="Cambria"/>
                <w:color w:val="000000"/>
                <w:sz w:val="18"/>
                <w:szCs w:val="18"/>
              </w:rPr>
            </w:pPr>
          </w:p>
        </w:tc>
        <w:tc>
          <w:tcPr>
            <w:tcW w:w="1246" w:type="dxa"/>
            <w:shd w:val="clear" w:color="auto" w:fill="auto"/>
            <w:vAlign w:val="center"/>
            <w:hideMark/>
          </w:tcPr>
          <w:p w:rsidR="002176D6" w:rsidRPr="002176D6" w:rsidRDefault="002176D6" w:rsidP="002176D6">
            <w:pPr>
              <w:jc w:val="center"/>
              <w:rPr>
                <w:rFonts w:ascii="Cambria" w:hAnsi="Cambria"/>
                <w:color w:val="000000"/>
                <w:sz w:val="18"/>
                <w:szCs w:val="18"/>
              </w:rPr>
            </w:pPr>
          </w:p>
        </w:tc>
      </w:tr>
    </w:tbl>
    <w:p w:rsidR="002176D6" w:rsidRPr="002176D6" w:rsidRDefault="002176D6" w:rsidP="002176D6">
      <w:pPr>
        <w:rPr>
          <w:rFonts w:eastAsiaTheme="majorEastAsia" w:cstheme="majorBidi"/>
          <w:b/>
          <w:bCs/>
          <w:sz w:val="28"/>
          <w:szCs w:val="28"/>
        </w:rPr>
      </w:pPr>
    </w:p>
    <w:p w:rsidR="002176D6" w:rsidRPr="002176D6" w:rsidRDefault="002176D6" w:rsidP="002176D6">
      <w:pPr>
        <w:jc w:val="center"/>
        <w:rPr>
          <w:rFonts w:asciiTheme="majorHAnsi" w:eastAsiaTheme="minorHAnsi" w:hAnsiTheme="majorHAnsi" w:cstheme="minorBidi"/>
          <w:b/>
          <w:sz w:val="20"/>
          <w:szCs w:val="23"/>
          <w:lang w:eastAsia="en-US"/>
        </w:rPr>
      </w:pPr>
      <w:r w:rsidRPr="002176D6">
        <w:rPr>
          <w:rFonts w:asciiTheme="majorHAnsi" w:eastAsiaTheme="minorHAnsi" w:hAnsiTheme="majorHAnsi" w:cstheme="minorBidi"/>
          <w:b/>
          <w:sz w:val="20"/>
          <w:szCs w:val="23"/>
          <w:lang w:eastAsia="en-US"/>
        </w:rPr>
        <w:t>Использованные корректировки:</w:t>
      </w:r>
    </w:p>
    <w:p w:rsidR="002176D6" w:rsidRPr="002176D6" w:rsidRDefault="002176D6" w:rsidP="002176D6">
      <w:pPr>
        <w:jc w:val="center"/>
        <w:rPr>
          <w:rFonts w:asciiTheme="majorHAnsi" w:eastAsiaTheme="minorHAnsi" w:hAnsiTheme="majorHAnsi" w:cstheme="minorBidi"/>
          <w:b/>
          <w:sz w:val="20"/>
          <w:szCs w:val="23"/>
          <w:lang w:eastAsia="en-US"/>
        </w:rPr>
      </w:pPr>
    </w:p>
    <w:p w:rsidR="002176D6" w:rsidRPr="002176D6" w:rsidRDefault="002176D6" w:rsidP="002176D6">
      <w:pPr>
        <w:autoSpaceDE w:val="0"/>
        <w:autoSpaceDN w:val="0"/>
        <w:adjustRightInd w:val="0"/>
        <w:ind w:firstLine="709"/>
        <w:jc w:val="both"/>
        <w:rPr>
          <w:rFonts w:ascii="Cambria" w:eastAsiaTheme="minorHAnsi" w:hAnsi="Cambria" w:cs="Cambria"/>
          <w:color w:val="000000"/>
          <w:sz w:val="20"/>
          <w:szCs w:val="20"/>
          <w:lang w:eastAsia="en-US"/>
        </w:rPr>
      </w:pPr>
      <w:r w:rsidRPr="002176D6">
        <w:rPr>
          <w:rFonts w:ascii="Cambria" w:eastAsiaTheme="minorHAnsi" w:hAnsi="Cambria" w:cs="Cambria"/>
          <w:b/>
          <w:bCs/>
          <w:color w:val="000000"/>
          <w:sz w:val="20"/>
          <w:szCs w:val="20"/>
          <w:lang w:eastAsia="en-US"/>
        </w:rPr>
        <w:t xml:space="preserve">Корректировка на условия предложения </w:t>
      </w:r>
      <w:r w:rsidRPr="002176D6">
        <w:rPr>
          <w:rFonts w:ascii="Cambria" w:eastAsiaTheme="minorHAnsi" w:hAnsi="Cambria" w:cs="Cambria"/>
          <w:color w:val="000000"/>
          <w:sz w:val="20"/>
          <w:szCs w:val="20"/>
          <w:lang w:eastAsia="en-US"/>
        </w:rPr>
        <w:t xml:space="preserve">– по аналогии корректировки с целью оценки сравнительным подходом. </w:t>
      </w:r>
    </w:p>
    <w:p w:rsidR="002176D6" w:rsidRPr="002176D6" w:rsidRDefault="002176D6" w:rsidP="002176D6">
      <w:pPr>
        <w:ind w:firstLine="709"/>
        <w:jc w:val="both"/>
        <w:rPr>
          <w:rFonts w:eastAsiaTheme="majorEastAsia" w:cstheme="majorBidi"/>
          <w:b/>
          <w:bCs/>
          <w:sz w:val="28"/>
          <w:szCs w:val="28"/>
        </w:rPr>
      </w:pPr>
      <w:r w:rsidRPr="002176D6">
        <w:rPr>
          <w:rFonts w:ascii="Cambria" w:eastAsiaTheme="minorHAnsi" w:hAnsi="Cambria" w:cs="Cambria"/>
          <w:color w:val="000000"/>
          <w:sz w:val="20"/>
          <w:szCs w:val="20"/>
          <w:lang w:eastAsia="en-US"/>
        </w:rPr>
        <w:t>В настоящем отчете применена корректировка согласно методике Лейфера Л.А., научного руководителя ЗАО "Приволжский Центр финансового консалтинга и оценки" , кандидат</w:t>
      </w:r>
      <w:r w:rsidR="00045306">
        <w:rPr>
          <w:rFonts w:ascii="Cambria" w:eastAsiaTheme="minorHAnsi" w:hAnsi="Cambria" w:cs="Cambria"/>
          <w:color w:val="000000"/>
          <w:sz w:val="20"/>
          <w:szCs w:val="20"/>
          <w:lang w:eastAsia="en-US"/>
        </w:rPr>
        <w:t>а</w:t>
      </w:r>
      <w:r w:rsidRPr="002176D6">
        <w:rPr>
          <w:rFonts w:ascii="Cambria" w:eastAsiaTheme="minorHAnsi" w:hAnsi="Cambria" w:cs="Cambria"/>
          <w:color w:val="000000"/>
          <w:sz w:val="20"/>
          <w:szCs w:val="20"/>
          <w:lang w:eastAsia="en-US"/>
        </w:rPr>
        <w:t xml:space="preserve"> технических наук, Член-корреспондент Российской Академии Проблем Качества, Вице-президент</w:t>
      </w:r>
      <w:r w:rsidR="00045306">
        <w:rPr>
          <w:rFonts w:ascii="Cambria" w:eastAsiaTheme="minorHAnsi" w:hAnsi="Cambria" w:cs="Cambria"/>
          <w:color w:val="000000"/>
          <w:sz w:val="20"/>
          <w:szCs w:val="20"/>
          <w:lang w:eastAsia="en-US"/>
        </w:rPr>
        <w:t>а</w:t>
      </w:r>
      <w:r w:rsidRPr="002176D6">
        <w:rPr>
          <w:rFonts w:ascii="Cambria" w:eastAsiaTheme="minorHAnsi" w:hAnsi="Cambria" w:cs="Cambria"/>
          <w:color w:val="000000"/>
          <w:sz w:val="20"/>
          <w:szCs w:val="20"/>
          <w:lang w:eastAsia="en-US"/>
        </w:rPr>
        <w:t xml:space="preserve"> РОО, руководитель Комитета по информационно-аналитическому обеспечению, Член Президиума Экспертного Совета РОО, Председателя Правления Нижегородского областного отделения Общероссийской общественной организации "Российское общество оценщиков", научного консультанта по программе профессиональной подготовки по оценочной деятельности при Нижегородском Государственном Университете им. Лобачевского Н.И. и составляет </w:t>
      </w:r>
      <w:r w:rsidR="00045306">
        <w:rPr>
          <w:rFonts w:ascii="Cambria" w:eastAsiaTheme="minorHAnsi" w:hAnsi="Cambria" w:cs="Cambria"/>
          <w:color w:val="000000"/>
          <w:sz w:val="20"/>
          <w:szCs w:val="20"/>
          <w:lang w:eastAsia="en-US"/>
        </w:rPr>
        <w:t>13,9</w:t>
      </w:r>
      <w:r w:rsidRPr="002176D6">
        <w:rPr>
          <w:rFonts w:ascii="Cambria" w:eastAsiaTheme="minorHAnsi" w:hAnsi="Cambria" w:cs="Cambria"/>
          <w:color w:val="000000"/>
          <w:sz w:val="20"/>
          <w:szCs w:val="20"/>
          <w:lang w:eastAsia="en-US"/>
        </w:rPr>
        <w:t xml:space="preserve"> %.</w:t>
      </w:r>
    </w:p>
    <w:p w:rsidR="002176D6" w:rsidRPr="002176D6" w:rsidRDefault="00045306" w:rsidP="002176D6">
      <w:pPr>
        <w:jc w:val="center"/>
        <w:rPr>
          <w:rFonts w:eastAsiaTheme="majorEastAsia" w:cstheme="majorBidi"/>
          <w:b/>
          <w:bCs/>
          <w:sz w:val="28"/>
          <w:szCs w:val="28"/>
        </w:rPr>
      </w:pPr>
      <w:r>
        <w:rPr>
          <w:noProof/>
        </w:rPr>
        <w:drawing>
          <wp:inline distT="0" distB="0" distL="0" distR="0" wp14:anchorId="75496E62" wp14:editId="1D1C8BCE">
            <wp:extent cx="4219575" cy="2800350"/>
            <wp:effectExtent l="0" t="0" r="0" b="0"/>
            <wp:docPr id="179" name="Рисунок 6"/>
            <wp:cNvGraphicFramePr/>
            <a:graphic xmlns:a="http://schemas.openxmlformats.org/drawingml/2006/main">
              <a:graphicData uri="http://schemas.openxmlformats.org/drawingml/2006/picture">
                <pic:pic xmlns:pic="http://schemas.openxmlformats.org/drawingml/2006/picture">
                  <pic:nvPicPr>
                    <pic:cNvPr id="159" name="Рисунок 6"/>
                    <pic:cNvPicPr/>
                  </pic:nvPicPr>
                  <pic:blipFill rotWithShape="1">
                    <a:blip r:embed="rId110"/>
                    <a:srcRect l="41696" t="16615" r="27162" b="19954"/>
                    <a:stretch/>
                  </pic:blipFill>
                  <pic:spPr bwMode="auto">
                    <a:xfrm>
                      <a:off x="0" y="0"/>
                      <a:ext cx="4219575" cy="2800350"/>
                    </a:xfrm>
                    <a:prstGeom prst="rect">
                      <a:avLst/>
                    </a:prstGeom>
                    <a:ln>
                      <a:noFill/>
                    </a:ln>
                    <a:extLst>
                      <a:ext uri="{53640926-AAD7-44D8-BBD7-CCE9431645EC}">
                        <a14:shadowObscured xmlns:a14="http://schemas.microsoft.com/office/drawing/2010/main"/>
                      </a:ext>
                    </a:extLst>
                  </pic:spPr>
                </pic:pic>
              </a:graphicData>
            </a:graphic>
          </wp:inline>
        </w:drawing>
      </w:r>
    </w:p>
    <w:p w:rsidR="002176D6" w:rsidRPr="002176D6" w:rsidRDefault="002176D6" w:rsidP="002176D6">
      <w:pPr>
        <w:rPr>
          <w:rFonts w:eastAsiaTheme="majorEastAsia" w:cstheme="majorBidi"/>
          <w:b/>
          <w:bCs/>
          <w:sz w:val="28"/>
          <w:szCs w:val="28"/>
        </w:rPr>
      </w:pPr>
    </w:p>
    <w:p w:rsidR="002176D6" w:rsidRPr="002176D6" w:rsidRDefault="002176D6" w:rsidP="002176D6">
      <w:pPr>
        <w:ind w:firstLine="709"/>
        <w:jc w:val="both"/>
        <w:rPr>
          <w:rFonts w:asciiTheme="majorHAnsi" w:hAnsiTheme="majorHAnsi"/>
          <w:sz w:val="20"/>
          <w:szCs w:val="20"/>
        </w:rPr>
      </w:pPr>
      <w:r w:rsidRPr="002176D6">
        <w:rPr>
          <w:rFonts w:asciiTheme="majorHAnsi" w:hAnsiTheme="majorHAnsi"/>
          <w:b/>
          <w:bCs/>
          <w:i/>
          <w:iCs/>
          <w:sz w:val="20"/>
          <w:szCs w:val="20"/>
        </w:rPr>
        <w:t xml:space="preserve">Корректировка на местоположение </w:t>
      </w:r>
      <w:r w:rsidRPr="002176D6">
        <w:rPr>
          <w:rFonts w:asciiTheme="majorHAnsi" w:hAnsiTheme="majorHAnsi"/>
          <w:sz w:val="20"/>
          <w:szCs w:val="20"/>
        </w:rPr>
        <w:t xml:space="preserve">объекта учитывает различие в уровне цен, характерных для расположения аналогов и оцениваемого объекта. На величину поправки на местоположение оказывают влияние: уровень развития рынка недвижимости в районе, в котором расположен объект-аналог, удаленность от центра города, удаленность от остановок транспорта. </w:t>
      </w:r>
    </w:p>
    <w:p w:rsidR="002176D6" w:rsidRPr="002176D6" w:rsidRDefault="002176D6" w:rsidP="002176D6">
      <w:pPr>
        <w:ind w:firstLine="709"/>
        <w:jc w:val="both"/>
        <w:rPr>
          <w:rFonts w:asciiTheme="majorHAnsi" w:eastAsiaTheme="majorEastAsia" w:hAnsiTheme="majorHAnsi" w:cstheme="majorBidi"/>
          <w:b/>
          <w:bCs/>
          <w:sz w:val="28"/>
          <w:szCs w:val="28"/>
        </w:rPr>
      </w:pPr>
      <w:r w:rsidRPr="002176D6">
        <w:rPr>
          <w:rFonts w:asciiTheme="majorHAnsi" w:hAnsiTheme="majorHAnsi"/>
          <w:sz w:val="20"/>
          <w:szCs w:val="20"/>
        </w:rPr>
        <w:t>Местоположение объектов аналогов сопоставимо с местом расположения объекта оценки – корректировка не применялась</w:t>
      </w:r>
    </w:p>
    <w:p w:rsidR="002176D6" w:rsidRPr="002176D6" w:rsidRDefault="002176D6" w:rsidP="002176D6">
      <w:pPr>
        <w:rPr>
          <w:rFonts w:eastAsiaTheme="majorEastAsia" w:cstheme="majorBidi"/>
          <w:b/>
          <w:bCs/>
          <w:sz w:val="28"/>
          <w:szCs w:val="28"/>
        </w:rPr>
      </w:pPr>
    </w:p>
    <w:p w:rsidR="002176D6" w:rsidRPr="002176D6" w:rsidRDefault="002176D6" w:rsidP="002176D6">
      <w:pPr>
        <w:jc w:val="center"/>
        <w:rPr>
          <w:rFonts w:asciiTheme="majorHAnsi" w:hAnsiTheme="majorHAnsi"/>
          <w:b/>
          <w:bCs/>
          <w:sz w:val="20"/>
          <w:szCs w:val="20"/>
        </w:rPr>
      </w:pPr>
      <w:r w:rsidRPr="002176D6">
        <w:rPr>
          <w:rFonts w:asciiTheme="majorHAnsi" w:hAnsiTheme="majorHAnsi"/>
          <w:b/>
          <w:bCs/>
          <w:sz w:val="20"/>
          <w:szCs w:val="20"/>
        </w:rPr>
        <w:t>Анализ чистого операционного дохода</w:t>
      </w:r>
    </w:p>
    <w:p w:rsidR="002176D6" w:rsidRPr="002176D6" w:rsidRDefault="002176D6" w:rsidP="002176D6">
      <w:pPr>
        <w:jc w:val="both"/>
        <w:rPr>
          <w:rFonts w:asciiTheme="majorHAnsi" w:eastAsiaTheme="majorEastAsia" w:hAnsiTheme="majorHAnsi" w:cstheme="majorBidi"/>
          <w:b/>
          <w:bCs/>
          <w:sz w:val="28"/>
          <w:szCs w:val="28"/>
        </w:rPr>
      </w:pPr>
    </w:p>
    <w:tbl>
      <w:tblPr>
        <w:tblW w:w="6804" w:type="dxa"/>
        <w:tblInd w:w="1526"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567"/>
        <w:gridCol w:w="3827"/>
        <w:gridCol w:w="709"/>
        <w:gridCol w:w="1701"/>
      </w:tblGrid>
      <w:tr w:rsidR="002176D6" w:rsidRPr="002176D6" w:rsidTr="002176D6">
        <w:trPr>
          <w:trHeight w:val="20"/>
        </w:trPr>
        <w:tc>
          <w:tcPr>
            <w:tcW w:w="567" w:type="dxa"/>
            <w:tcBorders>
              <w:top w:val="double" w:sz="4" w:space="0" w:color="auto"/>
              <w:bottom w:val="single" w:sz="6" w:space="0" w:color="auto"/>
            </w:tcBorders>
            <w:shd w:val="clear" w:color="000000" w:fill="F2F2F2" w:themeFill="background1" w:themeFillShade="F2"/>
            <w:vAlign w:val="center"/>
            <w:hideMark/>
          </w:tcPr>
          <w:p w:rsidR="002176D6" w:rsidRPr="002176D6" w:rsidRDefault="002176D6" w:rsidP="002176D6">
            <w:pPr>
              <w:jc w:val="center"/>
              <w:rPr>
                <w:rFonts w:asciiTheme="majorHAnsi" w:hAnsiTheme="majorHAnsi"/>
                <w:b/>
                <w:bCs/>
                <w:sz w:val="18"/>
                <w:szCs w:val="18"/>
              </w:rPr>
            </w:pPr>
            <w:r w:rsidRPr="002176D6">
              <w:rPr>
                <w:rFonts w:asciiTheme="majorHAnsi" w:hAnsiTheme="majorHAnsi"/>
                <w:b/>
                <w:bCs/>
                <w:sz w:val="18"/>
                <w:szCs w:val="18"/>
              </w:rPr>
              <w:t>№ п/п</w:t>
            </w:r>
          </w:p>
        </w:tc>
        <w:tc>
          <w:tcPr>
            <w:tcW w:w="3827" w:type="dxa"/>
            <w:tcBorders>
              <w:top w:val="double" w:sz="4" w:space="0" w:color="auto"/>
              <w:bottom w:val="single" w:sz="6" w:space="0" w:color="auto"/>
            </w:tcBorders>
            <w:shd w:val="clear" w:color="000000" w:fill="F2F2F2" w:themeFill="background1" w:themeFillShade="F2"/>
            <w:vAlign w:val="center"/>
            <w:hideMark/>
          </w:tcPr>
          <w:p w:rsidR="002176D6" w:rsidRPr="002176D6" w:rsidRDefault="002176D6" w:rsidP="002176D6">
            <w:pPr>
              <w:jc w:val="center"/>
              <w:rPr>
                <w:rFonts w:asciiTheme="majorHAnsi" w:hAnsiTheme="majorHAnsi"/>
                <w:b/>
                <w:bCs/>
                <w:sz w:val="18"/>
                <w:szCs w:val="18"/>
              </w:rPr>
            </w:pPr>
            <w:r w:rsidRPr="002176D6">
              <w:rPr>
                <w:rFonts w:asciiTheme="majorHAnsi" w:hAnsiTheme="majorHAnsi"/>
                <w:b/>
                <w:bCs/>
                <w:sz w:val="18"/>
                <w:szCs w:val="18"/>
              </w:rPr>
              <w:t>Наименование показателя</w:t>
            </w:r>
          </w:p>
        </w:tc>
        <w:tc>
          <w:tcPr>
            <w:tcW w:w="709" w:type="dxa"/>
            <w:tcBorders>
              <w:top w:val="double" w:sz="4" w:space="0" w:color="auto"/>
              <w:bottom w:val="single" w:sz="6" w:space="0" w:color="auto"/>
            </w:tcBorders>
            <w:shd w:val="clear" w:color="000000" w:fill="F2F2F2" w:themeFill="background1" w:themeFillShade="F2"/>
            <w:vAlign w:val="center"/>
            <w:hideMark/>
          </w:tcPr>
          <w:p w:rsidR="002176D6" w:rsidRPr="002176D6" w:rsidRDefault="002176D6" w:rsidP="002176D6">
            <w:pPr>
              <w:jc w:val="center"/>
              <w:rPr>
                <w:rFonts w:asciiTheme="majorHAnsi" w:hAnsiTheme="majorHAnsi"/>
                <w:b/>
                <w:bCs/>
                <w:sz w:val="18"/>
                <w:szCs w:val="18"/>
              </w:rPr>
            </w:pPr>
            <w:r w:rsidRPr="002176D6">
              <w:rPr>
                <w:rFonts w:asciiTheme="majorHAnsi" w:hAnsiTheme="majorHAnsi"/>
                <w:b/>
                <w:bCs/>
                <w:sz w:val="18"/>
                <w:szCs w:val="18"/>
              </w:rPr>
              <w:t>Ед. изм.</w:t>
            </w:r>
          </w:p>
        </w:tc>
        <w:tc>
          <w:tcPr>
            <w:tcW w:w="1701" w:type="dxa"/>
            <w:tcBorders>
              <w:top w:val="double" w:sz="4" w:space="0" w:color="auto"/>
              <w:bottom w:val="single" w:sz="6" w:space="0" w:color="auto"/>
            </w:tcBorders>
            <w:shd w:val="clear" w:color="000000" w:fill="F2F2F2" w:themeFill="background1" w:themeFillShade="F2"/>
            <w:vAlign w:val="center"/>
            <w:hideMark/>
          </w:tcPr>
          <w:p w:rsidR="002176D6" w:rsidRPr="002176D6" w:rsidRDefault="002176D6" w:rsidP="002176D6">
            <w:pPr>
              <w:jc w:val="center"/>
              <w:rPr>
                <w:rFonts w:asciiTheme="majorHAnsi" w:hAnsiTheme="majorHAnsi"/>
                <w:b/>
                <w:bCs/>
                <w:sz w:val="18"/>
                <w:szCs w:val="18"/>
              </w:rPr>
            </w:pPr>
            <w:r w:rsidRPr="002176D6">
              <w:rPr>
                <w:rFonts w:asciiTheme="majorHAnsi" w:hAnsiTheme="majorHAnsi"/>
                <w:b/>
                <w:bCs/>
                <w:sz w:val="18"/>
                <w:szCs w:val="18"/>
              </w:rPr>
              <w:t>Значение показателей</w:t>
            </w:r>
          </w:p>
        </w:tc>
      </w:tr>
      <w:tr w:rsidR="00045306" w:rsidRPr="002176D6" w:rsidTr="002176D6">
        <w:trPr>
          <w:trHeight w:val="20"/>
        </w:trPr>
        <w:tc>
          <w:tcPr>
            <w:tcW w:w="567" w:type="dxa"/>
            <w:tcBorders>
              <w:top w:val="single" w:sz="6" w:space="0" w:color="auto"/>
            </w:tcBorders>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1</w:t>
            </w:r>
          </w:p>
        </w:tc>
        <w:tc>
          <w:tcPr>
            <w:tcW w:w="3827" w:type="dxa"/>
            <w:tcBorders>
              <w:top w:val="single" w:sz="6" w:space="0" w:color="auto"/>
            </w:tcBorders>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Общая площадь объекта</w:t>
            </w:r>
          </w:p>
        </w:tc>
        <w:tc>
          <w:tcPr>
            <w:tcW w:w="709" w:type="dxa"/>
            <w:tcBorders>
              <w:top w:val="single" w:sz="6" w:space="0" w:color="auto"/>
            </w:tcBorders>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м2</w:t>
            </w:r>
          </w:p>
        </w:tc>
        <w:tc>
          <w:tcPr>
            <w:tcW w:w="1701" w:type="dxa"/>
            <w:tcBorders>
              <w:top w:val="single" w:sz="6" w:space="0" w:color="auto"/>
            </w:tcBorders>
            <w:shd w:val="clear" w:color="auto" w:fill="auto"/>
            <w:vAlign w:val="center"/>
            <w:hideMark/>
          </w:tcPr>
          <w:p w:rsidR="00045306" w:rsidRPr="00045306" w:rsidRDefault="00045306" w:rsidP="00045306">
            <w:pPr>
              <w:jc w:val="center"/>
              <w:rPr>
                <w:rFonts w:asciiTheme="majorHAnsi" w:hAnsiTheme="majorHAnsi"/>
                <w:sz w:val="18"/>
                <w:szCs w:val="18"/>
              </w:rPr>
            </w:pPr>
            <w:r w:rsidRPr="00045306">
              <w:rPr>
                <w:rFonts w:asciiTheme="majorHAnsi" w:hAnsiTheme="majorHAnsi"/>
                <w:sz w:val="18"/>
                <w:szCs w:val="18"/>
              </w:rPr>
              <w:t>3149,60</w:t>
            </w:r>
          </w:p>
        </w:tc>
      </w:tr>
      <w:tr w:rsidR="00045306" w:rsidRPr="002176D6" w:rsidTr="002176D6">
        <w:trPr>
          <w:trHeight w:val="20"/>
        </w:trPr>
        <w:tc>
          <w:tcPr>
            <w:tcW w:w="567" w:type="dxa"/>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2</w:t>
            </w:r>
          </w:p>
        </w:tc>
        <w:tc>
          <w:tcPr>
            <w:tcW w:w="3827" w:type="dxa"/>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Средняя стоимость аренды 1 м</w:t>
            </w:r>
            <w:r w:rsidRPr="002176D6">
              <w:rPr>
                <w:rFonts w:asciiTheme="majorHAnsi" w:hAnsiTheme="majorHAnsi"/>
                <w:sz w:val="18"/>
                <w:szCs w:val="18"/>
                <w:vertAlign w:val="superscript"/>
              </w:rPr>
              <w:t>2</w:t>
            </w:r>
            <w:r w:rsidRPr="002176D6">
              <w:rPr>
                <w:rFonts w:asciiTheme="majorHAnsi" w:hAnsiTheme="majorHAnsi"/>
                <w:sz w:val="18"/>
                <w:szCs w:val="18"/>
              </w:rPr>
              <w:t xml:space="preserve"> </w:t>
            </w:r>
          </w:p>
        </w:tc>
        <w:tc>
          <w:tcPr>
            <w:tcW w:w="709" w:type="dxa"/>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руб./</w:t>
            </w:r>
          </w:p>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мес.</w:t>
            </w:r>
          </w:p>
        </w:tc>
        <w:tc>
          <w:tcPr>
            <w:tcW w:w="1701" w:type="dxa"/>
            <w:shd w:val="clear" w:color="auto" w:fill="auto"/>
            <w:vAlign w:val="center"/>
            <w:hideMark/>
          </w:tcPr>
          <w:p w:rsidR="00045306" w:rsidRPr="00045306" w:rsidRDefault="00045306" w:rsidP="00045306">
            <w:pPr>
              <w:jc w:val="center"/>
              <w:rPr>
                <w:rFonts w:asciiTheme="majorHAnsi" w:hAnsiTheme="majorHAnsi"/>
                <w:sz w:val="18"/>
                <w:szCs w:val="18"/>
              </w:rPr>
            </w:pPr>
            <w:r w:rsidRPr="00045306">
              <w:rPr>
                <w:rFonts w:asciiTheme="majorHAnsi" w:hAnsiTheme="majorHAnsi"/>
                <w:sz w:val="18"/>
                <w:szCs w:val="18"/>
              </w:rPr>
              <w:t>230,00</w:t>
            </w:r>
          </w:p>
        </w:tc>
      </w:tr>
      <w:tr w:rsidR="00045306" w:rsidRPr="002176D6" w:rsidTr="002176D6">
        <w:trPr>
          <w:trHeight w:val="20"/>
        </w:trPr>
        <w:tc>
          <w:tcPr>
            <w:tcW w:w="567" w:type="dxa"/>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3</w:t>
            </w:r>
          </w:p>
        </w:tc>
        <w:tc>
          <w:tcPr>
            <w:tcW w:w="3827" w:type="dxa"/>
            <w:shd w:val="clear" w:color="auto" w:fill="auto"/>
            <w:vAlign w:val="center"/>
            <w:hideMark/>
          </w:tcPr>
          <w:p w:rsidR="00045306" w:rsidRPr="002176D6" w:rsidRDefault="00045306" w:rsidP="002176D6">
            <w:pPr>
              <w:jc w:val="center"/>
              <w:rPr>
                <w:rFonts w:asciiTheme="majorHAnsi" w:hAnsiTheme="majorHAnsi"/>
                <w:b/>
                <w:bCs/>
                <w:sz w:val="18"/>
                <w:szCs w:val="18"/>
              </w:rPr>
            </w:pPr>
            <w:r w:rsidRPr="002176D6">
              <w:rPr>
                <w:rFonts w:asciiTheme="majorHAnsi" w:hAnsiTheme="majorHAnsi"/>
                <w:b/>
                <w:bCs/>
                <w:sz w:val="18"/>
                <w:szCs w:val="18"/>
              </w:rPr>
              <w:t>Потенциальный валовой доход (ПВД)</w:t>
            </w:r>
          </w:p>
        </w:tc>
        <w:tc>
          <w:tcPr>
            <w:tcW w:w="709" w:type="dxa"/>
            <w:shd w:val="clear" w:color="auto" w:fill="auto"/>
            <w:vAlign w:val="center"/>
            <w:hideMark/>
          </w:tcPr>
          <w:p w:rsidR="00045306" w:rsidRPr="002176D6" w:rsidRDefault="00045306" w:rsidP="002176D6">
            <w:pPr>
              <w:jc w:val="center"/>
              <w:rPr>
                <w:rFonts w:asciiTheme="majorHAnsi" w:hAnsiTheme="majorHAnsi"/>
                <w:b/>
                <w:bCs/>
                <w:sz w:val="18"/>
                <w:szCs w:val="18"/>
              </w:rPr>
            </w:pPr>
            <w:r w:rsidRPr="002176D6">
              <w:rPr>
                <w:rFonts w:asciiTheme="majorHAnsi" w:hAnsiTheme="majorHAnsi"/>
                <w:b/>
                <w:bCs/>
                <w:sz w:val="18"/>
                <w:szCs w:val="18"/>
              </w:rPr>
              <w:t>руб./мес.</w:t>
            </w:r>
          </w:p>
        </w:tc>
        <w:tc>
          <w:tcPr>
            <w:tcW w:w="1701" w:type="dxa"/>
            <w:shd w:val="clear" w:color="auto" w:fill="auto"/>
            <w:vAlign w:val="center"/>
            <w:hideMark/>
          </w:tcPr>
          <w:p w:rsidR="00045306" w:rsidRPr="00045306" w:rsidRDefault="00045306" w:rsidP="00045306">
            <w:pPr>
              <w:jc w:val="center"/>
              <w:rPr>
                <w:rFonts w:asciiTheme="majorHAnsi" w:hAnsiTheme="majorHAnsi"/>
                <w:b/>
                <w:bCs/>
                <w:sz w:val="18"/>
                <w:szCs w:val="18"/>
              </w:rPr>
            </w:pPr>
            <w:r w:rsidRPr="00045306">
              <w:rPr>
                <w:rFonts w:asciiTheme="majorHAnsi" w:hAnsiTheme="majorHAnsi"/>
                <w:b/>
                <w:bCs/>
                <w:sz w:val="18"/>
                <w:szCs w:val="18"/>
              </w:rPr>
              <w:t>724 408</w:t>
            </w:r>
          </w:p>
        </w:tc>
      </w:tr>
      <w:tr w:rsidR="00045306" w:rsidRPr="002176D6" w:rsidTr="002176D6">
        <w:trPr>
          <w:trHeight w:val="20"/>
        </w:trPr>
        <w:tc>
          <w:tcPr>
            <w:tcW w:w="567" w:type="dxa"/>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4</w:t>
            </w:r>
          </w:p>
        </w:tc>
        <w:tc>
          <w:tcPr>
            <w:tcW w:w="3827" w:type="dxa"/>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Заполняемость объекта</w:t>
            </w:r>
          </w:p>
        </w:tc>
        <w:tc>
          <w:tcPr>
            <w:tcW w:w="709" w:type="dxa"/>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w:t>
            </w:r>
          </w:p>
        </w:tc>
        <w:tc>
          <w:tcPr>
            <w:tcW w:w="1701" w:type="dxa"/>
            <w:shd w:val="clear" w:color="000000" w:fill="auto"/>
            <w:vAlign w:val="center"/>
            <w:hideMark/>
          </w:tcPr>
          <w:p w:rsidR="00045306" w:rsidRPr="00045306" w:rsidRDefault="00045306" w:rsidP="00045306">
            <w:pPr>
              <w:jc w:val="center"/>
              <w:rPr>
                <w:rFonts w:asciiTheme="majorHAnsi" w:hAnsiTheme="majorHAnsi"/>
                <w:sz w:val="18"/>
                <w:szCs w:val="18"/>
              </w:rPr>
            </w:pPr>
            <w:r w:rsidRPr="00045306">
              <w:rPr>
                <w:rFonts w:asciiTheme="majorHAnsi" w:hAnsiTheme="majorHAnsi"/>
                <w:sz w:val="18"/>
                <w:szCs w:val="18"/>
              </w:rPr>
              <w:t>79%</w:t>
            </w:r>
          </w:p>
        </w:tc>
      </w:tr>
      <w:tr w:rsidR="00045306" w:rsidRPr="002176D6" w:rsidTr="002176D6">
        <w:trPr>
          <w:trHeight w:val="20"/>
        </w:trPr>
        <w:tc>
          <w:tcPr>
            <w:tcW w:w="567" w:type="dxa"/>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5</w:t>
            </w:r>
          </w:p>
        </w:tc>
        <w:tc>
          <w:tcPr>
            <w:tcW w:w="3827" w:type="dxa"/>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Эффективный валовой доход (ЭВД)</w:t>
            </w:r>
          </w:p>
        </w:tc>
        <w:tc>
          <w:tcPr>
            <w:tcW w:w="709" w:type="dxa"/>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руб./</w:t>
            </w:r>
          </w:p>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мес.</w:t>
            </w:r>
          </w:p>
        </w:tc>
        <w:tc>
          <w:tcPr>
            <w:tcW w:w="1701" w:type="dxa"/>
            <w:shd w:val="clear" w:color="auto" w:fill="auto"/>
            <w:vAlign w:val="center"/>
            <w:hideMark/>
          </w:tcPr>
          <w:p w:rsidR="00045306" w:rsidRPr="00045306" w:rsidRDefault="00045306" w:rsidP="00045306">
            <w:pPr>
              <w:jc w:val="center"/>
              <w:rPr>
                <w:rFonts w:asciiTheme="majorHAnsi" w:hAnsiTheme="majorHAnsi"/>
                <w:sz w:val="18"/>
                <w:szCs w:val="18"/>
              </w:rPr>
            </w:pPr>
            <w:r w:rsidRPr="00045306">
              <w:rPr>
                <w:rFonts w:asciiTheme="majorHAnsi" w:hAnsiTheme="majorHAnsi"/>
                <w:sz w:val="18"/>
                <w:szCs w:val="18"/>
              </w:rPr>
              <w:t>572 282</w:t>
            </w:r>
          </w:p>
        </w:tc>
      </w:tr>
      <w:tr w:rsidR="00045306" w:rsidRPr="002176D6" w:rsidTr="002176D6">
        <w:trPr>
          <w:trHeight w:val="20"/>
        </w:trPr>
        <w:tc>
          <w:tcPr>
            <w:tcW w:w="567" w:type="dxa"/>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6</w:t>
            </w:r>
          </w:p>
        </w:tc>
        <w:tc>
          <w:tcPr>
            <w:tcW w:w="3827" w:type="dxa"/>
            <w:shd w:val="clear" w:color="auto" w:fill="auto"/>
            <w:vAlign w:val="center"/>
            <w:hideMark/>
          </w:tcPr>
          <w:p w:rsidR="00045306" w:rsidRPr="002176D6" w:rsidRDefault="00045306" w:rsidP="002176D6">
            <w:pPr>
              <w:jc w:val="center"/>
              <w:rPr>
                <w:rFonts w:asciiTheme="majorHAnsi" w:hAnsiTheme="majorHAnsi"/>
                <w:b/>
                <w:bCs/>
                <w:sz w:val="18"/>
                <w:szCs w:val="18"/>
              </w:rPr>
            </w:pPr>
            <w:r w:rsidRPr="002176D6">
              <w:rPr>
                <w:rFonts w:asciiTheme="majorHAnsi" w:hAnsiTheme="majorHAnsi"/>
                <w:b/>
                <w:bCs/>
                <w:sz w:val="18"/>
                <w:szCs w:val="18"/>
              </w:rPr>
              <w:t>Эффективный валовой доход (ЭВД)</w:t>
            </w:r>
          </w:p>
        </w:tc>
        <w:tc>
          <w:tcPr>
            <w:tcW w:w="709" w:type="dxa"/>
            <w:shd w:val="clear" w:color="auto" w:fill="auto"/>
            <w:vAlign w:val="center"/>
            <w:hideMark/>
          </w:tcPr>
          <w:p w:rsidR="00045306" w:rsidRPr="002176D6" w:rsidRDefault="00045306" w:rsidP="002176D6">
            <w:pPr>
              <w:jc w:val="center"/>
              <w:rPr>
                <w:rFonts w:asciiTheme="majorHAnsi" w:hAnsiTheme="majorHAnsi"/>
                <w:b/>
                <w:bCs/>
                <w:sz w:val="18"/>
                <w:szCs w:val="18"/>
              </w:rPr>
            </w:pPr>
            <w:r w:rsidRPr="002176D6">
              <w:rPr>
                <w:rFonts w:asciiTheme="majorHAnsi" w:hAnsiTheme="majorHAnsi"/>
                <w:b/>
                <w:bCs/>
                <w:sz w:val="18"/>
                <w:szCs w:val="18"/>
              </w:rPr>
              <w:t>руб./</w:t>
            </w:r>
          </w:p>
          <w:p w:rsidR="00045306" w:rsidRPr="002176D6" w:rsidRDefault="00045306" w:rsidP="002176D6">
            <w:pPr>
              <w:jc w:val="center"/>
              <w:rPr>
                <w:rFonts w:asciiTheme="majorHAnsi" w:hAnsiTheme="majorHAnsi"/>
                <w:b/>
                <w:bCs/>
                <w:sz w:val="18"/>
                <w:szCs w:val="18"/>
              </w:rPr>
            </w:pPr>
            <w:r w:rsidRPr="002176D6">
              <w:rPr>
                <w:rFonts w:asciiTheme="majorHAnsi" w:hAnsiTheme="majorHAnsi"/>
                <w:b/>
                <w:bCs/>
                <w:sz w:val="18"/>
                <w:szCs w:val="18"/>
              </w:rPr>
              <w:t>год</w:t>
            </w:r>
          </w:p>
        </w:tc>
        <w:tc>
          <w:tcPr>
            <w:tcW w:w="1701" w:type="dxa"/>
            <w:shd w:val="clear" w:color="auto" w:fill="auto"/>
            <w:vAlign w:val="center"/>
            <w:hideMark/>
          </w:tcPr>
          <w:p w:rsidR="00045306" w:rsidRPr="00045306" w:rsidRDefault="00045306" w:rsidP="00045306">
            <w:pPr>
              <w:jc w:val="center"/>
              <w:rPr>
                <w:rFonts w:asciiTheme="majorHAnsi" w:hAnsiTheme="majorHAnsi"/>
                <w:b/>
                <w:bCs/>
                <w:sz w:val="18"/>
                <w:szCs w:val="18"/>
              </w:rPr>
            </w:pPr>
            <w:r w:rsidRPr="00045306">
              <w:rPr>
                <w:rFonts w:asciiTheme="majorHAnsi" w:hAnsiTheme="majorHAnsi"/>
                <w:b/>
                <w:bCs/>
                <w:sz w:val="18"/>
                <w:szCs w:val="18"/>
              </w:rPr>
              <w:t>6 867 388</w:t>
            </w:r>
          </w:p>
        </w:tc>
      </w:tr>
      <w:tr w:rsidR="00045306" w:rsidRPr="002176D6" w:rsidTr="002176D6">
        <w:trPr>
          <w:trHeight w:val="20"/>
        </w:trPr>
        <w:tc>
          <w:tcPr>
            <w:tcW w:w="567" w:type="dxa"/>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7</w:t>
            </w:r>
          </w:p>
        </w:tc>
        <w:tc>
          <w:tcPr>
            <w:tcW w:w="3827" w:type="dxa"/>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Процент операционных расходов от потенциального валового дохода</w:t>
            </w:r>
          </w:p>
        </w:tc>
        <w:tc>
          <w:tcPr>
            <w:tcW w:w="709" w:type="dxa"/>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w:t>
            </w:r>
          </w:p>
        </w:tc>
        <w:tc>
          <w:tcPr>
            <w:tcW w:w="1701" w:type="dxa"/>
            <w:shd w:val="clear" w:color="auto" w:fill="auto"/>
            <w:vAlign w:val="center"/>
            <w:hideMark/>
          </w:tcPr>
          <w:p w:rsidR="00045306" w:rsidRPr="00045306" w:rsidRDefault="00045306" w:rsidP="00045306">
            <w:pPr>
              <w:jc w:val="center"/>
              <w:rPr>
                <w:rFonts w:asciiTheme="majorHAnsi" w:hAnsiTheme="majorHAnsi"/>
                <w:sz w:val="18"/>
                <w:szCs w:val="18"/>
              </w:rPr>
            </w:pPr>
            <w:r w:rsidRPr="00045306">
              <w:rPr>
                <w:rFonts w:asciiTheme="majorHAnsi" w:hAnsiTheme="majorHAnsi"/>
                <w:sz w:val="18"/>
                <w:szCs w:val="18"/>
              </w:rPr>
              <w:t>21,7%</w:t>
            </w:r>
          </w:p>
        </w:tc>
      </w:tr>
      <w:tr w:rsidR="00045306" w:rsidRPr="002176D6" w:rsidTr="002176D6">
        <w:trPr>
          <w:trHeight w:val="20"/>
        </w:trPr>
        <w:tc>
          <w:tcPr>
            <w:tcW w:w="567" w:type="dxa"/>
            <w:shd w:val="clear" w:color="auto" w:fill="auto"/>
            <w:vAlign w:val="center"/>
            <w:hideMark/>
          </w:tcPr>
          <w:p w:rsidR="00045306" w:rsidRPr="002176D6" w:rsidRDefault="00045306" w:rsidP="002176D6">
            <w:pPr>
              <w:jc w:val="center"/>
              <w:rPr>
                <w:rFonts w:asciiTheme="majorHAnsi" w:hAnsiTheme="majorHAnsi"/>
                <w:sz w:val="18"/>
                <w:szCs w:val="18"/>
              </w:rPr>
            </w:pPr>
            <w:r w:rsidRPr="002176D6">
              <w:rPr>
                <w:rFonts w:asciiTheme="majorHAnsi" w:hAnsiTheme="majorHAnsi"/>
                <w:sz w:val="18"/>
                <w:szCs w:val="18"/>
              </w:rPr>
              <w:t>8</w:t>
            </w:r>
          </w:p>
        </w:tc>
        <w:tc>
          <w:tcPr>
            <w:tcW w:w="3827" w:type="dxa"/>
            <w:shd w:val="clear" w:color="auto" w:fill="auto"/>
            <w:vAlign w:val="center"/>
            <w:hideMark/>
          </w:tcPr>
          <w:p w:rsidR="00045306" w:rsidRPr="002176D6" w:rsidRDefault="00045306" w:rsidP="002176D6">
            <w:pPr>
              <w:jc w:val="center"/>
              <w:rPr>
                <w:rFonts w:asciiTheme="majorHAnsi" w:hAnsiTheme="majorHAnsi"/>
                <w:b/>
                <w:bCs/>
                <w:iCs/>
                <w:sz w:val="18"/>
                <w:szCs w:val="18"/>
              </w:rPr>
            </w:pPr>
            <w:r w:rsidRPr="002176D6">
              <w:rPr>
                <w:rFonts w:asciiTheme="majorHAnsi" w:hAnsiTheme="majorHAnsi"/>
                <w:b/>
                <w:bCs/>
                <w:iCs/>
                <w:sz w:val="18"/>
                <w:szCs w:val="18"/>
              </w:rPr>
              <w:t>Операционные издержки</w:t>
            </w:r>
          </w:p>
        </w:tc>
        <w:tc>
          <w:tcPr>
            <w:tcW w:w="709" w:type="dxa"/>
            <w:shd w:val="clear" w:color="auto" w:fill="auto"/>
            <w:vAlign w:val="center"/>
            <w:hideMark/>
          </w:tcPr>
          <w:p w:rsidR="00045306" w:rsidRPr="002176D6" w:rsidRDefault="00045306" w:rsidP="002176D6">
            <w:pPr>
              <w:jc w:val="center"/>
              <w:rPr>
                <w:rFonts w:asciiTheme="majorHAnsi" w:hAnsiTheme="majorHAnsi"/>
                <w:b/>
                <w:bCs/>
                <w:iCs/>
                <w:sz w:val="18"/>
                <w:szCs w:val="18"/>
              </w:rPr>
            </w:pPr>
            <w:r w:rsidRPr="002176D6">
              <w:rPr>
                <w:rFonts w:asciiTheme="majorHAnsi" w:hAnsiTheme="majorHAnsi"/>
                <w:b/>
                <w:bCs/>
                <w:i/>
                <w:iCs/>
                <w:sz w:val="18"/>
                <w:szCs w:val="18"/>
              </w:rPr>
              <w:t> </w:t>
            </w:r>
            <w:r w:rsidRPr="002176D6">
              <w:rPr>
                <w:rFonts w:asciiTheme="majorHAnsi" w:hAnsiTheme="majorHAnsi"/>
                <w:b/>
                <w:bCs/>
                <w:iCs/>
                <w:sz w:val="18"/>
                <w:szCs w:val="18"/>
              </w:rPr>
              <w:t>руб.</w:t>
            </w:r>
          </w:p>
        </w:tc>
        <w:tc>
          <w:tcPr>
            <w:tcW w:w="1701" w:type="dxa"/>
            <w:shd w:val="clear" w:color="auto" w:fill="auto"/>
            <w:vAlign w:val="center"/>
            <w:hideMark/>
          </w:tcPr>
          <w:p w:rsidR="00045306" w:rsidRPr="00045306" w:rsidRDefault="00045306" w:rsidP="00045306">
            <w:pPr>
              <w:jc w:val="center"/>
              <w:rPr>
                <w:rFonts w:asciiTheme="majorHAnsi" w:hAnsiTheme="majorHAnsi"/>
                <w:b/>
                <w:bCs/>
                <w:sz w:val="18"/>
                <w:szCs w:val="18"/>
              </w:rPr>
            </w:pPr>
            <w:r w:rsidRPr="00045306">
              <w:rPr>
                <w:rFonts w:asciiTheme="majorHAnsi" w:hAnsiTheme="majorHAnsi"/>
                <w:b/>
                <w:bCs/>
                <w:sz w:val="18"/>
                <w:szCs w:val="18"/>
              </w:rPr>
              <w:t>1 886 358</w:t>
            </w:r>
          </w:p>
        </w:tc>
      </w:tr>
      <w:tr w:rsidR="00045306" w:rsidRPr="002176D6" w:rsidTr="002176D6">
        <w:trPr>
          <w:trHeight w:val="20"/>
        </w:trPr>
        <w:tc>
          <w:tcPr>
            <w:tcW w:w="567" w:type="dxa"/>
            <w:shd w:val="clear" w:color="000000" w:fill="FFFFFF"/>
            <w:vAlign w:val="center"/>
            <w:hideMark/>
          </w:tcPr>
          <w:p w:rsidR="00045306" w:rsidRPr="002176D6" w:rsidRDefault="00045306" w:rsidP="002176D6">
            <w:pPr>
              <w:jc w:val="center"/>
              <w:rPr>
                <w:rFonts w:asciiTheme="majorHAnsi" w:hAnsiTheme="majorHAnsi"/>
                <w:bCs/>
                <w:sz w:val="18"/>
                <w:szCs w:val="18"/>
              </w:rPr>
            </w:pPr>
            <w:r w:rsidRPr="002176D6">
              <w:rPr>
                <w:rFonts w:asciiTheme="majorHAnsi" w:hAnsiTheme="majorHAnsi"/>
                <w:bCs/>
                <w:sz w:val="18"/>
                <w:szCs w:val="18"/>
              </w:rPr>
              <w:t>9</w:t>
            </w:r>
          </w:p>
        </w:tc>
        <w:tc>
          <w:tcPr>
            <w:tcW w:w="3827" w:type="dxa"/>
            <w:shd w:val="clear" w:color="000000" w:fill="FFFFFF"/>
            <w:vAlign w:val="center"/>
            <w:hideMark/>
          </w:tcPr>
          <w:p w:rsidR="00045306" w:rsidRPr="002176D6" w:rsidRDefault="00045306" w:rsidP="002176D6">
            <w:pPr>
              <w:jc w:val="center"/>
              <w:rPr>
                <w:rFonts w:asciiTheme="majorHAnsi" w:hAnsiTheme="majorHAnsi"/>
                <w:b/>
                <w:bCs/>
                <w:sz w:val="18"/>
                <w:szCs w:val="18"/>
              </w:rPr>
            </w:pPr>
            <w:r w:rsidRPr="002176D6">
              <w:rPr>
                <w:rFonts w:asciiTheme="majorHAnsi" w:hAnsiTheme="majorHAnsi"/>
                <w:b/>
                <w:bCs/>
                <w:sz w:val="18"/>
                <w:szCs w:val="18"/>
              </w:rPr>
              <w:t>Чистый операционный доход  (ЧОД), п.6-п.11</w:t>
            </w:r>
          </w:p>
        </w:tc>
        <w:tc>
          <w:tcPr>
            <w:tcW w:w="709" w:type="dxa"/>
            <w:shd w:val="clear" w:color="000000" w:fill="FFFFFF"/>
            <w:vAlign w:val="center"/>
            <w:hideMark/>
          </w:tcPr>
          <w:p w:rsidR="00045306" w:rsidRPr="002176D6" w:rsidRDefault="00045306" w:rsidP="002176D6">
            <w:pPr>
              <w:jc w:val="center"/>
              <w:rPr>
                <w:rFonts w:asciiTheme="majorHAnsi" w:hAnsiTheme="majorHAnsi"/>
                <w:b/>
                <w:bCs/>
                <w:sz w:val="18"/>
                <w:szCs w:val="18"/>
              </w:rPr>
            </w:pPr>
            <w:r w:rsidRPr="002176D6">
              <w:rPr>
                <w:rFonts w:asciiTheme="majorHAnsi" w:hAnsiTheme="majorHAnsi"/>
                <w:b/>
                <w:bCs/>
                <w:sz w:val="18"/>
                <w:szCs w:val="18"/>
              </w:rPr>
              <w:t>руб. </w:t>
            </w:r>
          </w:p>
        </w:tc>
        <w:tc>
          <w:tcPr>
            <w:tcW w:w="1701" w:type="dxa"/>
            <w:shd w:val="clear" w:color="000000" w:fill="FFFFFF"/>
            <w:vAlign w:val="center"/>
            <w:hideMark/>
          </w:tcPr>
          <w:p w:rsidR="00045306" w:rsidRPr="00045306" w:rsidRDefault="00045306" w:rsidP="00045306">
            <w:pPr>
              <w:jc w:val="center"/>
              <w:rPr>
                <w:rFonts w:asciiTheme="majorHAnsi" w:hAnsiTheme="majorHAnsi"/>
                <w:b/>
                <w:bCs/>
                <w:sz w:val="18"/>
                <w:szCs w:val="18"/>
              </w:rPr>
            </w:pPr>
            <w:r w:rsidRPr="00045306">
              <w:rPr>
                <w:rFonts w:asciiTheme="majorHAnsi" w:hAnsiTheme="majorHAnsi"/>
                <w:b/>
                <w:bCs/>
                <w:sz w:val="18"/>
                <w:szCs w:val="18"/>
              </w:rPr>
              <w:t>4 981 030,00</w:t>
            </w:r>
          </w:p>
        </w:tc>
      </w:tr>
    </w:tbl>
    <w:p w:rsidR="002176D6" w:rsidRPr="002176D6" w:rsidRDefault="002176D6" w:rsidP="002176D6">
      <w:pPr>
        <w:rPr>
          <w:rFonts w:eastAsiaTheme="majorEastAsia" w:cstheme="majorBidi"/>
          <w:b/>
          <w:bCs/>
          <w:sz w:val="28"/>
          <w:szCs w:val="28"/>
        </w:rPr>
      </w:pPr>
    </w:p>
    <w:p w:rsidR="002176D6" w:rsidRPr="002176D6" w:rsidRDefault="002176D6" w:rsidP="002176D6">
      <w:pPr>
        <w:ind w:firstLine="709"/>
        <w:jc w:val="both"/>
        <w:rPr>
          <w:rFonts w:asciiTheme="majorHAnsi" w:hAnsiTheme="majorHAnsi"/>
          <w:sz w:val="20"/>
          <w:szCs w:val="20"/>
        </w:rPr>
      </w:pPr>
      <w:r w:rsidRPr="002176D6">
        <w:rPr>
          <w:rFonts w:asciiTheme="majorHAnsi" w:hAnsiTheme="majorHAnsi"/>
          <w:b/>
          <w:bCs/>
          <w:sz w:val="20"/>
          <w:szCs w:val="20"/>
        </w:rPr>
        <w:t xml:space="preserve">Заполняемость </w:t>
      </w:r>
      <w:r w:rsidRPr="002176D6">
        <w:rPr>
          <w:rFonts w:asciiTheme="majorHAnsi" w:hAnsiTheme="majorHAnsi"/>
          <w:sz w:val="20"/>
          <w:szCs w:val="20"/>
        </w:rPr>
        <w:t xml:space="preserve">оцениваемых объектов определена исходя из проведенного анализа данного сегмента рынка, привлекательности с точки зрения размера сдаваемых площадей, места расположения объекта. В настоящем отчете определена согласно методике Лейфера Л.А., научного руководителя ЗАО "Приволжский Центр финансового консалтинга и оценки" , кандидата технических наук, Член-корреспондент Российской Академии Проблем Качества, Вице-президента РОО, руководитель Комитета по информационно-аналитическому обеспечению, Член Президиума Экспертного Совета РОО, Председателя Правления Нижегородского областного отделения Общероссийской общественной организации "Российское общество оценщиков", научного консультанта по программе профессиональной подготовки по оценочной деятельности при Нижегородском Государственном Университете им. Лобачевского Н.И. и составляет </w:t>
      </w:r>
      <w:r w:rsidR="00045306">
        <w:rPr>
          <w:rFonts w:asciiTheme="majorHAnsi" w:hAnsiTheme="majorHAnsi"/>
          <w:b/>
          <w:sz w:val="20"/>
          <w:szCs w:val="20"/>
        </w:rPr>
        <w:t>79</w:t>
      </w:r>
      <w:r w:rsidRPr="002176D6">
        <w:rPr>
          <w:rFonts w:asciiTheme="majorHAnsi" w:hAnsiTheme="majorHAnsi"/>
          <w:b/>
          <w:sz w:val="20"/>
          <w:szCs w:val="20"/>
        </w:rPr>
        <w:t xml:space="preserve"> % = 100% - 2</w:t>
      </w:r>
      <w:r w:rsidR="00045306">
        <w:rPr>
          <w:rFonts w:asciiTheme="majorHAnsi" w:hAnsiTheme="majorHAnsi"/>
          <w:b/>
          <w:sz w:val="20"/>
          <w:szCs w:val="20"/>
        </w:rPr>
        <w:t>1</w:t>
      </w:r>
      <w:r w:rsidRPr="002176D6">
        <w:rPr>
          <w:rFonts w:asciiTheme="majorHAnsi" w:hAnsiTheme="majorHAnsi"/>
          <w:b/>
          <w:sz w:val="20"/>
          <w:szCs w:val="20"/>
        </w:rPr>
        <w:t>%.</w:t>
      </w:r>
    </w:p>
    <w:p w:rsidR="002176D6" w:rsidRPr="002176D6" w:rsidRDefault="002176D6" w:rsidP="002176D6">
      <w:pPr>
        <w:ind w:firstLine="709"/>
        <w:jc w:val="both"/>
        <w:rPr>
          <w:sz w:val="20"/>
          <w:szCs w:val="20"/>
        </w:rPr>
      </w:pPr>
    </w:p>
    <w:p w:rsidR="002176D6" w:rsidRPr="002176D6" w:rsidRDefault="00045306" w:rsidP="00045306">
      <w:pPr>
        <w:jc w:val="center"/>
        <w:rPr>
          <w:rFonts w:eastAsiaTheme="majorEastAsia" w:cstheme="majorBidi"/>
          <w:b/>
          <w:bCs/>
          <w:sz w:val="28"/>
          <w:szCs w:val="28"/>
        </w:rPr>
      </w:pPr>
      <w:r>
        <w:rPr>
          <w:rFonts w:eastAsiaTheme="majorEastAsia" w:cstheme="majorBidi"/>
          <w:b/>
          <w:bCs/>
          <w:noProof/>
          <w:sz w:val="28"/>
          <w:szCs w:val="28"/>
        </w:rPr>
        <w:drawing>
          <wp:inline distT="0" distB="0" distL="0" distR="0" wp14:anchorId="6B2C2E62" wp14:editId="18FC498F">
            <wp:extent cx="4276725" cy="3057010"/>
            <wp:effectExtent l="0" t="0" r="0" b="0"/>
            <wp:docPr id="180" name="Рисунок 180" descr="C:\Users\e.perevozchikova.INT\Desktop\zJzc1_yRI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e.perevozchikova.INT\Desktop\zJzc1_yRIB4.jpg"/>
                    <pic:cNvPicPr>
                      <a:picLocks noChangeAspect="1" noChangeArrowheads="1"/>
                    </pic:cNvPicPr>
                  </pic:nvPicPr>
                  <pic:blipFill rotWithShape="1">
                    <a:blip r:embed="rId126">
                      <a:extLst>
                        <a:ext uri="{28A0092B-C50C-407E-A947-70E740481C1C}">
                          <a14:useLocalDpi xmlns:a14="http://schemas.microsoft.com/office/drawing/2010/main" val="0"/>
                        </a:ext>
                      </a:extLst>
                    </a:blip>
                    <a:srcRect l="58094" t="34252" b="48919"/>
                    <a:stretch/>
                  </pic:blipFill>
                  <pic:spPr bwMode="auto">
                    <a:xfrm>
                      <a:off x="0" y="0"/>
                      <a:ext cx="4276725" cy="3057010"/>
                    </a:xfrm>
                    <a:prstGeom prst="rect">
                      <a:avLst/>
                    </a:prstGeom>
                    <a:noFill/>
                    <a:ln>
                      <a:noFill/>
                    </a:ln>
                    <a:extLst>
                      <a:ext uri="{53640926-AAD7-44D8-BBD7-CCE9431645EC}">
                        <a14:shadowObscured xmlns:a14="http://schemas.microsoft.com/office/drawing/2010/main"/>
                      </a:ext>
                    </a:extLst>
                  </pic:spPr>
                </pic:pic>
              </a:graphicData>
            </a:graphic>
          </wp:inline>
        </w:drawing>
      </w:r>
    </w:p>
    <w:p w:rsidR="002176D6" w:rsidRPr="002176D6" w:rsidRDefault="002176D6" w:rsidP="002176D6">
      <w:pPr>
        <w:ind w:firstLine="709"/>
        <w:jc w:val="both"/>
        <w:rPr>
          <w:rFonts w:eastAsiaTheme="majorEastAsia" w:cstheme="majorBidi"/>
          <w:b/>
          <w:bCs/>
          <w:sz w:val="28"/>
          <w:szCs w:val="28"/>
        </w:rPr>
      </w:pPr>
    </w:p>
    <w:p w:rsidR="002176D6" w:rsidRPr="002176D6" w:rsidRDefault="002176D6" w:rsidP="002176D6">
      <w:pPr>
        <w:ind w:firstLine="709"/>
        <w:jc w:val="both"/>
        <w:rPr>
          <w:rFonts w:asciiTheme="majorHAnsi" w:hAnsiTheme="majorHAnsi"/>
          <w:sz w:val="20"/>
          <w:szCs w:val="20"/>
        </w:rPr>
      </w:pPr>
      <w:r w:rsidRPr="002176D6">
        <w:rPr>
          <w:rFonts w:asciiTheme="majorHAnsi" w:hAnsiTheme="majorHAnsi"/>
          <w:b/>
          <w:bCs/>
          <w:sz w:val="20"/>
          <w:szCs w:val="20"/>
        </w:rPr>
        <w:lastRenderedPageBreak/>
        <w:t xml:space="preserve">Процент ожидаемых операционных расходов </w:t>
      </w:r>
      <w:r w:rsidRPr="002176D6">
        <w:rPr>
          <w:rFonts w:asciiTheme="majorHAnsi" w:hAnsiTheme="majorHAnsi"/>
          <w:sz w:val="20"/>
          <w:szCs w:val="20"/>
        </w:rPr>
        <w:t>определена в настоящем отчете согласно методике Лейфера Л.А., научного руководителя ЗАО "Приволжский Центр финансового консалтинга и оценки" , кандидата технических наук, Член-корреспондент Российской Академии Проблем Качества, Вице-президента РОО, руководитель Комитета по информационно-аналитическому обеспечению, Член Президиума Экспертного Совета РОО, Председателя Правления Нижегородского областного отделения Общероссийской общественной организации "Российское общество оценщиков", научного консультанта по программе профессиональной подготовки по оценочной деятельности при Нижегородском Государственном Университете им. Лобачевского Н.И.</w:t>
      </w:r>
      <w:r w:rsidRPr="002176D6">
        <w:rPr>
          <w:rFonts w:asciiTheme="majorHAnsi" w:hAnsiTheme="majorHAnsi"/>
          <w:sz w:val="20"/>
          <w:szCs w:val="20"/>
          <w:vertAlign w:val="superscript"/>
        </w:rPr>
        <w:footnoteReference w:id="10"/>
      </w:r>
      <w:r w:rsidRPr="002176D6">
        <w:rPr>
          <w:rFonts w:asciiTheme="majorHAnsi" w:hAnsiTheme="majorHAnsi"/>
          <w:sz w:val="20"/>
          <w:szCs w:val="20"/>
        </w:rPr>
        <w:t>, и составляет –21</w:t>
      </w:r>
      <w:r w:rsidR="00305BC3">
        <w:rPr>
          <w:rFonts w:asciiTheme="majorHAnsi" w:hAnsiTheme="majorHAnsi"/>
          <w:sz w:val="20"/>
          <w:szCs w:val="20"/>
        </w:rPr>
        <w:t>,7</w:t>
      </w:r>
      <w:r w:rsidRPr="002176D6">
        <w:rPr>
          <w:rFonts w:asciiTheme="majorHAnsi" w:hAnsiTheme="majorHAnsi"/>
          <w:sz w:val="20"/>
          <w:szCs w:val="20"/>
        </w:rPr>
        <w:t xml:space="preserve"> % от ПВД.</w:t>
      </w:r>
      <w:r w:rsidRPr="002176D6">
        <w:rPr>
          <w:rFonts w:asciiTheme="majorHAnsi" w:hAnsiTheme="majorHAnsi"/>
          <w:sz w:val="20"/>
          <w:szCs w:val="20"/>
          <w:vertAlign w:val="superscript"/>
        </w:rPr>
        <w:footnoteReference w:id="11"/>
      </w:r>
    </w:p>
    <w:p w:rsidR="002176D6" w:rsidRPr="002176D6" w:rsidRDefault="002176D6" w:rsidP="002176D6">
      <w:pPr>
        <w:ind w:firstLine="709"/>
        <w:jc w:val="both"/>
        <w:rPr>
          <w:rFonts w:asciiTheme="majorHAnsi" w:hAnsiTheme="majorHAnsi"/>
          <w:sz w:val="20"/>
          <w:szCs w:val="20"/>
        </w:rPr>
      </w:pPr>
    </w:p>
    <w:p w:rsidR="002176D6" w:rsidRPr="00045306" w:rsidRDefault="00045306" w:rsidP="002176D6">
      <w:pPr>
        <w:jc w:val="center"/>
        <w:rPr>
          <w:rFonts w:asciiTheme="majorHAnsi" w:hAnsiTheme="majorHAnsi"/>
          <w:b/>
          <w:sz w:val="20"/>
          <w:szCs w:val="20"/>
        </w:rPr>
      </w:pPr>
      <w:r>
        <w:rPr>
          <w:noProof/>
        </w:rPr>
        <w:drawing>
          <wp:inline distT="0" distB="0" distL="0" distR="0" wp14:anchorId="219EB26A" wp14:editId="602F6093">
            <wp:extent cx="4495800" cy="1962150"/>
            <wp:effectExtent l="0" t="0" r="0" b="0"/>
            <wp:docPr id="1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27"/>
                    <a:srcRect l="39964" t="29006" r="30450" b="34254"/>
                    <a:stretch/>
                  </pic:blipFill>
                  <pic:spPr bwMode="auto">
                    <a:xfrm>
                      <a:off x="0" y="0"/>
                      <a:ext cx="4502799" cy="1965205"/>
                    </a:xfrm>
                    <a:prstGeom prst="rect">
                      <a:avLst/>
                    </a:prstGeom>
                    <a:ln>
                      <a:noFill/>
                    </a:ln>
                    <a:extLst>
                      <a:ext uri="{53640926-AAD7-44D8-BBD7-CCE9431645EC}">
                        <a14:shadowObscured xmlns:a14="http://schemas.microsoft.com/office/drawing/2010/main"/>
                      </a:ext>
                    </a:extLst>
                  </pic:spPr>
                </pic:pic>
              </a:graphicData>
            </a:graphic>
          </wp:inline>
        </w:drawing>
      </w:r>
    </w:p>
    <w:p w:rsidR="002176D6" w:rsidRPr="002176D6" w:rsidRDefault="002176D6" w:rsidP="002176D6">
      <w:pPr>
        <w:jc w:val="center"/>
        <w:rPr>
          <w:rFonts w:asciiTheme="majorHAnsi" w:hAnsiTheme="majorHAnsi"/>
          <w:sz w:val="20"/>
          <w:szCs w:val="20"/>
        </w:rPr>
      </w:pPr>
    </w:p>
    <w:p w:rsidR="002176D6" w:rsidRPr="002176D6" w:rsidRDefault="002176D6" w:rsidP="002176D6">
      <w:pPr>
        <w:autoSpaceDE w:val="0"/>
        <w:autoSpaceDN w:val="0"/>
        <w:adjustRightInd w:val="0"/>
        <w:ind w:firstLine="709"/>
        <w:jc w:val="both"/>
        <w:rPr>
          <w:rFonts w:ascii="Cambria" w:eastAsiaTheme="minorHAnsi" w:hAnsi="Cambria" w:cs="Cambria"/>
          <w:color w:val="000000"/>
          <w:sz w:val="20"/>
          <w:szCs w:val="20"/>
          <w:lang w:eastAsia="en-US"/>
        </w:rPr>
      </w:pPr>
      <w:r w:rsidRPr="002176D6">
        <w:rPr>
          <w:rFonts w:ascii="Cambria" w:eastAsiaTheme="minorHAnsi" w:hAnsi="Cambria" w:cs="Cambria"/>
          <w:b/>
          <w:bCs/>
          <w:color w:val="000000"/>
          <w:sz w:val="20"/>
          <w:szCs w:val="20"/>
          <w:lang w:eastAsia="en-US"/>
        </w:rPr>
        <w:t xml:space="preserve">Расчет издержек (расходов на содержание) </w:t>
      </w:r>
    </w:p>
    <w:p w:rsidR="002176D6" w:rsidRPr="002176D6" w:rsidRDefault="002176D6" w:rsidP="002176D6">
      <w:pPr>
        <w:autoSpaceDE w:val="0"/>
        <w:autoSpaceDN w:val="0"/>
        <w:adjustRightInd w:val="0"/>
        <w:ind w:firstLine="709"/>
        <w:jc w:val="both"/>
        <w:rPr>
          <w:rFonts w:ascii="Cambria" w:eastAsiaTheme="minorHAnsi" w:hAnsi="Cambria" w:cs="Cambria"/>
          <w:color w:val="000000"/>
          <w:sz w:val="20"/>
          <w:szCs w:val="20"/>
          <w:lang w:eastAsia="en-US"/>
        </w:rPr>
      </w:pPr>
      <w:r w:rsidRPr="002176D6">
        <w:rPr>
          <w:rFonts w:ascii="Cambria" w:eastAsiaTheme="minorHAnsi" w:hAnsi="Cambria" w:cs="Cambria"/>
          <w:color w:val="000000"/>
          <w:sz w:val="20"/>
          <w:szCs w:val="20"/>
          <w:lang w:eastAsia="en-US"/>
        </w:rPr>
        <w:t xml:space="preserve">В сложившейся практике все эксплуатационные расходы несет арендатор. Затраты собственника на текущий ремонт также, как правило, компенсируются арендатором отдельно. Поэтому эксплуатационные расходы не учитываем. </w:t>
      </w:r>
    </w:p>
    <w:p w:rsidR="002176D6" w:rsidRPr="002176D6" w:rsidRDefault="002176D6" w:rsidP="002176D6">
      <w:pPr>
        <w:autoSpaceDE w:val="0"/>
        <w:autoSpaceDN w:val="0"/>
        <w:adjustRightInd w:val="0"/>
        <w:ind w:firstLine="709"/>
        <w:jc w:val="both"/>
        <w:rPr>
          <w:rFonts w:ascii="Cambria" w:eastAsiaTheme="minorHAnsi" w:hAnsi="Cambria" w:cs="Cambria"/>
          <w:color w:val="000000"/>
          <w:sz w:val="20"/>
          <w:szCs w:val="20"/>
          <w:lang w:eastAsia="en-US"/>
        </w:rPr>
      </w:pPr>
      <w:r w:rsidRPr="002176D6">
        <w:rPr>
          <w:rFonts w:ascii="Cambria" w:eastAsiaTheme="minorHAnsi" w:hAnsi="Cambria" w:cs="Cambria"/>
          <w:b/>
          <w:bCs/>
          <w:color w:val="000000"/>
          <w:sz w:val="20"/>
          <w:szCs w:val="20"/>
          <w:lang w:eastAsia="en-US"/>
        </w:rPr>
        <w:t xml:space="preserve">Расходы на управление и страховку </w:t>
      </w:r>
    </w:p>
    <w:p w:rsidR="002176D6" w:rsidRDefault="002176D6" w:rsidP="002176D6">
      <w:pPr>
        <w:ind w:firstLine="709"/>
        <w:jc w:val="both"/>
        <w:rPr>
          <w:rFonts w:ascii="Cambria" w:eastAsiaTheme="minorHAnsi" w:hAnsi="Cambria" w:cs="Cambria"/>
          <w:color w:val="000000"/>
          <w:sz w:val="20"/>
          <w:szCs w:val="20"/>
          <w:lang w:eastAsia="en-US"/>
        </w:rPr>
      </w:pPr>
      <w:r w:rsidRPr="002176D6">
        <w:rPr>
          <w:rFonts w:ascii="Cambria" w:eastAsiaTheme="minorHAnsi" w:hAnsi="Cambria" w:cs="Cambria"/>
          <w:color w:val="000000"/>
          <w:sz w:val="20"/>
          <w:szCs w:val="20"/>
          <w:lang w:eastAsia="en-US"/>
        </w:rPr>
        <w:t>Расходы арендодателя по управлению объектом принимаем на уровне 3,0 % валовых доходов. Страховые платежи принимаем на уровне 0,5% ВС (расчет с учетом округления</w:t>
      </w:r>
      <w:r w:rsidR="00305BC3">
        <w:rPr>
          <w:rFonts w:ascii="Cambria" w:eastAsiaTheme="minorHAnsi" w:hAnsi="Cambria" w:cs="Cambria"/>
          <w:color w:val="000000"/>
          <w:sz w:val="20"/>
          <w:szCs w:val="20"/>
          <w:lang w:eastAsia="en-US"/>
        </w:rPr>
        <w:t xml:space="preserve"> по аналогии  с расчетом для производственного комплекса, см информацию выше по тексту</w:t>
      </w:r>
      <w:r w:rsidRPr="002176D6">
        <w:rPr>
          <w:rFonts w:ascii="Cambria" w:eastAsiaTheme="minorHAnsi" w:hAnsi="Cambria" w:cs="Cambria"/>
          <w:color w:val="000000"/>
          <w:sz w:val="20"/>
          <w:szCs w:val="20"/>
          <w:lang w:eastAsia="en-US"/>
        </w:rPr>
        <w:t>).</w:t>
      </w:r>
    </w:p>
    <w:p w:rsidR="002176D6" w:rsidRPr="002176D6" w:rsidRDefault="002176D6" w:rsidP="002176D6">
      <w:pPr>
        <w:ind w:firstLine="142"/>
        <w:jc w:val="center"/>
        <w:rPr>
          <w:rFonts w:asciiTheme="majorHAnsi" w:hAnsiTheme="majorHAnsi"/>
          <w:sz w:val="20"/>
          <w:szCs w:val="20"/>
        </w:rPr>
      </w:pPr>
    </w:p>
    <w:p w:rsidR="002176D6" w:rsidRPr="002176D6" w:rsidRDefault="002176D6" w:rsidP="002176D6">
      <w:pPr>
        <w:autoSpaceDE w:val="0"/>
        <w:autoSpaceDN w:val="0"/>
        <w:adjustRightInd w:val="0"/>
        <w:ind w:firstLine="709"/>
        <w:jc w:val="both"/>
        <w:rPr>
          <w:rFonts w:ascii="Cambria" w:eastAsiaTheme="minorHAnsi" w:hAnsi="Cambria" w:cs="Cambria"/>
          <w:color w:val="000000"/>
          <w:sz w:val="20"/>
          <w:szCs w:val="20"/>
          <w:lang w:eastAsia="en-US"/>
        </w:rPr>
      </w:pPr>
      <w:r w:rsidRPr="002176D6">
        <w:rPr>
          <w:rFonts w:ascii="Cambria" w:eastAsiaTheme="minorHAnsi" w:hAnsi="Cambria" w:cs="Cambria"/>
          <w:b/>
          <w:bCs/>
          <w:color w:val="000000"/>
          <w:sz w:val="20"/>
          <w:szCs w:val="20"/>
          <w:lang w:eastAsia="en-US"/>
        </w:rPr>
        <w:t xml:space="preserve">Расчет ставки дисконтирования и коэффициента капитализации </w:t>
      </w:r>
    </w:p>
    <w:p w:rsidR="002176D6" w:rsidRPr="002176D6" w:rsidRDefault="002176D6" w:rsidP="002176D6">
      <w:pPr>
        <w:autoSpaceDE w:val="0"/>
        <w:autoSpaceDN w:val="0"/>
        <w:adjustRightInd w:val="0"/>
        <w:ind w:firstLine="709"/>
        <w:jc w:val="both"/>
        <w:rPr>
          <w:rFonts w:ascii="Cambria" w:eastAsiaTheme="minorHAnsi" w:hAnsi="Cambria" w:cs="Cambria"/>
          <w:color w:val="000000"/>
          <w:sz w:val="20"/>
          <w:szCs w:val="20"/>
          <w:lang w:eastAsia="en-US"/>
        </w:rPr>
      </w:pPr>
      <w:r w:rsidRPr="002176D6">
        <w:rPr>
          <w:rFonts w:ascii="Cambria" w:eastAsiaTheme="minorHAnsi" w:hAnsi="Cambria" w:cs="Cambria"/>
          <w:color w:val="000000"/>
          <w:sz w:val="20"/>
          <w:szCs w:val="20"/>
          <w:lang w:eastAsia="en-US"/>
        </w:rPr>
        <w:t xml:space="preserve">Коэффициент капитализации состоит из двух частей: 1) ставки доходности инвестиции (капитала), 2) нормы возврата капитала. Ставка дохода на капитал определяется по </w:t>
      </w:r>
      <w:r w:rsidRPr="002176D6">
        <w:rPr>
          <w:rFonts w:ascii="Cambria" w:eastAsiaTheme="minorHAnsi" w:hAnsi="Cambria" w:cs="Cambria"/>
          <w:i/>
          <w:iCs/>
          <w:color w:val="000000"/>
          <w:sz w:val="20"/>
          <w:szCs w:val="20"/>
          <w:lang w:eastAsia="en-US"/>
        </w:rPr>
        <w:t xml:space="preserve">методу кумулятивного построения, </w:t>
      </w:r>
      <w:r w:rsidRPr="002176D6">
        <w:rPr>
          <w:rFonts w:ascii="Cambria" w:eastAsiaTheme="minorHAnsi" w:hAnsi="Cambria" w:cs="Cambria"/>
          <w:color w:val="000000"/>
          <w:sz w:val="20"/>
          <w:szCs w:val="20"/>
          <w:lang w:eastAsia="en-US"/>
        </w:rPr>
        <w:t xml:space="preserve">согласно которому она равна сумме безрисковой ставки, поправки на дополнительный риск капиталовложений, поправки на низкую ликвидность и затрат на инвестиционный менеджмент. </w:t>
      </w:r>
    </w:p>
    <w:p w:rsidR="002176D6" w:rsidRPr="002176D6" w:rsidRDefault="002176D6" w:rsidP="002176D6">
      <w:pPr>
        <w:ind w:firstLine="709"/>
        <w:jc w:val="both"/>
        <w:rPr>
          <w:rFonts w:asciiTheme="majorHAnsi" w:hAnsiTheme="majorHAnsi"/>
          <w:sz w:val="20"/>
          <w:szCs w:val="20"/>
        </w:rPr>
      </w:pPr>
      <w:r w:rsidRPr="002176D6">
        <w:rPr>
          <w:rFonts w:ascii="Cambria" w:eastAsiaTheme="minorHAnsi" w:hAnsi="Cambria" w:cs="Cambria"/>
          <w:color w:val="000000"/>
          <w:sz w:val="20"/>
          <w:szCs w:val="20"/>
          <w:lang w:eastAsia="en-US"/>
        </w:rPr>
        <w:t xml:space="preserve">При определении </w:t>
      </w:r>
      <w:r w:rsidRPr="002176D6">
        <w:rPr>
          <w:rFonts w:ascii="Cambria" w:eastAsiaTheme="minorHAnsi" w:hAnsi="Cambria" w:cs="Cambria"/>
          <w:i/>
          <w:iCs/>
          <w:color w:val="000000"/>
          <w:sz w:val="20"/>
          <w:szCs w:val="20"/>
          <w:lang w:eastAsia="en-US"/>
        </w:rPr>
        <w:t xml:space="preserve">безрисковой ставки </w:t>
      </w:r>
      <w:r w:rsidRPr="002176D6">
        <w:rPr>
          <w:rFonts w:ascii="Cambria" w:eastAsiaTheme="minorHAnsi" w:hAnsi="Cambria" w:cs="Cambria"/>
          <w:color w:val="000000"/>
          <w:sz w:val="20"/>
          <w:szCs w:val="20"/>
          <w:lang w:eastAsia="en-US"/>
        </w:rPr>
        <w:t>делается предположение, что инвестор ожидает получить доход от вложений в оцениваемые объекты в размере не менее процентной ставки наиболее надежных активов. Безрисковая ставка рассчитана в размере 5,14 %.</w:t>
      </w:r>
    </w:p>
    <w:p w:rsidR="002176D6" w:rsidRPr="002176D6" w:rsidRDefault="002176D6" w:rsidP="002176D6">
      <w:pPr>
        <w:ind w:firstLine="709"/>
        <w:jc w:val="both"/>
        <w:rPr>
          <w:rFonts w:asciiTheme="majorHAnsi" w:hAnsiTheme="majorHAnsi"/>
          <w:sz w:val="20"/>
          <w:szCs w:val="20"/>
        </w:rPr>
      </w:pPr>
    </w:p>
    <w:p w:rsidR="002176D6" w:rsidRPr="002176D6" w:rsidRDefault="002176D6" w:rsidP="002176D6">
      <w:pPr>
        <w:jc w:val="center"/>
        <w:rPr>
          <w:rFonts w:asciiTheme="majorHAnsi" w:eastAsiaTheme="majorEastAsia" w:hAnsiTheme="majorHAnsi" w:cstheme="majorBidi"/>
          <w:b/>
          <w:bCs/>
          <w:sz w:val="20"/>
          <w:szCs w:val="20"/>
        </w:rPr>
      </w:pPr>
      <w:r w:rsidRPr="002176D6">
        <w:rPr>
          <w:noProof/>
        </w:rPr>
        <w:drawing>
          <wp:inline distT="0" distB="0" distL="0" distR="0" wp14:anchorId="1498DFF7" wp14:editId="47D4C42C">
            <wp:extent cx="6150254" cy="2390775"/>
            <wp:effectExtent l="0" t="0" r="0" b="0"/>
            <wp:docPr id="1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21"/>
                    <a:srcRect t="4133" b="30579"/>
                    <a:stretch/>
                  </pic:blipFill>
                  <pic:spPr bwMode="auto">
                    <a:xfrm>
                      <a:off x="0" y="0"/>
                      <a:ext cx="6152515" cy="2391654"/>
                    </a:xfrm>
                    <a:prstGeom prst="rect">
                      <a:avLst/>
                    </a:prstGeom>
                    <a:ln>
                      <a:noFill/>
                    </a:ln>
                    <a:extLst>
                      <a:ext uri="{53640926-AAD7-44D8-BBD7-CCE9431645EC}">
                        <a14:shadowObscured xmlns:a14="http://schemas.microsoft.com/office/drawing/2010/main"/>
                      </a:ext>
                    </a:extLst>
                  </pic:spPr>
                </pic:pic>
              </a:graphicData>
            </a:graphic>
          </wp:inline>
        </w:drawing>
      </w:r>
    </w:p>
    <w:p w:rsidR="002176D6" w:rsidRPr="002176D6" w:rsidRDefault="002176D6" w:rsidP="002176D6">
      <w:pPr>
        <w:autoSpaceDE w:val="0"/>
        <w:autoSpaceDN w:val="0"/>
        <w:adjustRightInd w:val="0"/>
        <w:ind w:firstLine="709"/>
        <w:jc w:val="both"/>
        <w:rPr>
          <w:rFonts w:ascii="Cambria" w:eastAsiaTheme="minorHAnsi" w:hAnsi="Cambria" w:cs="Cambria"/>
          <w:color w:val="000000"/>
          <w:sz w:val="20"/>
          <w:szCs w:val="20"/>
          <w:lang w:eastAsia="en-US"/>
        </w:rPr>
      </w:pPr>
      <w:r w:rsidRPr="002176D6">
        <w:rPr>
          <w:rFonts w:ascii="Cambria" w:eastAsiaTheme="minorHAnsi" w:hAnsi="Cambria" w:cs="Cambria"/>
          <w:i/>
          <w:iCs/>
          <w:color w:val="000000"/>
          <w:sz w:val="20"/>
          <w:szCs w:val="20"/>
          <w:lang w:eastAsia="en-US"/>
        </w:rPr>
        <w:lastRenderedPageBreak/>
        <w:t xml:space="preserve">Надбавка за риск вложения в недвижимость. </w:t>
      </w:r>
      <w:r w:rsidRPr="002176D6">
        <w:rPr>
          <w:rFonts w:ascii="Cambria" w:eastAsiaTheme="minorHAnsi" w:hAnsi="Cambria" w:cs="Cambria"/>
          <w:color w:val="000000"/>
          <w:sz w:val="20"/>
          <w:szCs w:val="20"/>
          <w:lang w:eastAsia="en-US"/>
        </w:rPr>
        <w:t xml:space="preserve">В данном случае учитывается возможность случайной потери потребительской стоимости объекта, надбавка может быть принята в размере страховых отчислений в страховых компаниях высшей категории надежности, например, то есть в размере 0,5%. </w:t>
      </w:r>
    </w:p>
    <w:p w:rsidR="002176D6" w:rsidRPr="002176D6" w:rsidRDefault="002176D6" w:rsidP="002176D6">
      <w:pPr>
        <w:autoSpaceDE w:val="0"/>
        <w:autoSpaceDN w:val="0"/>
        <w:adjustRightInd w:val="0"/>
        <w:jc w:val="both"/>
        <w:rPr>
          <w:rFonts w:ascii="Cambria" w:eastAsiaTheme="minorHAnsi" w:hAnsi="Cambria" w:cs="Cambria"/>
          <w:color w:val="000000"/>
          <w:sz w:val="20"/>
          <w:szCs w:val="20"/>
          <w:lang w:eastAsia="en-US"/>
        </w:rPr>
      </w:pPr>
      <w:r w:rsidRPr="002176D6">
        <w:rPr>
          <w:rFonts w:ascii="Cambria" w:eastAsiaTheme="minorHAnsi" w:hAnsi="Cambria" w:cs="Cambria"/>
          <w:i/>
          <w:iCs/>
          <w:color w:val="000000"/>
          <w:sz w:val="20"/>
          <w:szCs w:val="20"/>
          <w:lang w:eastAsia="en-US"/>
        </w:rPr>
        <w:t>Надбавка за низкую ликвидность</w:t>
      </w:r>
      <w:r w:rsidRPr="002176D6">
        <w:rPr>
          <w:rFonts w:ascii="Cambria" w:eastAsiaTheme="minorHAnsi" w:hAnsi="Cambria" w:cs="Cambria"/>
          <w:color w:val="000000"/>
          <w:sz w:val="20"/>
          <w:szCs w:val="20"/>
          <w:lang w:eastAsia="en-US"/>
        </w:rPr>
        <w:t xml:space="preserve">. Фактор ликвидности рынка – это риск, связанный с возможными финансовыми потерями при реализации объекта недвижимости из-за недостаточной развитости или неустойчивости рынка. Срок экспозиции аналогичных объектов составляет порядка от 3 месяцев до 1-го года. Исходя из наиболее оптимального срока экспозиции </w:t>
      </w:r>
      <w:r w:rsidR="00305BC3">
        <w:rPr>
          <w:rFonts w:ascii="Cambria" w:eastAsiaTheme="minorHAnsi" w:hAnsi="Cambria" w:cs="Cambria"/>
          <w:color w:val="000000"/>
          <w:sz w:val="20"/>
          <w:szCs w:val="20"/>
          <w:lang w:eastAsia="en-US"/>
        </w:rPr>
        <w:t>4</w:t>
      </w:r>
      <w:r w:rsidRPr="002176D6">
        <w:rPr>
          <w:rFonts w:ascii="Cambria" w:eastAsiaTheme="minorHAnsi" w:hAnsi="Cambria" w:cs="Cambria"/>
          <w:color w:val="000000"/>
          <w:sz w:val="20"/>
          <w:szCs w:val="20"/>
          <w:lang w:eastAsia="en-US"/>
        </w:rPr>
        <w:t xml:space="preserve"> мес. можно рассчитать значение данного показателя: </w:t>
      </w:r>
    </w:p>
    <w:p w:rsidR="002176D6" w:rsidRPr="002176D6" w:rsidRDefault="002176D6" w:rsidP="002176D6">
      <w:pPr>
        <w:autoSpaceDE w:val="0"/>
        <w:autoSpaceDN w:val="0"/>
        <w:adjustRightInd w:val="0"/>
        <w:jc w:val="center"/>
        <w:rPr>
          <w:rFonts w:ascii="Cambria" w:eastAsiaTheme="minorHAnsi" w:hAnsi="Cambria" w:cs="Cambria"/>
          <w:color w:val="000000"/>
          <w:sz w:val="20"/>
          <w:szCs w:val="20"/>
          <w:lang w:eastAsia="en-US"/>
        </w:rPr>
      </w:pPr>
      <w:r w:rsidRPr="002176D6">
        <w:rPr>
          <w:rFonts w:ascii="Cambria" w:eastAsiaTheme="minorHAnsi" w:hAnsi="Cambria" w:cs="Cambria"/>
          <w:color w:val="000000"/>
          <w:sz w:val="20"/>
          <w:szCs w:val="20"/>
          <w:lang w:eastAsia="en-US"/>
        </w:rPr>
        <w:t>П</w:t>
      </w:r>
      <w:r w:rsidRPr="002176D6">
        <w:rPr>
          <w:rFonts w:ascii="Cambria" w:eastAsiaTheme="minorHAnsi" w:hAnsi="Cambria" w:cs="Cambria"/>
          <w:color w:val="000000"/>
          <w:sz w:val="13"/>
          <w:szCs w:val="13"/>
          <w:lang w:eastAsia="en-US"/>
        </w:rPr>
        <w:t xml:space="preserve">ликв </w:t>
      </w:r>
      <w:r w:rsidRPr="002176D6">
        <w:rPr>
          <w:rFonts w:ascii="Cambria" w:eastAsiaTheme="minorHAnsi" w:hAnsi="Cambria" w:cs="Cambria"/>
          <w:color w:val="000000"/>
          <w:sz w:val="20"/>
          <w:szCs w:val="20"/>
          <w:lang w:eastAsia="en-US"/>
        </w:rPr>
        <w:t>= Т х R / 12,</w:t>
      </w:r>
    </w:p>
    <w:p w:rsidR="002176D6" w:rsidRPr="002176D6" w:rsidRDefault="002176D6" w:rsidP="002176D6">
      <w:pPr>
        <w:autoSpaceDE w:val="0"/>
        <w:autoSpaceDN w:val="0"/>
        <w:adjustRightInd w:val="0"/>
        <w:jc w:val="center"/>
        <w:rPr>
          <w:rFonts w:ascii="Cambria" w:eastAsiaTheme="minorHAnsi" w:hAnsi="Cambria" w:cs="Cambria"/>
          <w:color w:val="000000"/>
          <w:sz w:val="20"/>
          <w:szCs w:val="20"/>
          <w:lang w:eastAsia="en-US"/>
        </w:rPr>
      </w:pPr>
      <w:r w:rsidRPr="002176D6">
        <w:rPr>
          <w:rFonts w:ascii="Cambria" w:eastAsiaTheme="minorHAnsi" w:hAnsi="Cambria" w:cs="Cambria"/>
          <w:color w:val="000000"/>
          <w:sz w:val="20"/>
          <w:szCs w:val="20"/>
          <w:lang w:eastAsia="en-US"/>
        </w:rPr>
        <w:t>где: T – средний требуемый срок экспозиции объекта (п</w:t>
      </w:r>
      <w:r w:rsidR="00305BC3">
        <w:rPr>
          <w:rFonts w:ascii="Cambria" w:eastAsiaTheme="minorHAnsi" w:hAnsi="Cambria" w:cs="Cambria"/>
          <w:color w:val="000000"/>
          <w:sz w:val="20"/>
          <w:szCs w:val="20"/>
          <w:lang w:eastAsia="en-US"/>
        </w:rPr>
        <w:t>ринимаем значение диапазона – 04</w:t>
      </w:r>
      <w:r w:rsidRPr="002176D6">
        <w:rPr>
          <w:rFonts w:ascii="Cambria" w:eastAsiaTheme="minorHAnsi" w:hAnsi="Cambria" w:cs="Cambria"/>
          <w:color w:val="000000"/>
          <w:sz w:val="20"/>
          <w:szCs w:val="20"/>
          <w:lang w:eastAsia="en-US"/>
        </w:rPr>
        <w:t xml:space="preserve"> мес.),</w:t>
      </w:r>
    </w:p>
    <w:p w:rsidR="002176D6" w:rsidRPr="002176D6" w:rsidRDefault="002176D6" w:rsidP="002176D6">
      <w:pPr>
        <w:jc w:val="center"/>
        <w:rPr>
          <w:rFonts w:ascii="Cambria" w:eastAsiaTheme="minorHAnsi" w:hAnsi="Cambria" w:cs="Cambria"/>
          <w:color w:val="000000"/>
          <w:sz w:val="20"/>
          <w:szCs w:val="20"/>
          <w:lang w:eastAsia="en-US"/>
        </w:rPr>
      </w:pPr>
    </w:p>
    <w:p w:rsidR="002176D6" w:rsidRPr="002176D6" w:rsidRDefault="002176D6" w:rsidP="002176D6">
      <w:pPr>
        <w:jc w:val="center"/>
        <w:rPr>
          <w:rFonts w:ascii="Cambria" w:eastAsiaTheme="minorHAnsi" w:hAnsi="Cambria" w:cs="Cambria"/>
          <w:color w:val="000000"/>
          <w:sz w:val="20"/>
          <w:szCs w:val="20"/>
          <w:lang w:eastAsia="en-US"/>
        </w:rPr>
      </w:pPr>
      <w:r w:rsidRPr="002176D6">
        <w:rPr>
          <w:rFonts w:ascii="Cambria" w:eastAsiaTheme="minorHAnsi" w:hAnsi="Cambria" w:cs="Cambria"/>
          <w:color w:val="000000"/>
          <w:sz w:val="20"/>
          <w:szCs w:val="20"/>
          <w:lang w:eastAsia="en-US"/>
        </w:rPr>
        <w:t>R – безрисковая ставка.</w:t>
      </w:r>
    </w:p>
    <w:p w:rsidR="002176D6" w:rsidRPr="002176D6" w:rsidRDefault="00305BC3" w:rsidP="002176D6">
      <w:pPr>
        <w:autoSpaceDE w:val="0"/>
        <w:autoSpaceDN w:val="0"/>
        <w:adjustRightInd w:val="0"/>
        <w:jc w:val="center"/>
        <w:rPr>
          <w:rFonts w:ascii="Cambria" w:eastAsiaTheme="minorHAnsi" w:hAnsi="Cambria" w:cs="Cambria"/>
          <w:color w:val="000000"/>
          <w:sz w:val="20"/>
          <w:szCs w:val="20"/>
          <w:lang w:eastAsia="en-US"/>
        </w:rPr>
      </w:pPr>
      <w:r>
        <w:rPr>
          <w:rFonts w:ascii="Cambria" w:eastAsiaTheme="minorHAnsi" w:hAnsi="Cambria" w:cs="Cambria"/>
          <w:color w:val="000000"/>
          <w:sz w:val="20"/>
          <w:szCs w:val="20"/>
          <w:lang w:eastAsia="en-US"/>
        </w:rPr>
        <w:t>4</w:t>
      </w:r>
      <w:r w:rsidR="002176D6" w:rsidRPr="002176D6">
        <w:rPr>
          <w:rFonts w:ascii="Cambria" w:eastAsiaTheme="minorHAnsi" w:hAnsi="Cambria" w:cs="Cambria"/>
          <w:color w:val="000000"/>
          <w:sz w:val="20"/>
          <w:szCs w:val="20"/>
          <w:lang w:eastAsia="en-US"/>
        </w:rPr>
        <w:t xml:space="preserve"> х 5,14/ 12= </w:t>
      </w:r>
      <w:r>
        <w:rPr>
          <w:rFonts w:ascii="Cambria" w:eastAsiaTheme="minorHAnsi" w:hAnsi="Cambria" w:cs="Cambria"/>
          <w:color w:val="000000"/>
          <w:sz w:val="20"/>
          <w:szCs w:val="20"/>
          <w:lang w:eastAsia="en-US"/>
        </w:rPr>
        <w:t>1,713</w:t>
      </w:r>
      <w:r w:rsidR="002176D6" w:rsidRPr="002176D6">
        <w:rPr>
          <w:rFonts w:ascii="Cambria" w:eastAsiaTheme="minorHAnsi" w:hAnsi="Cambria" w:cs="Cambria"/>
          <w:color w:val="000000"/>
          <w:sz w:val="20"/>
          <w:szCs w:val="20"/>
          <w:lang w:eastAsia="en-US"/>
        </w:rPr>
        <w:t>%.</w:t>
      </w:r>
    </w:p>
    <w:p w:rsidR="002176D6" w:rsidRPr="002176D6" w:rsidRDefault="002176D6" w:rsidP="002176D6">
      <w:pPr>
        <w:autoSpaceDE w:val="0"/>
        <w:autoSpaceDN w:val="0"/>
        <w:adjustRightInd w:val="0"/>
        <w:ind w:firstLine="709"/>
        <w:jc w:val="both"/>
        <w:rPr>
          <w:rFonts w:ascii="Cambria" w:eastAsiaTheme="minorHAnsi" w:hAnsi="Cambria" w:cs="Cambria"/>
          <w:color w:val="000000"/>
          <w:sz w:val="20"/>
          <w:szCs w:val="20"/>
          <w:lang w:eastAsia="en-US"/>
        </w:rPr>
      </w:pPr>
    </w:p>
    <w:p w:rsidR="002176D6" w:rsidRPr="002176D6" w:rsidRDefault="002176D6" w:rsidP="002176D6">
      <w:pPr>
        <w:autoSpaceDE w:val="0"/>
        <w:autoSpaceDN w:val="0"/>
        <w:adjustRightInd w:val="0"/>
        <w:ind w:firstLine="709"/>
        <w:jc w:val="both"/>
        <w:rPr>
          <w:rFonts w:ascii="Cambria" w:eastAsiaTheme="minorHAnsi" w:hAnsi="Cambria" w:cs="Cambria"/>
          <w:color w:val="000000"/>
          <w:sz w:val="20"/>
          <w:szCs w:val="20"/>
          <w:lang w:eastAsia="en-US"/>
        </w:rPr>
      </w:pPr>
      <w:r w:rsidRPr="002176D6">
        <w:rPr>
          <w:rFonts w:ascii="Cambria" w:eastAsiaTheme="minorHAnsi" w:hAnsi="Cambria" w:cs="Cambria"/>
          <w:color w:val="000000"/>
          <w:sz w:val="20"/>
          <w:szCs w:val="20"/>
          <w:lang w:eastAsia="en-US"/>
        </w:rPr>
        <w:t xml:space="preserve">Таким образом, принимаем ставку в </w:t>
      </w:r>
      <w:r w:rsidR="00305BC3">
        <w:rPr>
          <w:rFonts w:ascii="Cambria" w:eastAsiaTheme="minorHAnsi" w:hAnsi="Cambria" w:cs="Cambria"/>
          <w:b/>
          <w:color w:val="000000"/>
          <w:sz w:val="20"/>
          <w:szCs w:val="20"/>
          <w:lang w:eastAsia="en-US"/>
        </w:rPr>
        <w:t>1,713</w:t>
      </w:r>
      <w:r w:rsidRPr="002176D6">
        <w:rPr>
          <w:rFonts w:ascii="Cambria" w:eastAsiaTheme="minorHAnsi" w:hAnsi="Cambria" w:cs="Cambria"/>
          <w:b/>
          <w:color w:val="000000"/>
          <w:sz w:val="20"/>
          <w:szCs w:val="20"/>
          <w:lang w:eastAsia="en-US"/>
        </w:rPr>
        <w:t xml:space="preserve"> %</w:t>
      </w:r>
      <w:r w:rsidRPr="002176D6">
        <w:rPr>
          <w:rFonts w:ascii="Cambria" w:eastAsiaTheme="minorHAnsi" w:hAnsi="Cambria" w:cs="Cambria"/>
          <w:color w:val="000000"/>
          <w:sz w:val="20"/>
          <w:szCs w:val="20"/>
          <w:lang w:eastAsia="en-US"/>
        </w:rPr>
        <w:t xml:space="preserve"> в качестве показателя поправки на ликвидность. </w:t>
      </w:r>
    </w:p>
    <w:p w:rsidR="002176D6" w:rsidRPr="002176D6" w:rsidRDefault="002176D6" w:rsidP="002176D6">
      <w:pPr>
        <w:autoSpaceDE w:val="0"/>
        <w:autoSpaceDN w:val="0"/>
        <w:adjustRightInd w:val="0"/>
        <w:ind w:firstLine="709"/>
        <w:jc w:val="both"/>
        <w:rPr>
          <w:rFonts w:ascii="Cambria" w:eastAsiaTheme="minorHAnsi" w:hAnsi="Cambria" w:cs="Cambria"/>
          <w:color w:val="000000"/>
          <w:sz w:val="20"/>
          <w:szCs w:val="20"/>
          <w:lang w:eastAsia="en-US"/>
        </w:rPr>
      </w:pPr>
      <w:r w:rsidRPr="002176D6">
        <w:rPr>
          <w:rFonts w:ascii="Cambria" w:eastAsiaTheme="minorHAnsi" w:hAnsi="Cambria" w:cs="Cambria"/>
          <w:bCs/>
          <w:i/>
          <w:iCs/>
          <w:color w:val="000000"/>
          <w:sz w:val="20"/>
          <w:szCs w:val="20"/>
          <w:lang w:eastAsia="en-US"/>
        </w:rPr>
        <w:t>Надбавка на инвестиционный менеджмент</w:t>
      </w:r>
      <w:r w:rsidRPr="002176D6">
        <w:rPr>
          <w:rFonts w:ascii="Cambria" w:eastAsiaTheme="minorHAnsi" w:hAnsi="Cambria" w:cs="Cambria"/>
          <w:i/>
          <w:iCs/>
          <w:color w:val="000000"/>
          <w:sz w:val="20"/>
          <w:szCs w:val="20"/>
          <w:lang w:eastAsia="en-US"/>
        </w:rPr>
        <w:t xml:space="preserve">. </w:t>
      </w:r>
      <w:r w:rsidRPr="002176D6">
        <w:rPr>
          <w:rFonts w:ascii="Cambria" w:eastAsiaTheme="minorHAnsi" w:hAnsi="Cambria" w:cs="Cambria"/>
          <w:color w:val="000000"/>
          <w:sz w:val="20"/>
          <w:szCs w:val="20"/>
          <w:lang w:eastAsia="en-US"/>
        </w:rPr>
        <w:t xml:space="preserve">Инвестиционный менеджмент — процесс управления всеми аспектами инвестиционной деятельности. Включает управление инвестиционной деятельностью в государственных масштабах, что предполагает регулирование, контроль, стимулирование и сдерживание инвестиционной деятельности законодательными и регламентирующими методами. Управление отдельными инвестиционными проектами, в том числе деятельность по планированию, организации, мотивации и контролю на протяжении жизненного цикла проекта путём применения системы современных методов и техники управления, которая имеет целью обеспечение наиболее эффективной реализации определённых в инвестиционном проекте результатов по составу и объёму работ, стоимости, качеству и удовлетворению участников инвестиционного проекта. Управление инвестиционной деятельностью отдельного хозяйствующего субъекта — предприятия, предполагающее управление инвестиционным портфелем предприятия (его формирование, мониторинг, оценка качества, реинвестирование и др.), управление оборотным капиталом (краткосрочные инвестиции) и т. п. Чем более рискованны и сложны инвестиции, тем более компетентного управления они требуют. Надбавку за инвестиционный менеджмент целесообразно рассчитывать с учетом коэффициента недогрузки и потерь при сборе арендных платежей. </w:t>
      </w:r>
    </w:p>
    <w:p w:rsidR="002176D6" w:rsidRPr="002176D6" w:rsidRDefault="002176D6" w:rsidP="002176D6">
      <w:pPr>
        <w:autoSpaceDE w:val="0"/>
        <w:autoSpaceDN w:val="0"/>
        <w:adjustRightInd w:val="0"/>
        <w:ind w:firstLine="709"/>
        <w:jc w:val="both"/>
        <w:rPr>
          <w:rFonts w:ascii="Cambria" w:eastAsiaTheme="minorHAnsi" w:hAnsi="Cambria" w:cs="Cambria"/>
          <w:color w:val="000000"/>
          <w:sz w:val="20"/>
          <w:szCs w:val="20"/>
          <w:lang w:eastAsia="en-US"/>
        </w:rPr>
      </w:pPr>
      <w:r w:rsidRPr="002176D6">
        <w:rPr>
          <w:rFonts w:ascii="Cambria" w:eastAsiaTheme="minorHAnsi" w:hAnsi="Cambria" w:cs="Cambria"/>
          <w:color w:val="000000"/>
          <w:sz w:val="20"/>
          <w:szCs w:val="20"/>
          <w:lang w:eastAsia="en-US"/>
        </w:rPr>
        <w:t xml:space="preserve">В связи с тем, что затраты на инвестиционный менеджмент по своей экономической сущности соответствуют процессу управления инвестициями (таким же образом как и объектом недвижимости, объектами имущественных и других прав), размер этих затрат принят на уровне затрат, связанных с управлением самим объектом недвижимости. </w:t>
      </w:r>
    </w:p>
    <w:p w:rsidR="002176D6" w:rsidRPr="002176D6" w:rsidRDefault="002176D6" w:rsidP="002176D6">
      <w:pPr>
        <w:ind w:firstLine="709"/>
        <w:jc w:val="both"/>
        <w:rPr>
          <w:rFonts w:ascii="Cambria" w:eastAsiaTheme="minorHAnsi" w:hAnsi="Cambria" w:cs="Cambria"/>
          <w:color w:val="000000"/>
          <w:sz w:val="20"/>
          <w:szCs w:val="20"/>
          <w:lang w:eastAsia="en-US"/>
        </w:rPr>
      </w:pPr>
      <w:r w:rsidRPr="002176D6">
        <w:rPr>
          <w:rFonts w:ascii="Cambria" w:eastAsiaTheme="minorHAnsi" w:hAnsi="Cambria" w:cs="Cambria"/>
          <w:color w:val="000000"/>
          <w:sz w:val="20"/>
          <w:szCs w:val="20"/>
          <w:lang w:eastAsia="en-US"/>
        </w:rPr>
        <w:t>Расчет данной надбавки произведен исходя из особенностей местоположения объекта оценки и ожидаемой заполняемости. Примем для данного объекта на минимальном уровне 0,5 % в год на основании данных управляющих компаний, в том числе:</w:t>
      </w:r>
    </w:p>
    <w:p w:rsidR="002176D6" w:rsidRPr="002176D6" w:rsidRDefault="002176D6" w:rsidP="002176D6">
      <w:pPr>
        <w:ind w:firstLine="709"/>
        <w:jc w:val="both"/>
        <w:rPr>
          <w:rFonts w:ascii="Cambria" w:eastAsiaTheme="minorHAnsi" w:hAnsi="Cambria" w:cs="Cambria"/>
          <w:color w:val="000000"/>
          <w:sz w:val="20"/>
          <w:szCs w:val="20"/>
          <w:lang w:eastAsia="en-US"/>
        </w:rPr>
      </w:pPr>
    </w:p>
    <w:p w:rsidR="002176D6" w:rsidRPr="002176D6" w:rsidRDefault="002176D6" w:rsidP="002176D6">
      <w:pPr>
        <w:ind w:firstLine="709"/>
        <w:jc w:val="both"/>
        <w:rPr>
          <w:rFonts w:ascii="Cambria" w:eastAsiaTheme="minorHAnsi" w:hAnsi="Cambria" w:cs="Cambria"/>
          <w:color w:val="000000"/>
          <w:sz w:val="20"/>
          <w:szCs w:val="20"/>
          <w:lang w:eastAsia="en-US"/>
        </w:rPr>
      </w:pPr>
    </w:p>
    <w:tbl>
      <w:tblPr>
        <w:tblW w:w="9372"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A0" w:firstRow="1" w:lastRow="0" w:firstColumn="1" w:lastColumn="0" w:noHBand="0" w:noVBand="0"/>
      </w:tblPr>
      <w:tblGrid>
        <w:gridCol w:w="3135"/>
        <w:gridCol w:w="1843"/>
        <w:gridCol w:w="1417"/>
        <w:gridCol w:w="1920"/>
        <w:gridCol w:w="1057"/>
      </w:tblGrid>
      <w:tr w:rsidR="002176D6" w:rsidRPr="002176D6" w:rsidTr="002176D6">
        <w:trPr>
          <w:trHeight w:val="20"/>
          <w:jc w:val="center"/>
        </w:trPr>
        <w:tc>
          <w:tcPr>
            <w:tcW w:w="3134" w:type="dxa"/>
            <w:tcBorders>
              <w:top w:val="double" w:sz="4" w:space="0" w:color="auto"/>
              <w:left w:val="double" w:sz="4" w:space="0" w:color="auto"/>
              <w:bottom w:val="single" w:sz="6" w:space="0" w:color="auto"/>
              <w:right w:val="single" w:sz="6" w:space="0" w:color="auto"/>
            </w:tcBorders>
            <w:shd w:val="clear" w:color="auto" w:fill="F2F2F2" w:themeFill="background1" w:themeFillShade="F2"/>
            <w:vAlign w:val="center"/>
            <w:hideMark/>
          </w:tcPr>
          <w:p w:rsidR="002176D6" w:rsidRPr="002176D6" w:rsidRDefault="002176D6" w:rsidP="002176D6">
            <w:pPr>
              <w:jc w:val="center"/>
              <w:rPr>
                <w:rFonts w:asciiTheme="majorHAnsi" w:hAnsiTheme="majorHAnsi" w:cs="Calibri"/>
                <w:b/>
                <w:color w:val="000000"/>
                <w:sz w:val="16"/>
                <w:szCs w:val="16"/>
              </w:rPr>
            </w:pPr>
            <w:r w:rsidRPr="002176D6">
              <w:rPr>
                <w:rFonts w:asciiTheme="majorHAnsi" w:hAnsiTheme="majorHAnsi" w:cs="Calibri"/>
                <w:b/>
                <w:color w:val="000000"/>
                <w:sz w:val="16"/>
                <w:szCs w:val="16"/>
              </w:rPr>
              <w:t xml:space="preserve">Управляющая компания  </w:t>
            </w:r>
          </w:p>
        </w:tc>
        <w:tc>
          <w:tcPr>
            <w:tcW w:w="1843" w:type="dxa"/>
            <w:tcBorders>
              <w:top w:val="double" w:sz="4" w:space="0" w:color="auto"/>
              <w:left w:val="single" w:sz="6" w:space="0" w:color="auto"/>
              <w:bottom w:val="single" w:sz="6" w:space="0" w:color="auto"/>
              <w:right w:val="single" w:sz="6" w:space="0" w:color="auto"/>
            </w:tcBorders>
            <w:shd w:val="clear" w:color="auto" w:fill="F2F2F2" w:themeFill="background1" w:themeFillShade="F2"/>
            <w:noWrap/>
            <w:vAlign w:val="center"/>
            <w:hideMark/>
          </w:tcPr>
          <w:p w:rsidR="002176D6" w:rsidRPr="002176D6" w:rsidRDefault="002176D6" w:rsidP="002176D6">
            <w:pPr>
              <w:jc w:val="center"/>
              <w:rPr>
                <w:rFonts w:asciiTheme="majorHAnsi" w:hAnsiTheme="majorHAnsi" w:cs="Calibri"/>
                <w:b/>
                <w:color w:val="000000"/>
                <w:sz w:val="16"/>
                <w:szCs w:val="16"/>
              </w:rPr>
            </w:pPr>
            <w:r w:rsidRPr="002176D6">
              <w:rPr>
                <w:rFonts w:asciiTheme="majorHAnsi" w:hAnsiTheme="majorHAnsi" w:cs="Calibri"/>
                <w:b/>
                <w:color w:val="000000"/>
                <w:sz w:val="16"/>
                <w:szCs w:val="16"/>
              </w:rPr>
              <w:t>Рейтинг</w:t>
            </w:r>
          </w:p>
        </w:tc>
        <w:tc>
          <w:tcPr>
            <w:tcW w:w="1417" w:type="dxa"/>
            <w:tcBorders>
              <w:top w:val="double" w:sz="4" w:space="0" w:color="auto"/>
              <w:left w:val="single" w:sz="6" w:space="0" w:color="auto"/>
              <w:bottom w:val="single" w:sz="6" w:space="0" w:color="auto"/>
              <w:right w:val="single" w:sz="6" w:space="0" w:color="auto"/>
            </w:tcBorders>
            <w:shd w:val="clear" w:color="auto" w:fill="F2F2F2" w:themeFill="background1" w:themeFillShade="F2"/>
            <w:vAlign w:val="center"/>
            <w:hideMark/>
          </w:tcPr>
          <w:p w:rsidR="002176D6" w:rsidRPr="002176D6" w:rsidRDefault="002176D6" w:rsidP="002176D6">
            <w:pPr>
              <w:jc w:val="center"/>
              <w:rPr>
                <w:rFonts w:asciiTheme="majorHAnsi" w:hAnsiTheme="majorHAnsi" w:cs="Calibri"/>
                <w:b/>
                <w:color w:val="000000"/>
                <w:sz w:val="16"/>
                <w:szCs w:val="16"/>
              </w:rPr>
            </w:pPr>
            <w:r w:rsidRPr="002176D6">
              <w:rPr>
                <w:rFonts w:asciiTheme="majorHAnsi" w:hAnsiTheme="majorHAnsi" w:cs="Calibri"/>
                <w:b/>
                <w:color w:val="000000"/>
                <w:sz w:val="16"/>
                <w:szCs w:val="16"/>
              </w:rPr>
              <w:t>Название фонда</w:t>
            </w:r>
          </w:p>
        </w:tc>
        <w:tc>
          <w:tcPr>
            <w:tcW w:w="1920" w:type="dxa"/>
            <w:tcBorders>
              <w:top w:val="double" w:sz="4" w:space="0" w:color="auto"/>
              <w:left w:val="single" w:sz="6" w:space="0" w:color="auto"/>
              <w:bottom w:val="single" w:sz="6" w:space="0" w:color="auto"/>
              <w:right w:val="single" w:sz="6" w:space="0" w:color="auto"/>
            </w:tcBorders>
            <w:shd w:val="clear" w:color="auto" w:fill="F2F2F2" w:themeFill="background1" w:themeFillShade="F2"/>
            <w:vAlign w:val="center"/>
            <w:hideMark/>
          </w:tcPr>
          <w:p w:rsidR="002176D6" w:rsidRPr="002176D6" w:rsidRDefault="002176D6" w:rsidP="002176D6">
            <w:pPr>
              <w:jc w:val="center"/>
              <w:rPr>
                <w:rFonts w:asciiTheme="majorHAnsi" w:hAnsiTheme="majorHAnsi" w:cs="Calibri"/>
                <w:b/>
                <w:color w:val="000000"/>
                <w:sz w:val="16"/>
                <w:szCs w:val="16"/>
              </w:rPr>
            </w:pPr>
            <w:r w:rsidRPr="002176D6">
              <w:rPr>
                <w:rFonts w:asciiTheme="majorHAnsi" w:hAnsiTheme="majorHAnsi" w:cs="Calibri"/>
                <w:b/>
                <w:color w:val="000000"/>
                <w:sz w:val="16"/>
                <w:szCs w:val="16"/>
              </w:rPr>
              <w:t>Тип. Объекта инвестирования. Отрасль</w:t>
            </w:r>
          </w:p>
        </w:tc>
        <w:tc>
          <w:tcPr>
            <w:tcW w:w="1057" w:type="dxa"/>
            <w:tcBorders>
              <w:top w:val="double" w:sz="4" w:space="0" w:color="auto"/>
              <w:left w:val="single" w:sz="6" w:space="0" w:color="auto"/>
              <w:bottom w:val="single" w:sz="6" w:space="0" w:color="auto"/>
              <w:right w:val="double" w:sz="4" w:space="0" w:color="auto"/>
            </w:tcBorders>
            <w:shd w:val="clear" w:color="auto" w:fill="F2F2F2" w:themeFill="background1" w:themeFillShade="F2"/>
            <w:vAlign w:val="center"/>
            <w:hideMark/>
          </w:tcPr>
          <w:p w:rsidR="002176D6" w:rsidRPr="002176D6" w:rsidRDefault="002176D6" w:rsidP="002176D6">
            <w:pPr>
              <w:jc w:val="center"/>
              <w:rPr>
                <w:rFonts w:asciiTheme="majorHAnsi" w:hAnsiTheme="majorHAnsi" w:cs="Calibri"/>
                <w:b/>
                <w:color w:val="000000"/>
                <w:sz w:val="16"/>
                <w:szCs w:val="16"/>
              </w:rPr>
            </w:pPr>
            <w:r w:rsidRPr="002176D6">
              <w:rPr>
                <w:rFonts w:asciiTheme="majorHAnsi" w:hAnsiTheme="majorHAnsi" w:cs="Calibri"/>
                <w:b/>
                <w:color w:val="000000"/>
                <w:sz w:val="16"/>
                <w:szCs w:val="16"/>
              </w:rPr>
              <w:t>Вознаграждение УК, %</w:t>
            </w:r>
          </w:p>
        </w:tc>
      </w:tr>
      <w:tr w:rsidR="002176D6" w:rsidRPr="002176D6" w:rsidTr="002176D6">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Закрытое акционерное общество «Управляющая компания Мономах», Новосибирск, пр-т Ак. Лаврентьева, д., 2/2 Тел., факс: 8 (800) 1008-108</w:t>
            </w:r>
          </w:p>
        </w:tc>
        <w:tc>
          <w:tcPr>
            <w:tcW w:w="1843"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A+ (высокая надежность - первый уровень)</w:t>
            </w:r>
          </w:p>
        </w:tc>
        <w:tc>
          <w:tcPr>
            <w:tcW w:w="1417"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«Достойная старость»</w:t>
            </w:r>
          </w:p>
        </w:tc>
        <w:tc>
          <w:tcPr>
            <w:tcW w:w="1920"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Закрытый Недвижимость  Строительный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2,50%</w:t>
            </w:r>
          </w:p>
        </w:tc>
      </w:tr>
      <w:tr w:rsidR="002176D6" w:rsidRPr="002176D6" w:rsidTr="002176D6">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Закрытое акционерное общество «Управляющая компания</w:t>
            </w:r>
            <w:r w:rsidRPr="002176D6">
              <w:rPr>
                <w:rFonts w:asciiTheme="majorHAnsi" w:hAnsiTheme="majorHAnsi" w:cs="Calibri"/>
                <w:color w:val="000000"/>
                <w:sz w:val="16"/>
                <w:szCs w:val="16"/>
              </w:rPr>
              <w:br/>
              <w:t>«ТРАНСФИНГРУП» Москва, ул.</w:t>
            </w:r>
            <w:r w:rsidRPr="002176D6">
              <w:rPr>
                <w:rFonts w:asciiTheme="majorHAnsi" w:hAnsiTheme="majorHAnsi" w:cs="Calibri"/>
                <w:color w:val="000000"/>
                <w:sz w:val="16"/>
                <w:szCs w:val="16"/>
              </w:rPr>
              <w:br/>
              <w:t>Малая Дмитровка, д. 10 Тел., факс: +7</w:t>
            </w:r>
            <w:r w:rsidRPr="002176D6">
              <w:rPr>
                <w:rFonts w:asciiTheme="majorHAnsi" w:hAnsiTheme="majorHAnsi" w:cs="Calibri"/>
                <w:color w:val="000000"/>
                <w:sz w:val="16"/>
                <w:szCs w:val="16"/>
              </w:rPr>
              <w:br/>
              <w:t>(495) 772-97-42</w:t>
            </w:r>
          </w:p>
        </w:tc>
        <w:tc>
          <w:tcPr>
            <w:tcW w:w="1843"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A+ (высокая надежность - первый уровень)</w:t>
            </w:r>
          </w:p>
        </w:tc>
        <w:tc>
          <w:tcPr>
            <w:tcW w:w="1417"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«ТрансФинГруп-Логистический»</w:t>
            </w:r>
          </w:p>
        </w:tc>
        <w:tc>
          <w:tcPr>
            <w:tcW w:w="1920"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Закрытый Недвижимость  Смешанный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3%</w:t>
            </w:r>
          </w:p>
        </w:tc>
      </w:tr>
      <w:tr w:rsidR="002176D6" w:rsidRPr="002176D6" w:rsidTr="002176D6">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ЗАО «Управляющая компания «Ермак» г.Пермь, ул.Коммунистическая, 53 Тел., факс:  +7 (342)-212-00-44</w:t>
            </w:r>
          </w:p>
        </w:tc>
        <w:tc>
          <w:tcPr>
            <w:tcW w:w="1843"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A+ (высокая надежность -второй уровень)</w:t>
            </w:r>
          </w:p>
        </w:tc>
        <w:tc>
          <w:tcPr>
            <w:tcW w:w="1417"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«Земли Прикамья»</w:t>
            </w:r>
          </w:p>
        </w:tc>
        <w:tc>
          <w:tcPr>
            <w:tcW w:w="1920"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Закрытый Недвижимость  Земельный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1,50%</w:t>
            </w:r>
          </w:p>
        </w:tc>
      </w:tr>
      <w:tr w:rsidR="002176D6" w:rsidRPr="002176D6" w:rsidTr="002176D6">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ООО «УНИВЕР Менеджмент» г.  Москва, Б.Саввинский пер, д.10,</w:t>
            </w:r>
            <w:r w:rsidRPr="002176D6">
              <w:rPr>
                <w:rFonts w:asciiTheme="majorHAnsi" w:hAnsiTheme="majorHAnsi" w:cs="Calibri"/>
                <w:color w:val="000000"/>
                <w:sz w:val="16"/>
                <w:szCs w:val="16"/>
              </w:rPr>
              <w:br/>
              <w:t>стр.2А Тел., факс: +7 (495) 792-55-50, +7 (495) 245-34-34, fax +7 (495) 792-55-50, 8-800-700-55-00</w:t>
            </w:r>
          </w:p>
        </w:tc>
        <w:tc>
          <w:tcPr>
            <w:tcW w:w="1843"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A+ (высокая надежность - третий уровень)</w:t>
            </w:r>
          </w:p>
        </w:tc>
        <w:tc>
          <w:tcPr>
            <w:tcW w:w="1417"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«Паевой фонд недвижимости»</w:t>
            </w:r>
          </w:p>
        </w:tc>
        <w:tc>
          <w:tcPr>
            <w:tcW w:w="1920"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Закрытый Недвижимость  Строительный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2%</w:t>
            </w:r>
          </w:p>
        </w:tc>
      </w:tr>
      <w:tr w:rsidR="002176D6" w:rsidRPr="002176D6" w:rsidTr="002176D6">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ООО «Управляющая компания «Финам Менеджмент». г. Москва, ул. Мясницкая, 26 Тел., факс: +7 (495)-796-93-88</w:t>
            </w:r>
          </w:p>
        </w:tc>
        <w:tc>
          <w:tcPr>
            <w:tcW w:w="1843"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A+ (высокая надежность - третий уровень)</w:t>
            </w:r>
          </w:p>
        </w:tc>
        <w:tc>
          <w:tcPr>
            <w:tcW w:w="1417"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«Финам – Капитальные вложения»</w:t>
            </w:r>
          </w:p>
        </w:tc>
        <w:tc>
          <w:tcPr>
            <w:tcW w:w="1920"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Закрытый Недвижимость  Земельный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1,50%</w:t>
            </w:r>
          </w:p>
        </w:tc>
      </w:tr>
      <w:tr w:rsidR="002176D6" w:rsidRPr="002176D6" w:rsidTr="002176D6">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ОАО «НМ - Траст» г. Москва, ул. Верхняя Радищевская, дом 1/2 стр. 1 Тел., факс: +7 (495) 792-38-23</w:t>
            </w:r>
          </w:p>
        </w:tc>
        <w:tc>
          <w:tcPr>
            <w:tcW w:w="1843"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BBB+ (достаточная надежность - первый уровень)</w:t>
            </w:r>
          </w:p>
        </w:tc>
        <w:tc>
          <w:tcPr>
            <w:tcW w:w="1417" w:type="dxa"/>
            <w:tcBorders>
              <w:top w:val="single" w:sz="6" w:space="0" w:color="auto"/>
              <w:left w:val="single" w:sz="6" w:space="0" w:color="auto"/>
              <w:bottom w:val="single" w:sz="6" w:space="0" w:color="auto"/>
              <w:right w:val="single" w:sz="6" w:space="0" w:color="auto"/>
            </w:tcBorders>
            <w:noWrap/>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«ЗемСтрой»</w:t>
            </w:r>
          </w:p>
        </w:tc>
        <w:tc>
          <w:tcPr>
            <w:tcW w:w="1920"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Закрытый Недвижимость  Строительный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2%</w:t>
            </w:r>
          </w:p>
        </w:tc>
      </w:tr>
      <w:tr w:rsidR="002176D6" w:rsidRPr="002176D6" w:rsidTr="002176D6">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 xml:space="preserve">ООО «Северо-западная управляющая компания» г. Санкт-Петербург, наб. </w:t>
            </w:r>
            <w:r w:rsidRPr="002176D6">
              <w:rPr>
                <w:rFonts w:asciiTheme="majorHAnsi" w:hAnsiTheme="majorHAnsi" w:cs="Calibri"/>
                <w:color w:val="000000"/>
                <w:sz w:val="16"/>
                <w:szCs w:val="16"/>
              </w:rPr>
              <w:lastRenderedPageBreak/>
              <w:t>Черной речки, д.41 (вход с ул. Графова) Тел., факс: +7 (812) 702-67- 87</w:t>
            </w:r>
          </w:p>
        </w:tc>
        <w:tc>
          <w:tcPr>
            <w:tcW w:w="1843"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lastRenderedPageBreak/>
              <w:t xml:space="preserve">BBB+ (достаточная надежность -второй </w:t>
            </w:r>
            <w:r w:rsidRPr="002176D6">
              <w:rPr>
                <w:rFonts w:asciiTheme="majorHAnsi" w:hAnsiTheme="majorHAnsi" w:cs="Calibri"/>
                <w:color w:val="000000"/>
                <w:sz w:val="16"/>
                <w:szCs w:val="16"/>
              </w:rPr>
              <w:lastRenderedPageBreak/>
              <w:t>уровень)</w:t>
            </w:r>
          </w:p>
        </w:tc>
        <w:tc>
          <w:tcPr>
            <w:tcW w:w="1417"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lastRenderedPageBreak/>
              <w:t xml:space="preserve">«Северо-западный фонд </w:t>
            </w:r>
            <w:r w:rsidRPr="002176D6">
              <w:rPr>
                <w:rFonts w:asciiTheme="majorHAnsi" w:hAnsiTheme="majorHAnsi" w:cs="Calibri"/>
                <w:color w:val="000000"/>
                <w:sz w:val="16"/>
                <w:szCs w:val="16"/>
              </w:rPr>
              <w:lastRenderedPageBreak/>
              <w:t>недвижимости»</w:t>
            </w:r>
          </w:p>
        </w:tc>
        <w:tc>
          <w:tcPr>
            <w:tcW w:w="1920"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lastRenderedPageBreak/>
              <w:t xml:space="preserve">Закрытый Недвижимость  </w:t>
            </w:r>
            <w:r w:rsidRPr="002176D6">
              <w:rPr>
                <w:rFonts w:asciiTheme="majorHAnsi" w:hAnsiTheme="majorHAnsi" w:cs="Calibri"/>
                <w:color w:val="000000"/>
                <w:sz w:val="16"/>
                <w:szCs w:val="16"/>
              </w:rPr>
              <w:lastRenderedPageBreak/>
              <w:t>Рентный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lastRenderedPageBreak/>
              <w:t>0,50%</w:t>
            </w:r>
          </w:p>
        </w:tc>
      </w:tr>
      <w:tr w:rsidR="002176D6" w:rsidRPr="002176D6" w:rsidTr="002176D6">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ООО «Управляющая компания «НФГ Эссет Менеджмент» г. Москва, ул. Радио, д. 24, корп 1, офис 501 Тел., факс: +7 (495) 589-24-74, +7 (495) 775-18-47</w:t>
            </w:r>
          </w:p>
        </w:tc>
        <w:tc>
          <w:tcPr>
            <w:tcW w:w="1843"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BBB+ (достаточная надежность -третий уровень)</w:t>
            </w:r>
          </w:p>
        </w:tc>
        <w:tc>
          <w:tcPr>
            <w:tcW w:w="1417"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НФГ Фонд недвижимости первый</w:t>
            </w:r>
          </w:p>
        </w:tc>
        <w:tc>
          <w:tcPr>
            <w:tcW w:w="1920"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Закрытый Недвижимость  Строительный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2%</w:t>
            </w:r>
          </w:p>
        </w:tc>
      </w:tr>
      <w:tr w:rsidR="002176D6" w:rsidRPr="002176D6" w:rsidTr="002176D6">
        <w:trPr>
          <w:trHeight w:val="20"/>
          <w:jc w:val="center"/>
        </w:trPr>
        <w:tc>
          <w:tcPr>
            <w:tcW w:w="3134" w:type="dxa"/>
            <w:tcBorders>
              <w:top w:val="single" w:sz="6" w:space="0" w:color="auto"/>
              <w:left w:val="double" w:sz="4"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ООО «Управляющая компания «НФГ Эссет Менеджмент» г. Москва, ул. Радио, д. 24, корп 1, офис 501 Тел., факс: +7 (495) 589-24-74, +7 (495) 775-18-47</w:t>
            </w:r>
          </w:p>
        </w:tc>
        <w:tc>
          <w:tcPr>
            <w:tcW w:w="1843"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BBB+ (достаточная надежность -третий уровень)</w:t>
            </w:r>
          </w:p>
        </w:tc>
        <w:tc>
          <w:tcPr>
            <w:tcW w:w="1417"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НФГ Фонд недвижимости второй</w:t>
            </w:r>
          </w:p>
        </w:tc>
        <w:tc>
          <w:tcPr>
            <w:tcW w:w="1920" w:type="dxa"/>
            <w:tcBorders>
              <w:top w:val="single" w:sz="6" w:space="0" w:color="auto"/>
              <w:left w:val="single" w:sz="6" w:space="0" w:color="auto"/>
              <w:bottom w:val="single" w:sz="6" w:space="0" w:color="auto"/>
              <w:right w:val="single" w:sz="6" w:space="0" w:color="auto"/>
            </w:tcBorders>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Закрытый Недвижимость  Строительный</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1%</w:t>
            </w:r>
          </w:p>
        </w:tc>
      </w:tr>
      <w:tr w:rsidR="002176D6" w:rsidRPr="002176D6" w:rsidTr="002176D6">
        <w:trPr>
          <w:trHeight w:val="20"/>
          <w:jc w:val="center"/>
        </w:trPr>
        <w:tc>
          <w:tcPr>
            <w:tcW w:w="8314" w:type="dxa"/>
            <w:gridSpan w:val="4"/>
            <w:tcBorders>
              <w:top w:val="single" w:sz="6" w:space="0" w:color="auto"/>
              <w:left w:val="double" w:sz="4" w:space="0" w:color="auto"/>
              <w:bottom w:val="single" w:sz="6" w:space="0" w:color="auto"/>
              <w:right w:val="single" w:sz="6" w:space="0" w:color="auto"/>
            </w:tcBorders>
            <w:noWrap/>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Вознаграждение управляющей компании (минимальное значение), % от СЧА</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0,50%</w:t>
            </w:r>
          </w:p>
        </w:tc>
      </w:tr>
      <w:tr w:rsidR="002176D6" w:rsidRPr="002176D6" w:rsidTr="002176D6">
        <w:trPr>
          <w:trHeight w:val="20"/>
          <w:jc w:val="center"/>
        </w:trPr>
        <w:tc>
          <w:tcPr>
            <w:tcW w:w="8314" w:type="dxa"/>
            <w:gridSpan w:val="4"/>
            <w:tcBorders>
              <w:top w:val="single" w:sz="6" w:space="0" w:color="auto"/>
              <w:left w:val="double" w:sz="4" w:space="0" w:color="auto"/>
              <w:bottom w:val="single" w:sz="6" w:space="0" w:color="auto"/>
              <w:right w:val="single" w:sz="6" w:space="0" w:color="auto"/>
            </w:tcBorders>
            <w:noWrap/>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Вознаграждение управляющей компании (среднее значение), % от СЧА</w:t>
            </w:r>
          </w:p>
        </w:tc>
        <w:tc>
          <w:tcPr>
            <w:tcW w:w="1057" w:type="dxa"/>
            <w:tcBorders>
              <w:top w:val="single" w:sz="6" w:space="0" w:color="auto"/>
              <w:left w:val="single" w:sz="6" w:space="0" w:color="auto"/>
              <w:bottom w:val="single" w:sz="6" w:space="0" w:color="auto"/>
              <w:right w:val="double" w:sz="4" w:space="0" w:color="auto"/>
            </w:tcBorders>
            <w:noWrap/>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1,78%</w:t>
            </w:r>
          </w:p>
        </w:tc>
      </w:tr>
      <w:tr w:rsidR="002176D6" w:rsidRPr="002176D6" w:rsidTr="002176D6">
        <w:trPr>
          <w:trHeight w:val="20"/>
          <w:jc w:val="center"/>
        </w:trPr>
        <w:tc>
          <w:tcPr>
            <w:tcW w:w="8314" w:type="dxa"/>
            <w:gridSpan w:val="4"/>
            <w:tcBorders>
              <w:top w:val="single" w:sz="6" w:space="0" w:color="auto"/>
              <w:left w:val="double" w:sz="4" w:space="0" w:color="auto"/>
              <w:bottom w:val="double" w:sz="4" w:space="0" w:color="auto"/>
              <w:right w:val="single" w:sz="6" w:space="0" w:color="auto"/>
            </w:tcBorders>
            <w:noWrap/>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Вознаграждение управляющей компании (максимальное значение), % от СЧА</w:t>
            </w:r>
          </w:p>
        </w:tc>
        <w:tc>
          <w:tcPr>
            <w:tcW w:w="1057" w:type="dxa"/>
            <w:tcBorders>
              <w:top w:val="single" w:sz="6" w:space="0" w:color="auto"/>
              <w:left w:val="single" w:sz="6" w:space="0" w:color="auto"/>
              <w:bottom w:val="double" w:sz="4" w:space="0" w:color="auto"/>
              <w:right w:val="double" w:sz="4" w:space="0" w:color="auto"/>
            </w:tcBorders>
            <w:noWrap/>
            <w:vAlign w:val="center"/>
            <w:hideMark/>
          </w:tcPr>
          <w:p w:rsidR="002176D6" w:rsidRPr="002176D6" w:rsidRDefault="002176D6" w:rsidP="002176D6">
            <w:pPr>
              <w:jc w:val="center"/>
              <w:rPr>
                <w:rFonts w:asciiTheme="majorHAnsi" w:hAnsiTheme="majorHAnsi" w:cs="Calibri"/>
                <w:color w:val="000000"/>
                <w:sz w:val="16"/>
                <w:szCs w:val="16"/>
              </w:rPr>
            </w:pPr>
            <w:r w:rsidRPr="002176D6">
              <w:rPr>
                <w:rFonts w:asciiTheme="majorHAnsi" w:hAnsiTheme="majorHAnsi" w:cs="Calibri"/>
                <w:color w:val="000000"/>
                <w:sz w:val="16"/>
                <w:szCs w:val="16"/>
              </w:rPr>
              <w:t>3,00%</w:t>
            </w:r>
          </w:p>
        </w:tc>
      </w:tr>
    </w:tbl>
    <w:p w:rsidR="002176D6" w:rsidRPr="002176D6" w:rsidRDefault="002176D6" w:rsidP="002176D6">
      <w:pPr>
        <w:ind w:firstLine="709"/>
        <w:jc w:val="both"/>
        <w:rPr>
          <w:rFonts w:eastAsiaTheme="majorEastAsia" w:cstheme="majorBidi"/>
          <w:b/>
          <w:bCs/>
          <w:sz w:val="28"/>
          <w:szCs w:val="28"/>
        </w:rPr>
      </w:pPr>
    </w:p>
    <w:p w:rsidR="002176D6" w:rsidRPr="002176D6" w:rsidRDefault="002176D6" w:rsidP="002176D6">
      <w:pPr>
        <w:autoSpaceDE w:val="0"/>
        <w:autoSpaceDN w:val="0"/>
        <w:adjustRightInd w:val="0"/>
        <w:ind w:firstLine="709"/>
        <w:jc w:val="both"/>
        <w:rPr>
          <w:rFonts w:ascii="Cambria" w:eastAsiaTheme="minorHAnsi" w:hAnsi="Cambria" w:cs="Cambria"/>
          <w:color w:val="000000"/>
          <w:sz w:val="20"/>
          <w:szCs w:val="20"/>
          <w:lang w:eastAsia="en-US"/>
        </w:rPr>
      </w:pPr>
      <w:r w:rsidRPr="002176D6">
        <w:rPr>
          <w:rFonts w:ascii="Cambria" w:eastAsiaTheme="minorHAnsi" w:hAnsi="Cambria" w:cs="Cambria"/>
          <w:color w:val="000000"/>
          <w:sz w:val="20"/>
          <w:szCs w:val="20"/>
          <w:lang w:eastAsia="en-US"/>
        </w:rPr>
        <w:t xml:space="preserve">Вторая составляющая коэффициента капитализации – норма возврата капитала. Для возврата первоначальных инвестиций часть ЧОД откладывается в фонд возмещения с определенной процентной ставкой, называемой так же ставкой рекапитализации. Одним из способов определения нормы возврата капитала является прямолинейный возврат капитала (метод Ринга). Годовая норма возврата капитала рассчитывается путем деления 100 %-ной стоимости актива на остающейся срок полезной жизни. </w:t>
      </w:r>
    </w:p>
    <w:p w:rsidR="002176D6" w:rsidRPr="002176D6" w:rsidRDefault="002176D6" w:rsidP="002176D6">
      <w:pPr>
        <w:ind w:firstLine="709"/>
        <w:jc w:val="both"/>
        <w:rPr>
          <w:rFonts w:ascii="Cambria" w:eastAsiaTheme="minorHAnsi" w:hAnsi="Cambria" w:cs="Cambria"/>
          <w:color w:val="000000"/>
          <w:sz w:val="20"/>
          <w:szCs w:val="20"/>
          <w:lang w:eastAsia="en-US"/>
        </w:rPr>
      </w:pPr>
      <w:r w:rsidRPr="002176D6">
        <w:rPr>
          <w:rFonts w:ascii="Cambria" w:eastAsiaTheme="minorHAnsi" w:hAnsi="Cambria" w:cs="Cambria"/>
          <w:color w:val="000000"/>
          <w:sz w:val="20"/>
          <w:szCs w:val="20"/>
          <w:lang w:eastAsia="en-US"/>
        </w:rPr>
        <w:t>Оставшийся срок полезной жизни оцениваемых объектов, с учетом отсутствия сроков их фактической эксплуатации и норм службы в соответствии с классификатором, составляющем около 120 лет.</w:t>
      </w:r>
    </w:p>
    <w:p w:rsidR="002176D6" w:rsidRPr="002176D6" w:rsidRDefault="002176D6" w:rsidP="002176D6">
      <w:pPr>
        <w:jc w:val="center"/>
        <w:rPr>
          <w:rFonts w:eastAsiaTheme="majorEastAsia" w:cstheme="majorBidi"/>
          <w:b/>
          <w:bCs/>
          <w:sz w:val="28"/>
          <w:szCs w:val="28"/>
        </w:rPr>
      </w:pPr>
      <w:r w:rsidRPr="002176D6">
        <w:rPr>
          <w:noProof/>
        </w:rPr>
        <w:drawing>
          <wp:inline distT="0" distB="0" distL="0" distR="0" wp14:anchorId="4876A3BA" wp14:editId="0A73E4F3">
            <wp:extent cx="6296024" cy="27813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300965" cy="2783483"/>
                    </a:xfrm>
                    <a:prstGeom prst="rect">
                      <a:avLst/>
                    </a:prstGeom>
                  </pic:spPr>
                </pic:pic>
              </a:graphicData>
            </a:graphic>
          </wp:inline>
        </w:drawing>
      </w:r>
    </w:p>
    <w:p w:rsidR="002176D6" w:rsidRPr="002176D6" w:rsidRDefault="002176D6" w:rsidP="002176D6">
      <w:pPr>
        <w:jc w:val="center"/>
        <w:rPr>
          <w:rFonts w:asciiTheme="majorHAnsi" w:hAnsiTheme="majorHAnsi"/>
          <w:b/>
          <w:bCs/>
          <w:sz w:val="20"/>
          <w:szCs w:val="20"/>
        </w:rPr>
      </w:pPr>
    </w:p>
    <w:p w:rsidR="002176D6" w:rsidRPr="002176D6" w:rsidRDefault="002176D6" w:rsidP="002176D6">
      <w:pPr>
        <w:jc w:val="center"/>
        <w:rPr>
          <w:rFonts w:asciiTheme="majorHAnsi" w:hAnsiTheme="majorHAnsi"/>
          <w:b/>
          <w:bCs/>
          <w:sz w:val="20"/>
          <w:szCs w:val="20"/>
        </w:rPr>
      </w:pPr>
      <w:r w:rsidRPr="002176D6">
        <w:rPr>
          <w:rFonts w:asciiTheme="majorHAnsi" w:hAnsiTheme="majorHAnsi"/>
          <w:b/>
          <w:bCs/>
          <w:sz w:val="20"/>
          <w:szCs w:val="20"/>
        </w:rPr>
        <w:t>Нормативные показатели для расчета эксплуатационных расходов по жилым и общественным зданиям</w:t>
      </w:r>
    </w:p>
    <w:p w:rsidR="002176D6" w:rsidRPr="002176D6" w:rsidRDefault="002176D6" w:rsidP="002176D6">
      <w:pPr>
        <w:jc w:val="center"/>
        <w:rPr>
          <w:b/>
          <w:bCs/>
          <w:sz w:val="20"/>
          <w:szCs w:val="20"/>
        </w:rPr>
      </w:pP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79"/>
        <w:gridCol w:w="7024"/>
        <w:gridCol w:w="1598"/>
      </w:tblGrid>
      <w:tr w:rsidR="002176D6" w:rsidRPr="002176D6" w:rsidTr="002176D6">
        <w:trPr>
          <w:tblCellSpacing w:w="0" w:type="dxa"/>
          <w:jc w:val="center"/>
        </w:trPr>
        <w:tc>
          <w:tcPr>
            <w:tcW w:w="7503" w:type="dxa"/>
            <w:gridSpan w:val="2"/>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Характеристика конструктивного элемента и инженерного оборудования</w:t>
            </w:r>
          </w:p>
        </w:tc>
        <w:tc>
          <w:tcPr>
            <w:tcW w:w="1598" w:type="dxa"/>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Срок службы в годах</w:t>
            </w:r>
          </w:p>
        </w:tc>
      </w:tr>
      <w:tr w:rsidR="002176D6" w:rsidRPr="002176D6" w:rsidTr="002176D6">
        <w:trPr>
          <w:tblCellSpacing w:w="0" w:type="dxa"/>
          <w:jc w:val="center"/>
        </w:trPr>
        <w:tc>
          <w:tcPr>
            <w:tcW w:w="7503" w:type="dxa"/>
            <w:gridSpan w:val="2"/>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1</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2</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w:t>
            </w: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Фундаменты: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бетонные, железобетонные, ленточные и свайные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150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бутовые на сложном растворе или цементном растворе, бутобетоне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150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бутовые на известковом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100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2.</w:t>
            </w: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Стены: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капитальные, кирпичные при толщине стен в 2,5-3,5 кирпича на сложном или цементном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150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кирпичные с железобетонным или металлическим каркасом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150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крупноблочные толщиной 40 см и более шлакобетонных или керамзитобетонных блоков на цементном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125</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кирпичные с толщиной стен в 2,0-2,5 кирпича на известковом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125</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крупноблочные из шлакобетонных и керамзитобетонных блоков толщиной 40 см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125</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крупноблочные из силикальцитных, кирпичных, легкобетонных и зольно-сланцевых блоков</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100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крупнопанельные однослойные из шлакобетона, керамзитобетона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125</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xml:space="preserve">- многослойные из железобетонных плит и утеплителя, </w:t>
            </w:r>
            <w:r w:rsidRPr="002176D6">
              <w:rPr>
                <w:rFonts w:asciiTheme="majorHAnsi" w:hAnsiTheme="majorHAnsi" w:cstheme="minorBidi"/>
                <w:sz w:val="18"/>
                <w:szCs w:val="18"/>
                <w:lang w:eastAsia="en-US"/>
              </w:rPr>
              <w:lastRenderedPageBreak/>
              <w:t>керамзитобетонные, виброкирпичные с утеплителем, кирпичные облегченные при толщине 1,5-2 кирпича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lastRenderedPageBreak/>
              <w:t>100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3.</w:t>
            </w: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Перекрытия железобетонные.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монолитные, сборно-монолитные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150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сборные из панелей и настилов толщиной более 10 см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150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толщиной 10 см и менее 10 см и ребристое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70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сборные по ж/б балкам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150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железобетонные или бетонные по металлическим балкам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125</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4.</w:t>
            </w: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Полы: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из метлахской и керамической плитки по бетонному основанию</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80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паркетные дубовые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80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то же, буковые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50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дощатые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30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из поливинилхлоридных плиток, линолеума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5.</w:t>
            </w: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Лестницы: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из сборных железобетонных элементов, из каменных, бетонных и железобетонных плит по металлическим и железобетонным косоурам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100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6.</w:t>
            </w: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Крыши: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А. Несущие элементы: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из сборных железобетонных настилов</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150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из железобетонных стропил и обрешетки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150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железобетонные совмещенные крыши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100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Б. кровля из:</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керамической первосортной черепицы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80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асбестоцементных плит и волнистого асбошифера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30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оцинкованной стали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25</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черной листовой стали, окрашенной масляными или синтетическими красками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15</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рулонных материалов</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8</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7.</w:t>
            </w: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Перегородки: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железобетонные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150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шлакобетонные, бетонные, кирпичные, оштукатуренные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75</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гипсовые, гипсоволокнистые, гипсобетонные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60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деревянные оштукатуренные или обитые сухой штукатуркой</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40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8.</w:t>
            </w: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Двери и окна: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дверные и оконные блоки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20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9.</w:t>
            </w: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Внутренняя отделка: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штукатурка по бетонным и кирпичным стенам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50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штукатурка по деревянным перегородкам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35</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масляная окраска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6</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оклейка стен обоями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4</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10.</w:t>
            </w: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Инженерное оборудование: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водопровод и канализация</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30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отопление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30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горячее водоснабжение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вентиляция</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30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электроосвещение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15</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электроплиты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20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газооборудование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20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лифты</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20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11.</w:t>
            </w: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Благоустройство придомового участка: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благоустройство участка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15</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12.</w:t>
            </w: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Наружная отделка: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Theme="minorHAnsi" w:eastAsiaTheme="minorHAnsi" w:hAnsiTheme="minorHAnsi" w:cstheme="minorBidi"/>
                <w:sz w:val="18"/>
                <w:szCs w:val="18"/>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облицовка стен естественным камнем</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125</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облицовка стен керамическими плитками</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75</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терразитовая штукатурка с мраморной крошкой</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50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облицовка ковровой плиткой</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35</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штукатурка по кирпичу на сложном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30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штукатурка по кирпичу на известковом растворе</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20</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штукатурка по дереву</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15</w:t>
            </w:r>
          </w:p>
        </w:tc>
      </w:tr>
      <w:tr w:rsidR="002176D6" w:rsidRPr="002176D6" w:rsidTr="002176D6">
        <w:trPr>
          <w:tblCellSpacing w:w="0" w:type="dxa"/>
          <w:jc w:val="center"/>
        </w:trPr>
        <w:tc>
          <w:tcPr>
            <w:tcW w:w="479"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rPr>
                <w:rFonts w:ascii="Cambria" w:hAnsi="Cambria"/>
                <w:sz w:val="18"/>
                <w:szCs w:val="18"/>
                <w:lang w:eastAsia="en-US"/>
              </w:rPr>
            </w:pPr>
          </w:p>
        </w:tc>
        <w:tc>
          <w:tcPr>
            <w:tcW w:w="7024"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ind w:firstLine="709"/>
              <w:jc w:val="center"/>
              <w:rPr>
                <w:rFonts w:ascii="Cambria" w:hAnsi="Cambria"/>
                <w:sz w:val="18"/>
                <w:szCs w:val="18"/>
                <w:lang w:eastAsia="en-US"/>
              </w:rPr>
            </w:pPr>
            <w:r w:rsidRPr="002176D6">
              <w:rPr>
                <w:rFonts w:asciiTheme="majorHAnsi" w:hAnsiTheme="majorHAnsi" w:cstheme="minorBidi"/>
                <w:sz w:val="18"/>
                <w:szCs w:val="18"/>
                <w:lang w:eastAsia="en-US"/>
              </w:rPr>
              <w:t>- окраска</w:t>
            </w:r>
          </w:p>
        </w:tc>
        <w:tc>
          <w:tcPr>
            <w:tcW w:w="1598" w:type="dxa"/>
            <w:tcBorders>
              <w:top w:val="outset" w:sz="6" w:space="0" w:color="auto"/>
              <w:left w:val="outset" w:sz="6" w:space="0" w:color="auto"/>
              <w:bottom w:val="outset" w:sz="6" w:space="0" w:color="auto"/>
              <w:right w:val="outset" w:sz="6" w:space="0" w:color="auto"/>
            </w:tcBorders>
            <w:vAlign w:val="center"/>
            <w:hideMark/>
          </w:tcPr>
          <w:p w:rsidR="002176D6" w:rsidRPr="002176D6" w:rsidRDefault="002176D6" w:rsidP="002176D6">
            <w:pPr>
              <w:jc w:val="center"/>
              <w:rPr>
                <w:rFonts w:ascii="Cambria" w:hAnsi="Cambria"/>
                <w:sz w:val="18"/>
                <w:szCs w:val="18"/>
                <w:lang w:eastAsia="en-US"/>
              </w:rPr>
            </w:pPr>
            <w:r w:rsidRPr="002176D6">
              <w:rPr>
                <w:rFonts w:asciiTheme="majorHAnsi" w:hAnsiTheme="majorHAnsi" w:cstheme="minorBidi"/>
                <w:sz w:val="18"/>
                <w:szCs w:val="18"/>
                <w:lang w:eastAsia="en-US"/>
              </w:rPr>
              <w:t>5</w:t>
            </w:r>
          </w:p>
        </w:tc>
      </w:tr>
    </w:tbl>
    <w:p w:rsidR="002176D6" w:rsidRPr="002176D6" w:rsidRDefault="002176D6" w:rsidP="002176D6">
      <w:pPr>
        <w:autoSpaceDE w:val="0"/>
        <w:autoSpaceDN w:val="0"/>
        <w:adjustRightInd w:val="0"/>
        <w:ind w:firstLine="709"/>
        <w:jc w:val="both"/>
        <w:rPr>
          <w:rFonts w:ascii="Cambria" w:eastAsiaTheme="minorHAnsi" w:hAnsi="Cambria" w:cs="Cambria"/>
          <w:color w:val="000000"/>
          <w:sz w:val="20"/>
          <w:szCs w:val="20"/>
          <w:lang w:eastAsia="en-US"/>
        </w:rPr>
      </w:pPr>
      <w:r w:rsidRPr="002176D6">
        <w:rPr>
          <w:rFonts w:ascii="Cambria" w:eastAsiaTheme="minorHAnsi" w:hAnsi="Cambria" w:cs="Cambria"/>
          <w:color w:val="000000"/>
          <w:sz w:val="20"/>
          <w:szCs w:val="20"/>
          <w:lang w:eastAsia="en-US"/>
        </w:rPr>
        <w:lastRenderedPageBreak/>
        <w:t xml:space="preserve">* Методические рекомендации по технико-экономической оценке санитарно-технических систем (отопление и вентиляция) зданий ЦНИИЭП инж. оборуд. М., 85 г. </w:t>
      </w:r>
    </w:p>
    <w:p w:rsidR="002176D6" w:rsidRPr="002176D6" w:rsidRDefault="002176D6" w:rsidP="002176D6">
      <w:pPr>
        <w:autoSpaceDE w:val="0"/>
        <w:autoSpaceDN w:val="0"/>
        <w:adjustRightInd w:val="0"/>
        <w:ind w:firstLine="709"/>
        <w:jc w:val="both"/>
        <w:rPr>
          <w:rFonts w:ascii="Cambria" w:eastAsiaTheme="minorHAnsi" w:hAnsi="Cambria" w:cs="Cambria"/>
          <w:color w:val="000000"/>
          <w:sz w:val="20"/>
          <w:szCs w:val="20"/>
          <w:lang w:eastAsia="en-US"/>
        </w:rPr>
      </w:pPr>
    </w:p>
    <w:p w:rsidR="002176D6" w:rsidRPr="002176D6" w:rsidRDefault="002176D6" w:rsidP="002176D6">
      <w:pPr>
        <w:autoSpaceDE w:val="0"/>
        <w:autoSpaceDN w:val="0"/>
        <w:adjustRightInd w:val="0"/>
        <w:ind w:firstLine="709"/>
        <w:jc w:val="both"/>
        <w:rPr>
          <w:rFonts w:ascii="Cambria" w:eastAsiaTheme="minorHAnsi" w:hAnsi="Cambria" w:cs="Cambria"/>
          <w:color w:val="000000"/>
          <w:sz w:val="20"/>
          <w:szCs w:val="20"/>
          <w:lang w:eastAsia="en-US"/>
        </w:rPr>
      </w:pPr>
      <w:r w:rsidRPr="002176D6">
        <w:rPr>
          <w:rFonts w:ascii="Cambria" w:eastAsiaTheme="minorHAnsi" w:hAnsi="Cambria" w:cs="Cambria"/>
          <w:color w:val="000000"/>
          <w:sz w:val="20"/>
          <w:szCs w:val="20"/>
          <w:lang w:eastAsia="en-US"/>
        </w:rPr>
        <w:t xml:space="preserve">Оценщик исходит из допущения, что нормативный срок экономической жизни объектов совпадает с фактическим. </w:t>
      </w:r>
    </w:p>
    <w:p w:rsidR="002176D6" w:rsidRPr="002176D6" w:rsidRDefault="002176D6" w:rsidP="002176D6">
      <w:pPr>
        <w:ind w:firstLine="709"/>
        <w:jc w:val="both"/>
        <w:rPr>
          <w:rFonts w:asciiTheme="majorHAnsi" w:eastAsiaTheme="minorHAnsi" w:hAnsiTheme="majorHAnsi"/>
          <w:color w:val="000000"/>
          <w:sz w:val="20"/>
          <w:szCs w:val="20"/>
          <w:lang w:eastAsia="en-US"/>
        </w:rPr>
      </w:pPr>
      <w:r w:rsidRPr="002176D6">
        <w:rPr>
          <w:rFonts w:eastAsiaTheme="minorHAnsi"/>
          <w:color w:val="000000"/>
          <w:sz w:val="22"/>
          <w:szCs w:val="22"/>
          <w:lang w:eastAsia="en-US"/>
        </w:rPr>
        <w:t>Т</w:t>
      </w:r>
      <w:r w:rsidRPr="002176D6">
        <w:rPr>
          <w:rFonts w:asciiTheme="majorHAnsi" w:eastAsiaTheme="minorHAnsi" w:hAnsiTheme="majorHAnsi"/>
          <w:color w:val="000000"/>
          <w:sz w:val="20"/>
          <w:szCs w:val="20"/>
          <w:lang w:eastAsia="en-US"/>
        </w:rPr>
        <w:t>аким образом</w:t>
      </w:r>
      <w:r w:rsidR="00305BC3">
        <w:rPr>
          <w:rFonts w:asciiTheme="majorHAnsi" w:eastAsiaTheme="minorHAnsi" w:hAnsiTheme="majorHAnsi"/>
          <w:color w:val="000000"/>
          <w:sz w:val="20"/>
          <w:szCs w:val="20"/>
          <w:lang w:eastAsia="en-US"/>
        </w:rPr>
        <w:t>,</w:t>
      </w:r>
      <w:r w:rsidRPr="002176D6">
        <w:rPr>
          <w:rFonts w:asciiTheme="majorHAnsi" w:eastAsiaTheme="minorHAnsi" w:hAnsiTheme="majorHAnsi"/>
          <w:color w:val="000000"/>
          <w:sz w:val="20"/>
          <w:szCs w:val="20"/>
          <w:lang w:eastAsia="en-US"/>
        </w:rPr>
        <w:t xml:space="preserve"> возврат капитала составит 1,0</w:t>
      </w:r>
      <w:r w:rsidR="00305BC3">
        <w:rPr>
          <w:rFonts w:asciiTheme="majorHAnsi" w:eastAsiaTheme="minorHAnsi" w:hAnsiTheme="majorHAnsi"/>
          <w:color w:val="000000"/>
          <w:sz w:val="20"/>
          <w:szCs w:val="20"/>
          <w:lang w:eastAsia="en-US"/>
        </w:rPr>
        <w:t>87</w:t>
      </w:r>
      <w:r w:rsidRPr="002176D6">
        <w:rPr>
          <w:rFonts w:asciiTheme="majorHAnsi" w:eastAsiaTheme="minorHAnsi" w:hAnsiTheme="majorHAnsi"/>
          <w:color w:val="000000"/>
          <w:sz w:val="20"/>
          <w:szCs w:val="20"/>
          <w:lang w:eastAsia="en-US"/>
        </w:rPr>
        <w:t>%:</w:t>
      </w:r>
    </w:p>
    <w:p w:rsidR="002176D6" w:rsidRPr="002176D6" w:rsidRDefault="002176D6" w:rsidP="002176D6">
      <w:pPr>
        <w:ind w:firstLine="709"/>
        <w:jc w:val="both"/>
        <w:rPr>
          <w:b/>
          <w:bCs/>
          <w:sz w:val="20"/>
          <w:szCs w:val="20"/>
        </w:rPr>
      </w:pPr>
    </w:p>
    <w:tbl>
      <w:tblPr>
        <w:tblW w:w="6997"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shd w:val="clear" w:color="000000" w:fill="FFFFFF" w:themeFill="background1"/>
        <w:tblLook w:val="04A0" w:firstRow="1" w:lastRow="0" w:firstColumn="1" w:lastColumn="0" w:noHBand="0" w:noVBand="1"/>
      </w:tblPr>
      <w:tblGrid>
        <w:gridCol w:w="1880"/>
        <w:gridCol w:w="1480"/>
        <w:gridCol w:w="2290"/>
        <w:gridCol w:w="1347"/>
      </w:tblGrid>
      <w:tr w:rsidR="002176D6" w:rsidRPr="002176D6" w:rsidTr="002176D6">
        <w:trPr>
          <w:trHeight w:val="300"/>
          <w:jc w:val="center"/>
        </w:trPr>
        <w:tc>
          <w:tcPr>
            <w:tcW w:w="1880" w:type="dxa"/>
            <w:tcBorders>
              <w:top w:val="double" w:sz="4" w:space="0" w:color="auto"/>
              <w:bottom w:val="single" w:sz="6" w:space="0" w:color="auto"/>
            </w:tcBorders>
            <w:shd w:val="clear" w:color="000000" w:fill="F2F2F2" w:themeFill="background1" w:themeFillShade="F2"/>
            <w:noWrap/>
            <w:vAlign w:val="center"/>
          </w:tcPr>
          <w:p w:rsidR="002176D6" w:rsidRPr="002176D6" w:rsidRDefault="002176D6" w:rsidP="002176D6">
            <w:pPr>
              <w:jc w:val="center"/>
              <w:rPr>
                <w:rFonts w:asciiTheme="majorHAnsi" w:hAnsiTheme="majorHAnsi"/>
                <w:b/>
                <w:color w:val="000000"/>
                <w:sz w:val="18"/>
                <w:szCs w:val="18"/>
              </w:rPr>
            </w:pPr>
            <w:r w:rsidRPr="002176D6">
              <w:rPr>
                <w:rFonts w:asciiTheme="majorHAnsi" w:hAnsiTheme="majorHAnsi"/>
                <w:b/>
                <w:color w:val="000000"/>
                <w:sz w:val="18"/>
                <w:szCs w:val="18"/>
              </w:rPr>
              <w:t>Год постройки ОКС</w:t>
            </w:r>
          </w:p>
        </w:tc>
        <w:tc>
          <w:tcPr>
            <w:tcW w:w="1480" w:type="dxa"/>
            <w:tcBorders>
              <w:top w:val="double" w:sz="4" w:space="0" w:color="auto"/>
              <w:bottom w:val="single" w:sz="6" w:space="0" w:color="auto"/>
            </w:tcBorders>
            <w:shd w:val="clear" w:color="000000" w:fill="F2F2F2" w:themeFill="background1" w:themeFillShade="F2"/>
            <w:noWrap/>
            <w:vAlign w:val="center"/>
          </w:tcPr>
          <w:p w:rsidR="002176D6" w:rsidRPr="002176D6" w:rsidRDefault="002176D6" w:rsidP="002176D6">
            <w:pPr>
              <w:jc w:val="center"/>
              <w:rPr>
                <w:rFonts w:asciiTheme="majorHAnsi" w:hAnsiTheme="majorHAnsi"/>
                <w:b/>
                <w:color w:val="000000"/>
                <w:sz w:val="18"/>
                <w:szCs w:val="18"/>
              </w:rPr>
            </w:pPr>
            <w:r w:rsidRPr="002176D6">
              <w:rPr>
                <w:rFonts w:asciiTheme="majorHAnsi" w:hAnsiTheme="majorHAnsi"/>
                <w:b/>
                <w:color w:val="000000"/>
                <w:sz w:val="18"/>
                <w:szCs w:val="18"/>
              </w:rPr>
              <w:t>Дата оценки</w:t>
            </w:r>
          </w:p>
        </w:tc>
        <w:tc>
          <w:tcPr>
            <w:tcW w:w="2290" w:type="dxa"/>
            <w:tcBorders>
              <w:top w:val="double" w:sz="4" w:space="0" w:color="auto"/>
              <w:bottom w:val="single" w:sz="6" w:space="0" w:color="auto"/>
            </w:tcBorders>
            <w:shd w:val="clear" w:color="000000" w:fill="F2F2F2" w:themeFill="background1" w:themeFillShade="F2"/>
            <w:noWrap/>
            <w:vAlign w:val="center"/>
          </w:tcPr>
          <w:p w:rsidR="002176D6" w:rsidRPr="002176D6" w:rsidRDefault="002176D6" w:rsidP="002176D6">
            <w:pPr>
              <w:jc w:val="center"/>
              <w:rPr>
                <w:rFonts w:asciiTheme="majorHAnsi" w:hAnsiTheme="majorHAnsi"/>
                <w:b/>
                <w:color w:val="000000"/>
                <w:sz w:val="18"/>
                <w:szCs w:val="18"/>
              </w:rPr>
            </w:pPr>
            <w:r w:rsidRPr="002176D6">
              <w:rPr>
                <w:rFonts w:asciiTheme="majorHAnsi" w:hAnsiTheme="majorHAnsi"/>
                <w:b/>
                <w:color w:val="000000"/>
                <w:sz w:val="18"/>
                <w:szCs w:val="18"/>
              </w:rPr>
              <w:t xml:space="preserve">Фактический срок эксплуатации </w:t>
            </w:r>
          </w:p>
        </w:tc>
        <w:tc>
          <w:tcPr>
            <w:tcW w:w="1347" w:type="dxa"/>
            <w:tcBorders>
              <w:top w:val="double" w:sz="4" w:space="0" w:color="auto"/>
              <w:bottom w:val="single" w:sz="6" w:space="0" w:color="auto"/>
            </w:tcBorders>
            <w:shd w:val="clear" w:color="000000" w:fill="F2F2F2" w:themeFill="background1" w:themeFillShade="F2"/>
            <w:vAlign w:val="center"/>
          </w:tcPr>
          <w:p w:rsidR="002176D6" w:rsidRPr="002176D6" w:rsidRDefault="002176D6" w:rsidP="002176D6">
            <w:pPr>
              <w:jc w:val="center"/>
              <w:rPr>
                <w:rFonts w:asciiTheme="majorHAnsi" w:hAnsiTheme="majorHAnsi"/>
                <w:b/>
                <w:color w:val="000000"/>
                <w:sz w:val="18"/>
                <w:szCs w:val="18"/>
              </w:rPr>
            </w:pPr>
            <w:r w:rsidRPr="002176D6">
              <w:rPr>
                <w:rFonts w:asciiTheme="majorHAnsi" w:hAnsiTheme="majorHAnsi"/>
                <w:b/>
                <w:color w:val="000000"/>
                <w:sz w:val="18"/>
                <w:szCs w:val="18"/>
              </w:rPr>
              <w:t>Оставшийся срок службы</w:t>
            </w:r>
          </w:p>
        </w:tc>
      </w:tr>
      <w:tr w:rsidR="002176D6" w:rsidRPr="002176D6" w:rsidTr="002176D6">
        <w:trPr>
          <w:trHeight w:val="300"/>
          <w:jc w:val="center"/>
        </w:trPr>
        <w:tc>
          <w:tcPr>
            <w:tcW w:w="1880" w:type="dxa"/>
            <w:tcBorders>
              <w:top w:val="single" w:sz="6" w:space="0" w:color="auto"/>
            </w:tcBorders>
            <w:shd w:val="clear" w:color="000000" w:fill="FFFFFF" w:themeFill="background1"/>
            <w:noWrap/>
            <w:vAlign w:val="center"/>
            <w:hideMark/>
          </w:tcPr>
          <w:p w:rsidR="002176D6" w:rsidRPr="002176D6" w:rsidRDefault="002176D6" w:rsidP="00305BC3">
            <w:pPr>
              <w:jc w:val="center"/>
              <w:rPr>
                <w:rFonts w:asciiTheme="majorHAnsi" w:hAnsiTheme="majorHAnsi"/>
                <w:color w:val="000000"/>
                <w:sz w:val="18"/>
                <w:szCs w:val="18"/>
              </w:rPr>
            </w:pPr>
            <w:r w:rsidRPr="002176D6">
              <w:rPr>
                <w:rFonts w:asciiTheme="majorHAnsi" w:hAnsiTheme="majorHAnsi"/>
                <w:color w:val="000000"/>
                <w:sz w:val="18"/>
                <w:szCs w:val="18"/>
              </w:rPr>
              <w:t>19</w:t>
            </w:r>
            <w:r w:rsidR="00305BC3">
              <w:rPr>
                <w:rFonts w:asciiTheme="majorHAnsi" w:hAnsiTheme="majorHAnsi"/>
                <w:color w:val="000000"/>
                <w:sz w:val="18"/>
                <w:szCs w:val="18"/>
              </w:rPr>
              <w:t>89</w:t>
            </w:r>
          </w:p>
        </w:tc>
        <w:tc>
          <w:tcPr>
            <w:tcW w:w="1480" w:type="dxa"/>
            <w:tcBorders>
              <w:top w:val="single" w:sz="6" w:space="0" w:color="auto"/>
            </w:tcBorders>
            <w:shd w:val="clear" w:color="000000" w:fill="FFFFFF" w:themeFill="background1"/>
            <w:noWrap/>
            <w:vAlign w:val="center"/>
            <w:hideMark/>
          </w:tcPr>
          <w:p w:rsidR="002176D6" w:rsidRPr="002176D6" w:rsidRDefault="002176D6" w:rsidP="002176D6">
            <w:pPr>
              <w:jc w:val="center"/>
              <w:rPr>
                <w:rFonts w:asciiTheme="majorHAnsi" w:hAnsiTheme="majorHAnsi"/>
                <w:color w:val="000000"/>
                <w:sz w:val="18"/>
                <w:szCs w:val="18"/>
              </w:rPr>
            </w:pPr>
            <w:r w:rsidRPr="002176D6">
              <w:rPr>
                <w:rFonts w:asciiTheme="majorHAnsi" w:hAnsiTheme="majorHAnsi"/>
                <w:color w:val="000000"/>
                <w:sz w:val="18"/>
                <w:szCs w:val="18"/>
              </w:rPr>
              <w:t>2017</w:t>
            </w:r>
          </w:p>
        </w:tc>
        <w:tc>
          <w:tcPr>
            <w:tcW w:w="2290" w:type="dxa"/>
            <w:tcBorders>
              <w:top w:val="single" w:sz="6" w:space="0" w:color="auto"/>
            </w:tcBorders>
            <w:shd w:val="clear" w:color="000000" w:fill="FFFFFF" w:themeFill="background1"/>
            <w:noWrap/>
            <w:vAlign w:val="center"/>
            <w:hideMark/>
          </w:tcPr>
          <w:p w:rsidR="002176D6" w:rsidRPr="002176D6" w:rsidRDefault="002176D6" w:rsidP="00305BC3">
            <w:pPr>
              <w:jc w:val="center"/>
              <w:rPr>
                <w:rFonts w:asciiTheme="majorHAnsi" w:hAnsiTheme="majorHAnsi"/>
                <w:color w:val="000000"/>
                <w:sz w:val="18"/>
                <w:szCs w:val="18"/>
              </w:rPr>
            </w:pPr>
            <w:r w:rsidRPr="002176D6">
              <w:rPr>
                <w:rFonts w:asciiTheme="majorHAnsi" w:hAnsiTheme="majorHAnsi"/>
                <w:color w:val="000000"/>
                <w:sz w:val="18"/>
                <w:szCs w:val="18"/>
              </w:rPr>
              <w:t>2</w:t>
            </w:r>
            <w:r w:rsidR="00305BC3">
              <w:rPr>
                <w:rFonts w:asciiTheme="majorHAnsi" w:hAnsiTheme="majorHAnsi"/>
                <w:color w:val="000000"/>
                <w:sz w:val="18"/>
                <w:szCs w:val="18"/>
              </w:rPr>
              <w:t>8</w:t>
            </w:r>
          </w:p>
        </w:tc>
        <w:tc>
          <w:tcPr>
            <w:tcW w:w="1347" w:type="dxa"/>
            <w:tcBorders>
              <w:top w:val="single" w:sz="6" w:space="0" w:color="auto"/>
            </w:tcBorders>
            <w:shd w:val="clear" w:color="000000" w:fill="FFFFFF" w:themeFill="background1"/>
            <w:vAlign w:val="center"/>
          </w:tcPr>
          <w:p w:rsidR="002176D6" w:rsidRPr="002176D6" w:rsidRDefault="002176D6" w:rsidP="00305BC3">
            <w:pPr>
              <w:jc w:val="center"/>
              <w:rPr>
                <w:rFonts w:asciiTheme="majorHAnsi" w:hAnsiTheme="majorHAnsi"/>
                <w:color w:val="000000"/>
                <w:sz w:val="18"/>
                <w:szCs w:val="18"/>
              </w:rPr>
            </w:pPr>
            <w:r w:rsidRPr="002176D6">
              <w:rPr>
                <w:rFonts w:asciiTheme="majorHAnsi" w:hAnsiTheme="majorHAnsi"/>
                <w:color w:val="000000"/>
                <w:sz w:val="18"/>
                <w:szCs w:val="18"/>
              </w:rPr>
              <w:t>9</w:t>
            </w:r>
            <w:r w:rsidR="00305BC3">
              <w:rPr>
                <w:rFonts w:asciiTheme="majorHAnsi" w:hAnsiTheme="majorHAnsi"/>
                <w:color w:val="000000"/>
                <w:sz w:val="18"/>
                <w:szCs w:val="18"/>
              </w:rPr>
              <w:t>2</w:t>
            </w:r>
          </w:p>
        </w:tc>
      </w:tr>
      <w:tr w:rsidR="002176D6" w:rsidRPr="002176D6" w:rsidTr="002176D6">
        <w:trPr>
          <w:trHeight w:val="300"/>
          <w:jc w:val="center"/>
        </w:trPr>
        <w:tc>
          <w:tcPr>
            <w:tcW w:w="5650" w:type="dxa"/>
            <w:gridSpan w:val="3"/>
            <w:shd w:val="clear" w:color="000000" w:fill="FFFFFF" w:themeFill="background1"/>
            <w:noWrap/>
            <w:vAlign w:val="center"/>
            <w:hideMark/>
          </w:tcPr>
          <w:p w:rsidR="002176D6" w:rsidRPr="002176D6" w:rsidRDefault="002176D6" w:rsidP="002176D6">
            <w:pPr>
              <w:jc w:val="center"/>
              <w:rPr>
                <w:rFonts w:asciiTheme="majorHAnsi" w:hAnsiTheme="majorHAnsi"/>
                <w:color w:val="000000"/>
                <w:sz w:val="18"/>
                <w:szCs w:val="18"/>
              </w:rPr>
            </w:pPr>
            <w:r w:rsidRPr="002176D6">
              <w:rPr>
                <w:rFonts w:asciiTheme="majorHAnsi" w:hAnsiTheme="majorHAnsi"/>
                <w:color w:val="000000"/>
                <w:sz w:val="18"/>
                <w:szCs w:val="18"/>
              </w:rPr>
              <w:t> Коэффициент возврата капитала (1/срок ост.)</w:t>
            </w:r>
          </w:p>
        </w:tc>
        <w:tc>
          <w:tcPr>
            <w:tcW w:w="1347" w:type="dxa"/>
            <w:shd w:val="clear" w:color="000000" w:fill="FFFFFF" w:themeFill="background1"/>
            <w:vAlign w:val="center"/>
          </w:tcPr>
          <w:p w:rsidR="002176D6" w:rsidRPr="002176D6" w:rsidRDefault="00305BC3" w:rsidP="00305BC3">
            <w:pPr>
              <w:jc w:val="center"/>
              <w:rPr>
                <w:rFonts w:asciiTheme="majorHAnsi" w:hAnsiTheme="majorHAnsi"/>
                <w:b/>
                <w:color w:val="000000"/>
                <w:sz w:val="18"/>
                <w:szCs w:val="18"/>
              </w:rPr>
            </w:pPr>
            <w:r w:rsidRPr="00305BC3">
              <w:rPr>
                <w:rFonts w:asciiTheme="majorHAnsi" w:hAnsiTheme="majorHAnsi"/>
                <w:b/>
                <w:color w:val="000000"/>
                <w:sz w:val="18"/>
                <w:szCs w:val="18"/>
              </w:rPr>
              <w:t>1,0</w:t>
            </w:r>
            <w:r>
              <w:rPr>
                <w:rFonts w:asciiTheme="majorHAnsi" w:hAnsiTheme="majorHAnsi"/>
                <w:b/>
                <w:color w:val="000000"/>
                <w:sz w:val="18"/>
                <w:szCs w:val="18"/>
              </w:rPr>
              <w:t>87</w:t>
            </w:r>
            <w:r w:rsidRPr="00305BC3">
              <w:rPr>
                <w:rFonts w:asciiTheme="majorHAnsi" w:hAnsiTheme="majorHAnsi"/>
                <w:b/>
                <w:color w:val="000000"/>
                <w:sz w:val="18"/>
                <w:szCs w:val="18"/>
              </w:rPr>
              <w:t>%</w:t>
            </w:r>
          </w:p>
        </w:tc>
      </w:tr>
    </w:tbl>
    <w:p w:rsidR="002176D6" w:rsidRPr="002176D6" w:rsidRDefault="002176D6" w:rsidP="002176D6">
      <w:pPr>
        <w:jc w:val="center"/>
        <w:rPr>
          <w:b/>
          <w:bCs/>
          <w:sz w:val="20"/>
          <w:szCs w:val="20"/>
        </w:rPr>
      </w:pPr>
    </w:p>
    <w:p w:rsidR="002176D6" w:rsidRPr="002176D6" w:rsidRDefault="002176D6" w:rsidP="002176D6">
      <w:pPr>
        <w:jc w:val="center"/>
        <w:rPr>
          <w:rFonts w:asciiTheme="majorHAnsi" w:eastAsiaTheme="majorEastAsia" w:hAnsiTheme="majorHAnsi"/>
          <w:b/>
          <w:iCs/>
          <w:sz w:val="20"/>
          <w:szCs w:val="20"/>
        </w:rPr>
      </w:pPr>
      <w:r w:rsidRPr="002176D6">
        <w:rPr>
          <w:rFonts w:asciiTheme="majorHAnsi" w:eastAsiaTheme="majorEastAsia" w:hAnsiTheme="majorHAnsi"/>
          <w:b/>
          <w:iCs/>
          <w:sz w:val="20"/>
          <w:szCs w:val="20"/>
        </w:rPr>
        <w:t>Расчет коэффициента капитализации</w:t>
      </w:r>
    </w:p>
    <w:p w:rsidR="002176D6" w:rsidRPr="002176D6" w:rsidRDefault="002176D6" w:rsidP="002176D6">
      <w:pPr>
        <w:jc w:val="center"/>
        <w:rPr>
          <w:b/>
          <w:bCs/>
          <w:sz w:val="20"/>
          <w:szCs w:val="20"/>
        </w:rPr>
      </w:pPr>
    </w:p>
    <w:tbl>
      <w:tblPr>
        <w:tblW w:w="5980"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060"/>
        <w:gridCol w:w="1920"/>
      </w:tblGrid>
      <w:tr w:rsidR="002176D6" w:rsidRPr="002176D6" w:rsidTr="002176D6">
        <w:trPr>
          <w:trHeight w:val="20"/>
          <w:jc w:val="center"/>
        </w:trPr>
        <w:tc>
          <w:tcPr>
            <w:tcW w:w="4060" w:type="dxa"/>
            <w:shd w:val="clear" w:color="000000" w:fill="F2F2F2"/>
            <w:vAlign w:val="center"/>
            <w:hideMark/>
          </w:tcPr>
          <w:p w:rsidR="002176D6" w:rsidRPr="002176D6" w:rsidRDefault="002176D6" w:rsidP="002176D6">
            <w:pPr>
              <w:jc w:val="center"/>
              <w:rPr>
                <w:rFonts w:ascii="Cambria" w:hAnsi="Cambria"/>
                <w:b/>
                <w:bCs/>
                <w:sz w:val="18"/>
                <w:szCs w:val="18"/>
              </w:rPr>
            </w:pPr>
            <w:r w:rsidRPr="002176D6">
              <w:rPr>
                <w:rFonts w:ascii="Cambria" w:hAnsi="Cambria"/>
                <w:b/>
                <w:bCs/>
                <w:sz w:val="18"/>
                <w:szCs w:val="18"/>
              </w:rPr>
              <w:t>Показатель</w:t>
            </w:r>
          </w:p>
        </w:tc>
        <w:tc>
          <w:tcPr>
            <w:tcW w:w="1920" w:type="dxa"/>
            <w:shd w:val="clear" w:color="000000" w:fill="F2F2F2"/>
            <w:vAlign w:val="center"/>
            <w:hideMark/>
          </w:tcPr>
          <w:p w:rsidR="002176D6" w:rsidRPr="002176D6" w:rsidRDefault="002176D6" w:rsidP="002176D6">
            <w:pPr>
              <w:jc w:val="center"/>
              <w:rPr>
                <w:rFonts w:ascii="Cambria" w:hAnsi="Cambria"/>
                <w:b/>
                <w:bCs/>
                <w:sz w:val="18"/>
                <w:szCs w:val="18"/>
              </w:rPr>
            </w:pPr>
            <w:r w:rsidRPr="002176D6">
              <w:rPr>
                <w:rFonts w:ascii="Cambria" w:hAnsi="Cambria"/>
                <w:b/>
                <w:bCs/>
                <w:sz w:val="18"/>
                <w:szCs w:val="18"/>
              </w:rPr>
              <w:t>Коэффициент капитализации</w:t>
            </w:r>
          </w:p>
        </w:tc>
      </w:tr>
      <w:tr w:rsidR="00305BC3" w:rsidRPr="002176D6" w:rsidTr="002176D6">
        <w:trPr>
          <w:trHeight w:val="20"/>
          <w:jc w:val="center"/>
        </w:trPr>
        <w:tc>
          <w:tcPr>
            <w:tcW w:w="4060" w:type="dxa"/>
            <w:shd w:val="clear" w:color="auto" w:fill="auto"/>
            <w:vAlign w:val="center"/>
            <w:hideMark/>
          </w:tcPr>
          <w:p w:rsidR="00305BC3" w:rsidRPr="002176D6" w:rsidRDefault="00305BC3" w:rsidP="002176D6">
            <w:pPr>
              <w:jc w:val="center"/>
              <w:rPr>
                <w:rFonts w:ascii="Cambria" w:hAnsi="Cambria"/>
                <w:color w:val="000000"/>
                <w:sz w:val="18"/>
                <w:szCs w:val="18"/>
              </w:rPr>
            </w:pPr>
            <w:r w:rsidRPr="002176D6">
              <w:rPr>
                <w:rFonts w:ascii="Cambria" w:hAnsi="Cambria"/>
                <w:color w:val="000000"/>
                <w:sz w:val="18"/>
                <w:szCs w:val="18"/>
              </w:rPr>
              <w:t>Безрисковая ставка, %</w:t>
            </w:r>
          </w:p>
        </w:tc>
        <w:tc>
          <w:tcPr>
            <w:tcW w:w="1920" w:type="dxa"/>
            <w:shd w:val="clear" w:color="000000" w:fill="FFFFFF"/>
            <w:vAlign w:val="center"/>
            <w:hideMark/>
          </w:tcPr>
          <w:p w:rsidR="00305BC3" w:rsidRPr="00305BC3" w:rsidRDefault="00305BC3">
            <w:pPr>
              <w:jc w:val="center"/>
              <w:rPr>
                <w:rFonts w:ascii="Cambria" w:hAnsi="Cambria"/>
                <w:color w:val="000000"/>
                <w:sz w:val="18"/>
                <w:szCs w:val="18"/>
              </w:rPr>
            </w:pPr>
            <w:r w:rsidRPr="00305BC3">
              <w:rPr>
                <w:rFonts w:ascii="Cambria" w:hAnsi="Cambria"/>
                <w:color w:val="000000"/>
                <w:sz w:val="18"/>
                <w:szCs w:val="18"/>
              </w:rPr>
              <w:t>5,140%</w:t>
            </w:r>
          </w:p>
        </w:tc>
      </w:tr>
      <w:tr w:rsidR="00305BC3" w:rsidRPr="002176D6" w:rsidTr="002176D6">
        <w:trPr>
          <w:trHeight w:val="20"/>
          <w:jc w:val="center"/>
        </w:trPr>
        <w:tc>
          <w:tcPr>
            <w:tcW w:w="4060" w:type="dxa"/>
            <w:shd w:val="clear" w:color="000000" w:fill="FFFFFF"/>
            <w:vAlign w:val="center"/>
            <w:hideMark/>
          </w:tcPr>
          <w:p w:rsidR="00305BC3" w:rsidRPr="002176D6" w:rsidRDefault="00305BC3" w:rsidP="002176D6">
            <w:pPr>
              <w:jc w:val="center"/>
              <w:rPr>
                <w:rFonts w:ascii="Cambria" w:hAnsi="Cambria"/>
                <w:color w:val="000000"/>
                <w:sz w:val="18"/>
                <w:szCs w:val="18"/>
              </w:rPr>
            </w:pPr>
            <w:r w:rsidRPr="002176D6">
              <w:rPr>
                <w:rFonts w:ascii="Cambria" w:hAnsi="Cambria"/>
                <w:color w:val="000000"/>
                <w:sz w:val="18"/>
                <w:szCs w:val="18"/>
              </w:rPr>
              <w:t>Затраты на инвестиционный менеджмент, %</w:t>
            </w:r>
          </w:p>
        </w:tc>
        <w:tc>
          <w:tcPr>
            <w:tcW w:w="1920" w:type="dxa"/>
            <w:shd w:val="clear" w:color="000000" w:fill="FFFFFF"/>
            <w:vAlign w:val="center"/>
            <w:hideMark/>
          </w:tcPr>
          <w:p w:rsidR="00305BC3" w:rsidRPr="00305BC3" w:rsidRDefault="00305BC3">
            <w:pPr>
              <w:jc w:val="center"/>
              <w:rPr>
                <w:rFonts w:ascii="Cambria" w:hAnsi="Cambria"/>
                <w:color w:val="000000"/>
                <w:sz w:val="18"/>
                <w:szCs w:val="18"/>
              </w:rPr>
            </w:pPr>
            <w:r w:rsidRPr="00305BC3">
              <w:rPr>
                <w:rFonts w:ascii="Cambria" w:hAnsi="Cambria"/>
                <w:color w:val="000000"/>
                <w:sz w:val="18"/>
                <w:szCs w:val="18"/>
              </w:rPr>
              <w:t>0,500%</w:t>
            </w:r>
          </w:p>
        </w:tc>
      </w:tr>
      <w:tr w:rsidR="00305BC3" w:rsidRPr="002176D6" w:rsidTr="002176D6">
        <w:trPr>
          <w:trHeight w:val="20"/>
          <w:jc w:val="center"/>
        </w:trPr>
        <w:tc>
          <w:tcPr>
            <w:tcW w:w="4060" w:type="dxa"/>
            <w:shd w:val="clear" w:color="000000" w:fill="FFFFFF"/>
            <w:vAlign w:val="center"/>
            <w:hideMark/>
          </w:tcPr>
          <w:p w:rsidR="00305BC3" w:rsidRPr="002176D6" w:rsidRDefault="00305BC3" w:rsidP="002176D6">
            <w:pPr>
              <w:jc w:val="center"/>
              <w:rPr>
                <w:rFonts w:ascii="Cambria" w:hAnsi="Cambria"/>
                <w:color w:val="000000"/>
                <w:sz w:val="18"/>
                <w:szCs w:val="18"/>
              </w:rPr>
            </w:pPr>
            <w:r w:rsidRPr="002176D6">
              <w:rPr>
                <w:rFonts w:ascii="Cambria" w:hAnsi="Cambria"/>
                <w:color w:val="000000"/>
                <w:sz w:val="18"/>
                <w:szCs w:val="18"/>
              </w:rPr>
              <w:t>Риск вложения в недвижимость,%</w:t>
            </w:r>
          </w:p>
        </w:tc>
        <w:tc>
          <w:tcPr>
            <w:tcW w:w="1920" w:type="dxa"/>
            <w:shd w:val="clear" w:color="000000" w:fill="FFFFFF"/>
            <w:vAlign w:val="center"/>
            <w:hideMark/>
          </w:tcPr>
          <w:p w:rsidR="00305BC3" w:rsidRPr="00305BC3" w:rsidRDefault="00305BC3">
            <w:pPr>
              <w:jc w:val="center"/>
              <w:rPr>
                <w:rFonts w:ascii="Cambria" w:hAnsi="Cambria"/>
                <w:color w:val="000000"/>
                <w:sz w:val="18"/>
                <w:szCs w:val="18"/>
              </w:rPr>
            </w:pPr>
            <w:r w:rsidRPr="00305BC3">
              <w:rPr>
                <w:rFonts w:ascii="Cambria" w:hAnsi="Cambria"/>
                <w:color w:val="000000"/>
                <w:sz w:val="18"/>
                <w:szCs w:val="18"/>
              </w:rPr>
              <w:t>0,500%</w:t>
            </w:r>
          </w:p>
        </w:tc>
      </w:tr>
      <w:tr w:rsidR="00305BC3" w:rsidRPr="002176D6" w:rsidTr="002176D6">
        <w:trPr>
          <w:trHeight w:val="20"/>
          <w:jc w:val="center"/>
        </w:trPr>
        <w:tc>
          <w:tcPr>
            <w:tcW w:w="4060" w:type="dxa"/>
            <w:shd w:val="clear" w:color="000000" w:fill="FFFFFF"/>
            <w:vAlign w:val="center"/>
            <w:hideMark/>
          </w:tcPr>
          <w:p w:rsidR="00305BC3" w:rsidRPr="002176D6" w:rsidRDefault="00305BC3" w:rsidP="002176D6">
            <w:pPr>
              <w:jc w:val="center"/>
              <w:rPr>
                <w:rFonts w:ascii="Cambria" w:hAnsi="Cambria"/>
                <w:color w:val="000000"/>
                <w:sz w:val="18"/>
                <w:szCs w:val="18"/>
              </w:rPr>
            </w:pPr>
            <w:r w:rsidRPr="002176D6">
              <w:rPr>
                <w:rFonts w:ascii="Cambria" w:hAnsi="Cambria"/>
                <w:color w:val="000000"/>
                <w:sz w:val="18"/>
                <w:szCs w:val="18"/>
              </w:rPr>
              <w:t>Поправка на низкую ликвидность, %</w:t>
            </w:r>
          </w:p>
        </w:tc>
        <w:tc>
          <w:tcPr>
            <w:tcW w:w="1920" w:type="dxa"/>
            <w:shd w:val="clear" w:color="000000" w:fill="FFFFFF"/>
            <w:vAlign w:val="center"/>
            <w:hideMark/>
          </w:tcPr>
          <w:p w:rsidR="00305BC3" w:rsidRPr="00305BC3" w:rsidRDefault="00305BC3">
            <w:pPr>
              <w:jc w:val="center"/>
              <w:rPr>
                <w:rFonts w:ascii="Cambria" w:hAnsi="Cambria"/>
                <w:color w:val="000000"/>
                <w:sz w:val="18"/>
                <w:szCs w:val="18"/>
              </w:rPr>
            </w:pPr>
            <w:r w:rsidRPr="00305BC3">
              <w:rPr>
                <w:rFonts w:ascii="Cambria" w:hAnsi="Cambria"/>
                <w:color w:val="000000"/>
                <w:sz w:val="18"/>
                <w:szCs w:val="18"/>
              </w:rPr>
              <w:t>1,713%</w:t>
            </w:r>
          </w:p>
        </w:tc>
      </w:tr>
      <w:tr w:rsidR="00305BC3" w:rsidRPr="002176D6" w:rsidTr="002176D6">
        <w:trPr>
          <w:trHeight w:val="20"/>
          <w:jc w:val="center"/>
        </w:trPr>
        <w:tc>
          <w:tcPr>
            <w:tcW w:w="4060" w:type="dxa"/>
            <w:shd w:val="clear" w:color="000000" w:fill="FFFFFF"/>
            <w:vAlign w:val="center"/>
            <w:hideMark/>
          </w:tcPr>
          <w:p w:rsidR="00305BC3" w:rsidRPr="002176D6" w:rsidRDefault="00305BC3" w:rsidP="002176D6">
            <w:pPr>
              <w:jc w:val="center"/>
              <w:rPr>
                <w:rFonts w:ascii="Cambria" w:hAnsi="Cambria"/>
                <w:color w:val="000000"/>
                <w:sz w:val="18"/>
                <w:szCs w:val="18"/>
              </w:rPr>
            </w:pPr>
            <w:r w:rsidRPr="002176D6">
              <w:rPr>
                <w:rFonts w:ascii="Cambria" w:hAnsi="Cambria"/>
                <w:color w:val="000000"/>
                <w:sz w:val="18"/>
                <w:szCs w:val="18"/>
              </w:rPr>
              <w:t>Ставка доходности инвестиции, %</w:t>
            </w:r>
          </w:p>
        </w:tc>
        <w:tc>
          <w:tcPr>
            <w:tcW w:w="1920" w:type="dxa"/>
            <w:shd w:val="clear" w:color="000000" w:fill="FFFFFF"/>
            <w:vAlign w:val="center"/>
            <w:hideMark/>
          </w:tcPr>
          <w:p w:rsidR="00305BC3" w:rsidRPr="00305BC3" w:rsidRDefault="00305BC3">
            <w:pPr>
              <w:jc w:val="center"/>
              <w:rPr>
                <w:rFonts w:ascii="Cambria" w:hAnsi="Cambria"/>
                <w:color w:val="000000"/>
                <w:sz w:val="18"/>
                <w:szCs w:val="18"/>
              </w:rPr>
            </w:pPr>
            <w:r w:rsidRPr="00305BC3">
              <w:rPr>
                <w:rFonts w:ascii="Cambria" w:hAnsi="Cambria"/>
                <w:color w:val="000000"/>
                <w:sz w:val="18"/>
                <w:szCs w:val="18"/>
              </w:rPr>
              <w:t>7,850%</w:t>
            </w:r>
          </w:p>
        </w:tc>
      </w:tr>
      <w:tr w:rsidR="00305BC3" w:rsidRPr="002176D6" w:rsidTr="002176D6">
        <w:trPr>
          <w:trHeight w:val="20"/>
          <w:jc w:val="center"/>
        </w:trPr>
        <w:tc>
          <w:tcPr>
            <w:tcW w:w="4060" w:type="dxa"/>
            <w:shd w:val="clear" w:color="000000" w:fill="FFFFFF"/>
            <w:vAlign w:val="center"/>
            <w:hideMark/>
          </w:tcPr>
          <w:p w:rsidR="00305BC3" w:rsidRPr="002176D6" w:rsidRDefault="00305BC3" w:rsidP="002176D6">
            <w:pPr>
              <w:jc w:val="center"/>
              <w:rPr>
                <w:rFonts w:ascii="Cambria" w:hAnsi="Cambria"/>
                <w:color w:val="000000"/>
                <w:sz w:val="18"/>
                <w:szCs w:val="18"/>
              </w:rPr>
            </w:pPr>
            <w:r w:rsidRPr="002176D6">
              <w:rPr>
                <w:rFonts w:ascii="Cambria" w:hAnsi="Cambria"/>
                <w:color w:val="000000"/>
                <w:sz w:val="18"/>
                <w:szCs w:val="18"/>
              </w:rPr>
              <w:t>Норма возврата капитала, %</w:t>
            </w:r>
          </w:p>
        </w:tc>
        <w:tc>
          <w:tcPr>
            <w:tcW w:w="1920" w:type="dxa"/>
            <w:shd w:val="clear" w:color="000000" w:fill="FFFFFF"/>
            <w:vAlign w:val="center"/>
            <w:hideMark/>
          </w:tcPr>
          <w:p w:rsidR="00305BC3" w:rsidRPr="00305BC3" w:rsidRDefault="00305BC3">
            <w:pPr>
              <w:jc w:val="center"/>
              <w:rPr>
                <w:rFonts w:ascii="Cambria" w:hAnsi="Cambria"/>
                <w:color w:val="000000"/>
                <w:sz w:val="18"/>
                <w:szCs w:val="18"/>
              </w:rPr>
            </w:pPr>
            <w:r w:rsidRPr="00305BC3">
              <w:rPr>
                <w:rFonts w:ascii="Cambria" w:hAnsi="Cambria"/>
                <w:color w:val="000000"/>
                <w:sz w:val="18"/>
                <w:szCs w:val="18"/>
              </w:rPr>
              <w:t>1,087%</w:t>
            </w:r>
          </w:p>
        </w:tc>
      </w:tr>
      <w:tr w:rsidR="00305BC3" w:rsidRPr="002176D6" w:rsidTr="002176D6">
        <w:trPr>
          <w:trHeight w:val="20"/>
          <w:jc w:val="center"/>
        </w:trPr>
        <w:tc>
          <w:tcPr>
            <w:tcW w:w="4060" w:type="dxa"/>
            <w:shd w:val="clear" w:color="000000" w:fill="FFFFFF"/>
            <w:vAlign w:val="center"/>
            <w:hideMark/>
          </w:tcPr>
          <w:p w:rsidR="00305BC3" w:rsidRPr="002176D6" w:rsidRDefault="00305BC3" w:rsidP="002176D6">
            <w:pPr>
              <w:jc w:val="center"/>
              <w:rPr>
                <w:rFonts w:ascii="Cambria" w:hAnsi="Cambria"/>
                <w:color w:val="000000"/>
                <w:sz w:val="18"/>
                <w:szCs w:val="18"/>
              </w:rPr>
            </w:pPr>
            <w:r w:rsidRPr="002176D6">
              <w:rPr>
                <w:rFonts w:ascii="Cambria" w:hAnsi="Cambria"/>
                <w:color w:val="000000"/>
                <w:sz w:val="18"/>
                <w:szCs w:val="18"/>
              </w:rPr>
              <w:t>Суммарная процентная ставка, %</w:t>
            </w:r>
          </w:p>
        </w:tc>
        <w:tc>
          <w:tcPr>
            <w:tcW w:w="1920" w:type="dxa"/>
            <w:shd w:val="clear" w:color="000000" w:fill="FFFFFF"/>
            <w:vAlign w:val="center"/>
            <w:hideMark/>
          </w:tcPr>
          <w:p w:rsidR="00305BC3" w:rsidRPr="00305BC3" w:rsidRDefault="00305BC3">
            <w:pPr>
              <w:jc w:val="center"/>
              <w:rPr>
                <w:rFonts w:ascii="Cambria" w:hAnsi="Cambria"/>
                <w:color w:val="000000"/>
                <w:sz w:val="18"/>
                <w:szCs w:val="18"/>
              </w:rPr>
            </w:pPr>
            <w:r w:rsidRPr="00305BC3">
              <w:rPr>
                <w:rFonts w:ascii="Cambria" w:hAnsi="Cambria"/>
                <w:color w:val="000000"/>
                <w:sz w:val="18"/>
                <w:szCs w:val="18"/>
              </w:rPr>
              <w:t>8,937%</w:t>
            </w:r>
          </w:p>
        </w:tc>
      </w:tr>
      <w:tr w:rsidR="00305BC3" w:rsidRPr="002176D6" w:rsidTr="002176D6">
        <w:trPr>
          <w:trHeight w:val="20"/>
          <w:jc w:val="center"/>
        </w:trPr>
        <w:tc>
          <w:tcPr>
            <w:tcW w:w="4060" w:type="dxa"/>
            <w:shd w:val="clear" w:color="000000" w:fill="FFFFFF"/>
            <w:vAlign w:val="center"/>
            <w:hideMark/>
          </w:tcPr>
          <w:p w:rsidR="00305BC3" w:rsidRPr="002176D6" w:rsidRDefault="00305BC3" w:rsidP="002176D6">
            <w:pPr>
              <w:jc w:val="center"/>
              <w:rPr>
                <w:rFonts w:ascii="Cambria" w:hAnsi="Cambria"/>
                <w:color w:val="000000"/>
                <w:sz w:val="18"/>
                <w:szCs w:val="18"/>
              </w:rPr>
            </w:pPr>
            <w:r w:rsidRPr="002176D6">
              <w:rPr>
                <w:rFonts w:ascii="Cambria" w:hAnsi="Cambria"/>
                <w:color w:val="000000"/>
                <w:sz w:val="18"/>
                <w:szCs w:val="18"/>
              </w:rPr>
              <w:t>Общий коэффициент капитализации</w:t>
            </w:r>
          </w:p>
        </w:tc>
        <w:tc>
          <w:tcPr>
            <w:tcW w:w="1920" w:type="dxa"/>
            <w:shd w:val="clear" w:color="000000" w:fill="FFFFFF"/>
            <w:vAlign w:val="center"/>
            <w:hideMark/>
          </w:tcPr>
          <w:p w:rsidR="00305BC3" w:rsidRPr="00305BC3" w:rsidRDefault="00305BC3">
            <w:pPr>
              <w:jc w:val="center"/>
              <w:rPr>
                <w:rFonts w:ascii="Cambria" w:hAnsi="Cambria"/>
                <w:color w:val="000000"/>
                <w:sz w:val="18"/>
                <w:szCs w:val="18"/>
              </w:rPr>
            </w:pPr>
            <w:r w:rsidRPr="00305BC3">
              <w:rPr>
                <w:rFonts w:ascii="Cambria" w:hAnsi="Cambria"/>
                <w:color w:val="000000"/>
                <w:sz w:val="18"/>
                <w:szCs w:val="18"/>
              </w:rPr>
              <w:t>8,937%</w:t>
            </w:r>
          </w:p>
        </w:tc>
      </w:tr>
    </w:tbl>
    <w:p w:rsidR="002176D6" w:rsidRPr="002176D6" w:rsidRDefault="002176D6" w:rsidP="002176D6">
      <w:pPr>
        <w:jc w:val="center"/>
        <w:rPr>
          <w:rFonts w:asciiTheme="majorHAnsi" w:eastAsiaTheme="majorEastAsia" w:hAnsiTheme="majorHAnsi"/>
          <w:b/>
          <w:bCs/>
          <w:iCs/>
          <w:sz w:val="20"/>
          <w:szCs w:val="20"/>
        </w:rPr>
      </w:pPr>
    </w:p>
    <w:p w:rsidR="002176D6" w:rsidRPr="002176D6" w:rsidRDefault="002176D6" w:rsidP="002176D6">
      <w:pPr>
        <w:jc w:val="center"/>
        <w:rPr>
          <w:rFonts w:asciiTheme="majorHAnsi" w:eastAsiaTheme="majorEastAsia" w:hAnsiTheme="majorHAnsi"/>
          <w:b/>
          <w:bCs/>
          <w:iCs/>
          <w:sz w:val="20"/>
          <w:szCs w:val="20"/>
        </w:rPr>
      </w:pPr>
      <w:r w:rsidRPr="002176D6">
        <w:rPr>
          <w:rFonts w:asciiTheme="majorHAnsi" w:eastAsiaTheme="majorEastAsia" w:hAnsiTheme="majorHAnsi"/>
          <w:b/>
          <w:bCs/>
          <w:iCs/>
          <w:sz w:val="20"/>
          <w:szCs w:val="20"/>
        </w:rPr>
        <w:t>Расчет рыночной стоимости объекта оценки доходным подходом</w:t>
      </w:r>
    </w:p>
    <w:p w:rsidR="002176D6" w:rsidRPr="002176D6" w:rsidRDefault="002176D6" w:rsidP="002176D6">
      <w:pPr>
        <w:jc w:val="center"/>
        <w:rPr>
          <w:rFonts w:asciiTheme="majorHAnsi" w:eastAsiaTheme="majorEastAsia" w:hAnsiTheme="majorHAnsi"/>
          <w:b/>
          <w:bCs/>
          <w:iCs/>
          <w:sz w:val="20"/>
          <w:szCs w:val="20"/>
        </w:rPr>
      </w:pPr>
    </w:p>
    <w:tbl>
      <w:tblPr>
        <w:tblW w:w="10058"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127"/>
        <w:gridCol w:w="1984"/>
        <w:gridCol w:w="1701"/>
        <w:gridCol w:w="2126"/>
        <w:gridCol w:w="2120"/>
      </w:tblGrid>
      <w:tr w:rsidR="002176D6" w:rsidRPr="002176D6" w:rsidTr="002176D6">
        <w:trPr>
          <w:trHeight w:val="20"/>
        </w:trPr>
        <w:tc>
          <w:tcPr>
            <w:tcW w:w="2127" w:type="dxa"/>
            <w:tcBorders>
              <w:top w:val="double" w:sz="4" w:space="0" w:color="auto"/>
              <w:bottom w:val="single" w:sz="6" w:space="0" w:color="auto"/>
            </w:tcBorders>
            <w:shd w:val="clear" w:color="auto" w:fill="F2F2F2" w:themeFill="background1" w:themeFillShade="F2"/>
            <w:vAlign w:val="center"/>
            <w:hideMark/>
          </w:tcPr>
          <w:p w:rsidR="002176D6" w:rsidRPr="002176D6" w:rsidRDefault="002176D6" w:rsidP="002176D6">
            <w:pPr>
              <w:jc w:val="center"/>
              <w:rPr>
                <w:rFonts w:ascii="Cambria" w:hAnsi="Cambria"/>
                <w:b/>
                <w:bCs/>
                <w:color w:val="000000"/>
                <w:sz w:val="18"/>
                <w:szCs w:val="18"/>
              </w:rPr>
            </w:pPr>
            <w:r w:rsidRPr="002176D6">
              <w:rPr>
                <w:rFonts w:ascii="Cambria" w:hAnsi="Cambria"/>
                <w:b/>
                <w:bCs/>
                <w:color w:val="000000"/>
                <w:sz w:val="18"/>
                <w:szCs w:val="18"/>
              </w:rPr>
              <w:t>Наименование объекта оценки</w:t>
            </w:r>
          </w:p>
        </w:tc>
        <w:tc>
          <w:tcPr>
            <w:tcW w:w="1984" w:type="dxa"/>
            <w:tcBorders>
              <w:top w:val="double" w:sz="4" w:space="0" w:color="auto"/>
              <w:bottom w:val="single" w:sz="6" w:space="0" w:color="auto"/>
            </w:tcBorders>
            <w:shd w:val="clear" w:color="auto" w:fill="F2F2F2" w:themeFill="background1" w:themeFillShade="F2"/>
            <w:vAlign w:val="center"/>
            <w:hideMark/>
          </w:tcPr>
          <w:p w:rsidR="002176D6" w:rsidRPr="002176D6" w:rsidRDefault="002176D6" w:rsidP="002176D6">
            <w:pPr>
              <w:jc w:val="center"/>
              <w:rPr>
                <w:rFonts w:ascii="Cambria" w:hAnsi="Cambria"/>
                <w:b/>
                <w:bCs/>
                <w:color w:val="000000"/>
                <w:sz w:val="18"/>
                <w:szCs w:val="18"/>
              </w:rPr>
            </w:pPr>
            <w:r w:rsidRPr="002176D6">
              <w:rPr>
                <w:rFonts w:ascii="Cambria" w:hAnsi="Cambria"/>
                <w:b/>
                <w:bCs/>
                <w:color w:val="000000"/>
                <w:sz w:val="18"/>
                <w:szCs w:val="18"/>
              </w:rPr>
              <w:t>Чистый операционный доход  (ЧОД), п.6-п.11</w:t>
            </w:r>
          </w:p>
        </w:tc>
        <w:tc>
          <w:tcPr>
            <w:tcW w:w="1701" w:type="dxa"/>
            <w:tcBorders>
              <w:top w:val="double" w:sz="4" w:space="0" w:color="auto"/>
              <w:bottom w:val="single" w:sz="6" w:space="0" w:color="auto"/>
            </w:tcBorders>
            <w:shd w:val="clear" w:color="auto" w:fill="F2F2F2" w:themeFill="background1" w:themeFillShade="F2"/>
            <w:vAlign w:val="center"/>
            <w:hideMark/>
          </w:tcPr>
          <w:p w:rsidR="002176D6" w:rsidRPr="002176D6" w:rsidRDefault="002176D6" w:rsidP="002176D6">
            <w:pPr>
              <w:jc w:val="center"/>
              <w:rPr>
                <w:rFonts w:ascii="Cambria" w:hAnsi="Cambria"/>
                <w:b/>
                <w:bCs/>
                <w:color w:val="000000"/>
                <w:sz w:val="18"/>
                <w:szCs w:val="18"/>
              </w:rPr>
            </w:pPr>
            <w:r w:rsidRPr="002176D6">
              <w:rPr>
                <w:rFonts w:ascii="Cambria" w:hAnsi="Cambria"/>
                <w:b/>
                <w:bCs/>
                <w:color w:val="000000"/>
                <w:sz w:val="18"/>
                <w:szCs w:val="18"/>
              </w:rPr>
              <w:t>Общий коэффициент капитализации</w:t>
            </w:r>
          </w:p>
        </w:tc>
        <w:tc>
          <w:tcPr>
            <w:tcW w:w="2126" w:type="dxa"/>
            <w:tcBorders>
              <w:top w:val="double" w:sz="4" w:space="0" w:color="auto"/>
              <w:bottom w:val="single" w:sz="6" w:space="0" w:color="auto"/>
            </w:tcBorders>
            <w:shd w:val="clear" w:color="auto" w:fill="F2F2F2" w:themeFill="background1" w:themeFillShade="F2"/>
            <w:vAlign w:val="center"/>
            <w:hideMark/>
          </w:tcPr>
          <w:p w:rsidR="002176D6" w:rsidRPr="002176D6" w:rsidRDefault="002176D6" w:rsidP="002176D6">
            <w:pPr>
              <w:jc w:val="center"/>
              <w:rPr>
                <w:rFonts w:ascii="Cambria" w:hAnsi="Cambria"/>
                <w:b/>
                <w:bCs/>
                <w:color w:val="000000"/>
                <w:sz w:val="18"/>
                <w:szCs w:val="18"/>
              </w:rPr>
            </w:pPr>
            <w:r w:rsidRPr="002176D6">
              <w:rPr>
                <w:rFonts w:ascii="Cambria" w:hAnsi="Cambria"/>
                <w:b/>
                <w:bCs/>
                <w:color w:val="000000"/>
                <w:sz w:val="18"/>
                <w:szCs w:val="18"/>
              </w:rPr>
              <w:t>Стоимость объекта оценки с учетом НДС, руб.</w:t>
            </w:r>
          </w:p>
        </w:tc>
        <w:tc>
          <w:tcPr>
            <w:tcW w:w="2120" w:type="dxa"/>
            <w:tcBorders>
              <w:top w:val="double" w:sz="4" w:space="0" w:color="auto"/>
              <w:bottom w:val="single" w:sz="6" w:space="0" w:color="auto"/>
            </w:tcBorders>
            <w:shd w:val="clear" w:color="auto" w:fill="F2F2F2" w:themeFill="background1" w:themeFillShade="F2"/>
            <w:vAlign w:val="center"/>
            <w:hideMark/>
          </w:tcPr>
          <w:p w:rsidR="002176D6" w:rsidRPr="002176D6" w:rsidRDefault="002176D6" w:rsidP="002176D6">
            <w:pPr>
              <w:jc w:val="center"/>
              <w:rPr>
                <w:rFonts w:ascii="Cambria" w:hAnsi="Cambria"/>
                <w:b/>
                <w:bCs/>
                <w:color w:val="000000"/>
                <w:sz w:val="18"/>
                <w:szCs w:val="18"/>
              </w:rPr>
            </w:pPr>
            <w:r w:rsidRPr="002176D6">
              <w:rPr>
                <w:rFonts w:ascii="Cambria" w:hAnsi="Cambria"/>
                <w:b/>
                <w:bCs/>
                <w:color w:val="000000"/>
                <w:sz w:val="18"/>
                <w:szCs w:val="18"/>
              </w:rPr>
              <w:t>Стоимость объекта оценки без учета НДС, руб.</w:t>
            </w:r>
          </w:p>
        </w:tc>
      </w:tr>
      <w:tr w:rsidR="00305BC3" w:rsidRPr="002176D6" w:rsidTr="002176D6">
        <w:trPr>
          <w:trHeight w:val="20"/>
        </w:trPr>
        <w:tc>
          <w:tcPr>
            <w:tcW w:w="2127" w:type="dxa"/>
            <w:tcBorders>
              <w:top w:val="single" w:sz="6" w:space="0" w:color="auto"/>
            </w:tcBorders>
            <w:shd w:val="clear" w:color="auto" w:fill="auto"/>
            <w:vAlign w:val="center"/>
            <w:hideMark/>
          </w:tcPr>
          <w:p w:rsidR="00305BC3" w:rsidRPr="002176D6" w:rsidRDefault="00305BC3" w:rsidP="00305BC3">
            <w:pPr>
              <w:jc w:val="center"/>
              <w:rPr>
                <w:rFonts w:ascii="Cambria" w:hAnsi="Cambria"/>
                <w:color w:val="000000"/>
                <w:sz w:val="18"/>
                <w:szCs w:val="18"/>
              </w:rPr>
            </w:pPr>
            <w:r w:rsidRPr="002176D6">
              <w:rPr>
                <w:rFonts w:ascii="Cambria" w:hAnsi="Cambria"/>
                <w:color w:val="000000"/>
                <w:sz w:val="18"/>
                <w:szCs w:val="18"/>
              </w:rPr>
              <w:t xml:space="preserve">Единый объект недвижимости – </w:t>
            </w:r>
            <w:r>
              <w:rPr>
                <w:rFonts w:ascii="Cambria" w:hAnsi="Cambria"/>
                <w:color w:val="000000"/>
                <w:sz w:val="18"/>
                <w:szCs w:val="18"/>
              </w:rPr>
              <w:t xml:space="preserve">административно-бытовой </w:t>
            </w:r>
            <w:r w:rsidRPr="002176D6">
              <w:rPr>
                <w:rFonts w:ascii="Cambria" w:hAnsi="Cambria"/>
                <w:color w:val="000000"/>
                <w:sz w:val="18"/>
                <w:szCs w:val="18"/>
              </w:rPr>
              <w:t>комплекс</w:t>
            </w:r>
          </w:p>
        </w:tc>
        <w:tc>
          <w:tcPr>
            <w:tcW w:w="1984" w:type="dxa"/>
            <w:tcBorders>
              <w:top w:val="single" w:sz="6" w:space="0" w:color="auto"/>
            </w:tcBorders>
            <w:shd w:val="clear" w:color="000000" w:fill="FFFFFF"/>
            <w:noWrap/>
            <w:vAlign w:val="center"/>
            <w:hideMark/>
          </w:tcPr>
          <w:p w:rsidR="00305BC3" w:rsidRPr="00305BC3" w:rsidRDefault="00305BC3" w:rsidP="00305BC3">
            <w:pPr>
              <w:jc w:val="center"/>
              <w:rPr>
                <w:rFonts w:ascii="Cambria" w:hAnsi="Cambria"/>
                <w:color w:val="000000"/>
                <w:sz w:val="18"/>
                <w:szCs w:val="18"/>
              </w:rPr>
            </w:pPr>
            <w:r w:rsidRPr="00305BC3">
              <w:rPr>
                <w:rFonts w:ascii="Cambria" w:hAnsi="Cambria"/>
                <w:color w:val="000000"/>
                <w:sz w:val="18"/>
                <w:szCs w:val="18"/>
              </w:rPr>
              <w:t>4 981 030,00</w:t>
            </w:r>
          </w:p>
        </w:tc>
        <w:tc>
          <w:tcPr>
            <w:tcW w:w="1701" w:type="dxa"/>
            <w:tcBorders>
              <w:top w:val="single" w:sz="6" w:space="0" w:color="auto"/>
            </w:tcBorders>
            <w:shd w:val="clear" w:color="000000" w:fill="FFFFFF"/>
            <w:noWrap/>
            <w:vAlign w:val="center"/>
            <w:hideMark/>
          </w:tcPr>
          <w:p w:rsidR="00305BC3" w:rsidRPr="00305BC3" w:rsidRDefault="00305BC3" w:rsidP="00305BC3">
            <w:pPr>
              <w:jc w:val="center"/>
              <w:rPr>
                <w:rFonts w:ascii="Cambria" w:hAnsi="Cambria"/>
                <w:color w:val="000000"/>
                <w:sz w:val="18"/>
                <w:szCs w:val="18"/>
              </w:rPr>
            </w:pPr>
            <w:r w:rsidRPr="00305BC3">
              <w:rPr>
                <w:rFonts w:ascii="Cambria" w:hAnsi="Cambria"/>
                <w:color w:val="000000"/>
                <w:sz w:val="18"/>
                <w:szCs w:val="18"/>
              </w:rPr>
              <w:t>8,94%</w:t>
            </w:r>
          </w:p>
        </w:tc>
        <w:tc>
          <w:tcPr>
            <w:tcW w:w="2126" w:type="dxa"/>
            <w:tcBorders>
              <w:top w:val="single" w:sz="6" w:space="0" w:color="auto"/>
            </w:tcBorders>
            <w:shd w:val="clear" w:color="000000" w:fill="FFFFFF"/>
            <w:noWrap/>
            <w:vAlign w:val="center"/>
            <w:hideMark/>
          </w:tcPr>
          <w:p w:rsidR="00305BC3" w:rsidRPr="00305BC3" w:rsidRDefault="00305BC3" w:rsidP="00305BC3">
            <w:pPr>
              <w:jc w:val="center"/>
              <w:rPr>
                <w:rFonts w:ascii="Cambria" w:hAnsi="Cambria"/>
                <w:color w:val="000000"/>
                <w:sz w:val="18"/>
                <w:szCs w:val="18"/>
              </w:rPr>
            </w:pPr>
            <w:r w:rsidRPr="00305BC3">
              <w:rPr>
                <w:rFonts w:ascii="Cambria" w:hAnsi="Cambria"/>
                <w:color w:val="000000"/>
                <w:sz w:val="18"/>
                <w:szCs w:val="18"/>
              </w:rPr>
              <w:t>55 734 922,00</w:t>
            </w:r>
          </w:p>
        </w:tc>
        <w:tc>
          <w:tcPr>
            <w:tcW w:w="2120" w:type="dxa"/>
            <w:tcBorders>
              <w:top w:val="single" w:sz="6" w:space="0" w:color="auto"/>
            </w:tcBorders>
            <w:shd w:val="clear" w:color="000000" w:fill="FFFFFF"/>
            <w:noWrap/>
            <w:vAlign w:val="center"/>
            <w:hideMark/>
          </w:tcPr>
          <w:p w:rsidR="00305BC3" w:rsidRPr="00305BC3" w:rsidRDefault="00305BC3" w:rsidP="00305BC3">
            <w:pPr>
              <w:jc w:val="center"/>
              <w:rPr>
                <w:rFonts w:ascii="Cambria" w:hAnsi="Cambria"/>
                <w:color w:val="000000"/>
                <w:sz w:val="18"/>
                <w:szCs w:val="18"/>
              </w:rPr>
            </w:pPr>
            <w:r w:rsidRPr="00305BC3">
              <w:rPr>
                <w:rFonts w:ascii="Cambria" w:hAnsi="Cambria"/>
                <w:color w:val="000000"/>
                <w:sz w:val="18"/>
                <w:szCs w:val="18"/>
              </w:rPr>
              <w:t>47 232 985,00</w:t>
            </w:r>
          </w:p>
        </w:tc>
      </w:tr>
    </w:tbl>
    <w:p w:rsidR="00305BC3" w:rsidRPr="00AA714B" w:rsidRDefault="00D80751" w:rsidP="00305BC3">
      <w:pPr>
        <w:spacing w:before="480" w:after="120"/>
        <w:ind w:firstLine="709"/>
        <w:jc w:val="both"/>
        <w:rPr>
          <w:rFonts w:asciiTheme="majorHAnsi" w:eastAsiaTheme="minorHAnsi" w:hAnsiTheme="majorHAnsi" w:cstheme="minorBidi"/>
          <w:bCs/>
          <w:iCs/>
          <w:sz w:val="22"/>
          <w:szCs w:val="22"/>
          <w:lang w:eastAsia="en-US"/>
        </w:rPr>
      </w:pPr>
      <w:r w:rsidRPr="00D80751">
        <w:rPr>
          <w:rFonts w:ascii="Cambria" w:eastAsiaTheme="minorHAnsi" w:hAnsi="Cambria" w:cs="Cambria"/>
          <w:b/>
          <w:bCs/>
          <w:iCs/>
          <w:color w:val="000000"/>
          <w:sz w:val="20"/>
          <w:szCs w:val="20"/>
          <w:lang w:eastAsia="en-US"/>
        </w:rPr>
        <w:t>Вывод:</w:t>
      </w:r>
      <w:r w:rsidRPr="00D80751">
        <w:rPr>
          <w:rFonts w:ascii="Cambria" w:eastAsiaTheme="minorHAnsi" w:hAnsi="Cambria" w:cs="Cambria"/>
          <w:b/>
          <w:bCs/>
          <w:i/>
          <w:iCs/>
          <w:color w:val="000000"/>
          <w:sz w:val="20"/>
          <w:szCs w:val="20"/>
          <w:lang w:eastAsia="en-US"/>
        </w:rPr>
        <w:t xml:space="preserve"> </w:t>
      </w:r>
      <w:r w:rsidR="00305BC3" w:rsidRPr="00AA714B">
        <w:rPr>
          <w:rFonts w:asciiTheme="majorHAnsi" w:eastAsiaTheme="minorHAnsi" w:hAnsiTheme="majorHAnsi" w:cstheme="minorBidi"/>
          <w:bCs/>
          <w:iCs/>
          <w:sz w:val="20"/>
          <w:szCs w:val="22"/>
          <w:lang w:eastAsia="en-US"/>
        </w:rPr>
        <w:t>Стоимость  объект</w:t>
      </w:r>
      <w:r w:rsidR="00305BC3">
        <w:rPr>
          <w:rFonts w:asciiTheme="majorHAnsi" w:eastAsiaTheme="minorHAnsi" w:hAnsiTheme="majorHAnsi" w:cstheme="minorBidi"/>
          <w:bCs/>
          <w:iCs/>
          <w:sz w:val="20"/>
          <w:szCs w:val="22"/>
          <w:lang w:eastAsia="en-US"/>
        </w:rPr>
        <w:t>а</w:t>
      </w:r>
      <w:r w:rsidR="00305BC3" w:rsidRPr="00AA714B">
        <w:rPr>
          <w:rFonts w:asciiTheme="majorHAnsi" w:eastAsiaTheme="minorHAnsi" w:hAnsiTheme="majorHAnsi" w:cstheme="minorBidi"/>
          <w:bCs/>
          <w:iCs/>
          <w:sz w:val="20"/>
          <w:szCs w:val="22"/>
          <w:lang w:eastAsia="en-US"/>
        </w:rPr>
        <w:t xml:space="preserve"> </w:t>
      </w:r>
      <w:r w:rsidR="00305BC3">
        <w:rPr>
          <w:rFonts w:asciiTheme="majorHAnsi" w:eastAsiaTheme="minorHAnsi" w:hAnsiTheme="majorHAnsi" w:cstheme="minorBidi"/>
          <w:bCs/>
          <w:iCs/>
          <w:sz w:val="20"/>
          <w:szCs w:val="22"/>
          <w:lang w:eastAsia="en-US"/>
        </w:rPr>
        <w:t>оценки – нежилого производственного комплекса</w:t>
      </w:r>
      <w:r w:rsidR="00305BC3" w:rsidRPr="00AA714B">
        <w:rPr>
          <w:rFonts w:asciiTheme="majorHAnsi" w:eastAsiaTheme="minorHAnsi" w:hAnsiTheme="majorHAnsi" w:cstheme="minorBidi"/>
          <w:bCs/>
          <w:iCs/>
          <w:sz w:val="20"/>
          <w:szCs w:val="22"/>
          <w:lang w:eastAsia="en-US"/>
        </w:rPr>
        <w:t>,</w:t>
      </w:r>
      <w:r w:rsidR="00305BC3">
        <w:rPr>
          <w:rFonts w:asciiTheme="majorHAnsi" w:eastAsiaTheme="minorHAnsi" w:hAnsiTheme="majorHAnsi" w:cstheme="minorBidi"/>
          <w:bCs/>
          <w:iCs/>
          <w:sz w:val="20"/>
          <w:szCs w:val="22"/>
          <w:lang w:eastAsia="en-US"/>
        </w:rPr>
        <w:t xml:space="preserve"> расположенного по адресу: </w:t>
      </w:r>
      <w:r w:rsidR="00305BC3" w:rsidRPr="00471C8E">
        <w:rPr>
          <w:rFonts w:asciiTheme="majorHAnsi" w:eastAsiaTheme="minorHAnsi" w:hAnsiTheme="majorHAnsi" w:cstheme="minorBidi"/>
          <w:bCs/>
          <w:iCs/>
          <w:sz w:val="20"/>
          <w:szCs w:val="22"/>
          <w:lang w:eastAsia="en-US"/>
        </w:rPr>
        <w:t>Белгородская обл. г. Белгород, ул</w:t>
      </w:r>
      <w:r w:rsidR="00305BC3">
        <w:rPr>
          <w:rFonts w:asciiTheme="majorHAnsi" w:eastAsiaTheme="minorHAnsi" w:hAnsiTheme="majorHAnsi" w:cstheme="minorBidi"/>
          <w:bCs/>
          <w:iCs/>
          <w:sz w:val="20"/>
          <w:szCs w:val="22"/>
          <w:lang w:eastAsia="en-US"/>
        </w:rPr>
        <w:t>.</w:t>
      </w:r>
      <w:r w:rsidR="00305BC3" w:rsidRPr="00471C8E">
        <w:rPr>
          <w:rFonts w:asciiTheme="majorHAnsi" w:eastAsiaTheme="minorHAnsi" w:hAnsiTheme="majorHAnsi" w:cstheme="minorBidi"/>
          <w:bCs/>
          <w:iCs/>
          <w:sz w:val="20"/>
          <w:szCs w:val="22"/>
          <w:lang w:eastAsia="en-US"/>
        </w:rPr>
        <w:t xml:space="preserve"> Мирная, 21</w:t>
      </w:r>
      <w:r w:rsidR="00305BC3">
        <w:rPr>
          <w:rFonts w:asciiTheme="majorHAnsi" w:eastAsiaTheme="minorHAnsi" w:hAnsiTheme="majorHAnsi" w:cstheme="minorBidi"/>
          <w:bCs/>
          <w:iCs/>
          <w:sz w:val="20"/>
          <w:szCs w:val="22"/>
          <w:lang w:eastAsia="en-US"/>
        </w:rPr>
        <w:t xml:space="preserve">, </w:t>
      </w:r>
      <w:r w:rsidR="00305BC3" w:rsidRPr="00AA714B">
        <w:rPr>
          <w:rFonts w:asciiTheme="majorHAnsi" w:eastAsiaTheme="minorHAnsi" w:hAnsiTheme="majorHAnsi" w:cstheme="minorBidi"/>
          <w:bCs/>
          <w:iCs/>
          <w:sz w:val="20"/>
          <w:szCs w:val="22"/>
          <w:lang w:eastAsia="en-US"/>
        </w:rPr>
        <w:t xml:space="preserve">рассчитанная </w:t>
      </w:r>
      <w:r w:rsidR="00305BC3">
        <w:rPr>
          <w:rFonts w:asciiTheme="majorHAnsi" w:eastAsiaTheme="minorHAnsi" w:hAnsiTheme="majorHAnsi" w:cstheme="minorBidi"/>
          <w:bCs/>
          <w:iCs/>
          <w:sz w:val="20"/>
          <w:szCs w:val="22"/>
          <w:lang w:eastAsia="en-US"/>
        </w:rPr>
        <w:t xml:space="preserve">доходным </w:t>
      </w:r>
      <w:r w:rsidR="00305BC3" w:rsidRPr="00AA714B">
        <w:rPr>
          <w:rFonts w:asciiTheme="majorHAnsi" w:eastAsiaTheme="minorHAnsi" w:hAnsiTheme="majorHAnsi" w:cstheme="minorBidi"/>
          <w:bCs/>
          <w:iCs/>
          <w:sz w:val="20"/>
          <w:szCs w:val="22"/>
          <w:lang w:eastAsia="en-US"/>
        </w:rPr>
        <w:t>подхо</w:t>
      </w:r>
      <w:r w:rsidR="00305BC3">
        <w:rPr>
          <w:rFonts w:asciiTheme="majorHAnsi" w:eastAsiaTheme="minorHAnsi" w:hAnsiTheme="majorHAnsi" w:cstheme="minorBidi"/>
          <w:bCs/>
          <w:iCs/>
          <w:sz w:val="20"/>
          <w:szCs w:val="22"/>
          <w:lang w:eastAsia="en-US"/>
        </w:rPr>
        <w:t>дом по состоянию на дату оценки, с учетом</w:t>
      </w:r>
      <w:r w:rsidR="00305BC3" w:rsidRPr="00AA714B">
        <w:rPr>
          <w:rFonts w:asciiTheme="majorHAnsi" w:eastAsiaTheme="minorHAnsi" w:hAnsiTheme="majorHAnsi" w:cstheme="minorBidi"/>
          <w:bCs/>
          <w:iCs/>
          <w:sz w:val="20"/>
          <w:szCs w:val="22"/>
          <w:lang w:eastAsia="en-US"/>
        </w:rPr>
        <w:t xml:space="preserve"> НДС составляет:</w:t>
      </w:r>
    </w:p>
    <w:p w:rsidR="00305BC3" w:rsidRDefault="00305BC3" w:rsidP="00305BC3">
      <w:pPr>
        <w:jc w:val="center"/>
        <w:rPr>
          <w:rFonts w:asciiTheme="majorHAnsi" w:eastAsiaTheme="minorHAnsi" w:hAnsiTheme="majorHAnsi" w:cstheme="minorBidi"/>
          <w:b/>
          <w:bCs/>
          <w:iCs/>
          <w:sz w:val="20"/>
          <w:szCs w:val="22"/>
          <w:lang w:eastAsia="en-US"/>
        </w:rPr>
      </w:pPr>
      <w:r>
        <w:rPr>
          <w:rFonts w:asciiTheme="majorHAnsi" w:eastAsiaTheme="minorHAnsi" w:hAnsiTheme="majorHAnsi" w:cstheme="minorBidi"/>
          <w:b/>
          <w:bCs/>
          <w:iCs/>
          <w:sz w:val="20"/>
          <w:szCs w:val="22"/>
          <w:lang w:eastAsia="en-US"/>
        </w:rPr>
        <w:t>86 307 001</w:t>
      </w:r>
      <w:r w:rsidRPr="00305BC3">
        <w:rPr>
          <w:rFonts w:asciiTheme="majorHAnsi" w:eastAsiaTheme="minorHAnsi" w:hAnsiTheme="majorHAnsi" w:cstheme="minorBidi"/>
          <w:b/>
          <w:bCs/>
          <w:iCs/>
          <w:sz w:val="20"/>
          <w:szCs w:val="22"/>
          <w:lang w:eastAsia="en-US"/>
        </w:rPr>
        <w:t xml:space="preserve">  </w:t>
      </w:r>
      <w:r w:rsidRPr="00AA714B">
        <w:rPr>
          <w:rFonts w:asciiTheme="majorHAnsi" w:eastAsiaTheme="minorHAnsi" w:hAnsiTheme="majorHAnsi" w:cstheme="minorBidi"/>
          <w:b/>
          <w:bCs/>
          <w:iCs/>
          <w:sz w:val="20"/>
          <w:szCs w:val="22"/>
          <w:lang w:eastAsia="en-US"/>
        </w:rPr>
        <w:t xml:space="preserve">руб. </w:t>
      </w:r>
    </w:p>
    <w:p w:rsidR="00305BC3" w:rsidRDefault="00305BC3" w:rsidP="00305BC3">
      <w:pPr>
        <w:jc w:val="center"/>
        <w:rPr>
          <w:rFonts w:asciiTheme="majorHAnsi" w:eastAsiaTheme="minorHAnsi" w:hAnsiTheme="majorHAnsi" w:cstheme="minorBidi"/>
          <w:b/>
          <w:bCs/>
          <w:iCs/>
          <w:sz w:val="20"/>
          <w:szCs w:val="22"/>
          <w:lang w:eastAsia="en-US"/>
        </w:rPr>
      </w:pPr>
      <w:r w:rsidRPr="00AA714B">
        <w:rPr>
          <w:rFonts w:asciiTheme="majorHAnsi" w:eastAsiaTheme="minorHAnsi" w:hAnsiTheme="majorHAnsi" w:cstheme="minorBidi"/>
          <w:b/>
          <w:bCs/>
          <w:iCs/>
          <w:sz w:val="20"/>
          <w:szCs w:val="22"/>
          <w:lang w:eastAsia="en-US"/>
        </w:rPr>
        <w:t>(</w:t>
      </w:r>
      <w:r>
        <w:rPr>
          <w:rFonts w:asciiTheme="majorHAnsi" w:eastAsiaTheme="minorHAnsi" w:hAnsiTheme="majorHAnsi" w:cstheme="minorBidi"/>
          <w:b/>
          <w:bCs/>
          <w:iCs/>
          <w:sz w:val="20"/>
          <w:szCs w:val="22"/>
          <w:lang w:eastAsia="en-US"/>
        </w:rPr>
        <w:t xml:space="preserve">Восемьдесят шесть </w:t>
      </w:r>
      <w:r w:rsidRPr="00AA714B">
        <w:rPr>
          <w:rFonts w:asciiTheme="majorHAnsi" w:eastAsiaTheme="minorHAnsi" w:hAnsiTheme="majorHAnsi" w:cstheme="minorBidi"/>
          <w:b/>
          <w:bCs/>
          <w:iCs/>
          <w:sz w:val="20"/>
          <w:szCs w:val="22"/>
          <w:lang w:eastAsia="en-US"/>
        </w:rPr>
        <w:t>миллион</w:t>
      </w:r>
      <w:r>
        <w:rPr>
          <w:rFonts w:asciiTheme="majorHAnsi" w:eastAsiaTheme="minorHAnsi" w:hAnsiTheme="majorHAnsi" w:cstheme="minorBidi"/>
          <w:b/>
          <w:bCs/>
          <w:iCs/>
          <w:sz w:val="20"/>
          <w:szCs w:val="22"/>
          <w:lang w:eastAsia="en-US"/>
        </w:rPr>
        <w:t>ов</w:t>
      </w:r>
      <w:r w:rsidRPr="00AA714B">
        <w:rPr>
          <w:rFonts w:asciiTheme="majorHAnsi" w:eastAsiaTheme="minorHAnsi" w:hAnsiTheme="majorHAnsi" w:cstheme="minorBidi"/>
          <w:b/>
          <w:bCs/>
          <w:iCs/>
          <w:sz w:val="20"/>
          <w:szCs w:val="22"/>
          <w:lang w:eastAsia="en-US"/>
        </w:rPr>
        <w:t xml:space="preserve"> </w:t>
      </w:r>
      <w:r>
        <w:rPr>
          <w:rFonts w:asciiTheme="majorHAnsi" w:eastAsiaTheme="minorHAnsi" w:hAnsiTheme="majorHAnsi" w:cstheme="minorBidi"/>
          <w:b/>
          <w:bCs/>
          <w:iCs/>
          <w:sz w:val="20"/>
          <w:szCs w:val="22"/>
          <w:lang w:eastAsia="en-US"/>
        </w:rPr>
        <w:t>триста семь</w:t>
      </w:r>
      <w:r w:rsidRPr="00AA714B">
        <w:rPr>
          <w:rFonts w:asciiTheme="majorHAnsi" w:eastAsiaTheme="minorHAnsi" w:hAnsiTheme="majorHAnsi" w:cstheme="minorBidi"/>
          <w:b/>
          <w:bCs/>
          <w:iCs/>
          <w:sz w:val="20"/>
          <w:szCs w:val="22"/>
          <w:lang w:eastAsia="en-US"/>
        </w:rPr>
        <w:t xml:space="preserve"> тысяч </w:t>
      </w:r>
      <w:r>
        <w:rPr>
          <w:rFonts w:asciiTheme="majorHAnsi" w:eastAsiaTheme="minorHAnsi" w:hAnsiTheme="majorHAnsi" w:cstheme="minorBidi"/>
          <w:b/>
          <w:bCs/>
          <w:iCs/>
          <w:sz w:val="20"/>
          <w:szCs w:val="22"/>
          <w:lang w:eastAsia="en-US"/>
        </w:rPr>
        <w:t xml:space="preserve">один </w:t>
      </w:r>
      <w:r w:rsidRPr="00AA714B">
        <w:rPr>
          <w:rFonts w:asciiTheme="majorHAnsi" w:eastAsiaTheme="minorHAnsi" w:hAnsiTheme="majorHAnsi" w:cstheme="minorBidi"/>
          <w:b/>
          <w:bCs/>
          <w:iCs/>
          <w:sz w:val="20"/>
          <w:szCs w:val="22"/>
          <w:lang w:eastAsia="en-US"/>
        </w:rPr>
        <w:t>рубл</w:t>
      </w:r>
      <w:r>
        <w:rPr>
          <w:rFonts w:asciiTheme="majorHAnsi" w:eastAsiaTheme="minorHAnsi" w:hAnsiTheme="majorHAnsi" w:cstheme="minorBidi"/>
          <w:b/>
          <w:bCs/>
          <w:iCs/>
          <w:sz w:val="20"/>
          <w:szCs w:val="22"/>
          <w:lang w:eastAsia="en-US"/>
        </w:rPr>
        <w:t>ь</w:t>
      </w:r>
      <w:r w:rsidRPr="00AA714B">
        <w:rPr>
          <w:rFonts w:asciiTheme="majorHAnsi" w:eastAsiaTheme="minorHAnsi" w:hAnsiTheme="majorHAnsi" w:cstheme="minorBidi"/>
          <w:b/>
          <w:bCs/>
          <w:iCs/>
          <w:sz w:val="20"/>
          <w:szCs w:val="22"/>
          <w:lang w:eastAsia="en-US"/>
        </w:rPr>
        <w:t>)</w:t>
      </w:r>
    </w:p>
    <w:p w:rsidR="00305BC3" w:rsidRPr="00AA714B" w:rsidRDefault="00305BC3" w:rsidP="00305BC3">
      <w:pPr>
        <w:spacing w:before="480" w:after="120"/>
        <w:ind w:firstLine="709"/>
        <w:jc w:val="both"/>
        <w:rPr>
          <w:rFonts w:asciiTheme="majorHAnsi" w:eastAsiaTheme="minorHAnsi" w:hAnsiTheme="majorHAnsi" w:cstheme="minorBidi"/>
          <w:bCs/>
          <w:iCs/>
          <w:sz w:val="22"/>
          <w:szCs w:val="22"/>
          <w:lang w:eastAsia="en-US"/>
        </w:rPr>
      </w:pPr>
      <w:r w:rsidRPr="00AA714B">
        <w:rPr>
          <w:rFonts w:asciiTheme="majorHAnsi" w:eastAsiaTheme="minorHAnsi" w:hAnsiTheme="majorHAnsi" w:cstheme="minorBidi"/>
          <w:bCs/>
          <w:iCs/>
          <w:sz w:val="20"/>
          <w:szCs w:val="22"/>
          <w:lang w:eastAsia="en-US"/>
        </w:rPr>
        <w:t>Стоимость  объект</w:t>
      </w:r>
      <w:r>
        <w:rPr>
          <w:rFonts w:asciiTheme="majorHAnsi" w:eastAsiaTheme="minorHAnsi" w:hAnsiTheme="majorHAnsi" w:cstheme="minorBidi"/>
          <w:bCs/>
          <w:iCs/>
          <w:sz w:val="20"/>
          <w:szCs w:val="22"/>
          <w:lang w:eastAsia="en-US"/>
        </w:rPr>
        <w:t>а</w:t>
      </w:r>
      <w:r w:rsidRPr="00AA714B">
        <w:rPr>
          <w:rFonts w:asciiTheme="majorHAnsi" w:eastAsiaTheme="minorHAnsi" w:hAnsiTheme="majorHAnsi" w:cstheme="minorBidi"/>
          <w:bCs/>
          <w:iCs/>
          <w:sz w:val="20"/>
          <w:szCs w:val="22"/>
          <w:lang w:eastAsia="en-US"/>
        </w:rPr>
        <w:t xml:space="preserve"> </w:t>
      </w:r>
      <w:r>
        <w:rPr>
          <w:rFonts w:asciiTheme="majorHAnsi" w:eastAsiaTheme="minorHAnsi" w:hAnsiTheme="majorHAnsi" w:cstheme="minorBidi"/>
          <w:bCs/>
          <w:iCs/>
          <w:sz w:val="20"/>
          <w:szCs w:val="22"/>
          <w:lang w:eastAsia="en-US"/>
        </w:rPr>
        <w:t>оценки – нежилого административного-бытового комплекса</w:t>
      </w:r>
      <w:r w:rsidRPr="00AA714B">
        <w:rPr>
          <w:rFonts w:asciiTheme="majorHAnsi" w:eastAsiaTheme="minorHAnsi" w:hAnsiTheme="majorHAnsi" w:cstheme="minorBidi"/>
          <w:bCs/>
          <w:iCs/>
          <w:sz w:val="20"/>
          <w:szCs w:val="22"/>
          <w:lang w:eastAsia="en-US"/>
        </w:rPr>
        <w:t>,</w:t>
      </w:r>
      <w:r>
        <w:rPr>
          <w:rFonts w:asciiTheme="majorHAnsi" w:eastAsiaTheme="minorHAnsi" w:hAnsiTheme="majorHAnsi" w:cstheme="minorBidi"/>
          <w:bCs/>
          <w:iCs/>
          <w:sz w:val="20"/>
          <w:szCs w:val="22"/>
          <w:lang w:eastAsia="en-US"/>
        </w:rPr>
        <w:t xml:space="preserve"> расположенного по адресу: </w:t>
      </w:r>
      <w:r w:rsidRPr="00471C8E">
        <w:rPr>
          <w:rFonts w:asciiTheme="majorHAnsi" w:eastAsiaTheme="minorHAnsi" w:hAnsiTheme="majorHAnsi" w:cstheme="minorBidi"/>
          <w:bCs/>
          <w:iCs/>
          <w:sz w:val="20"/>
          <w:szCs w:val="22"/>
          <w:lang w:eastAsia="en-US"/>
        </w:rPr>
        <w:t>Белгородская обл. г. Белгород, ул</w:t>
      </w:r>
      <w:r>
        <w:rPr>
          <w:rFonts w:asciiTheme="majorHAnsi" w:eastAsiaTheme="minorHAnsi" w:hAnsiTheme="majorHAnsi" w:cstheme="minorBidi"/>
          <w:bCs/>
          <w:iCs/>
          <w:sz w:val="20"/>
          <w:szCs w:val="22"/>
          <w:lang w:eastAsia="en-US"/>
        </w:rPr>
        <w:t>.</w:t>
      </w:r>
      <w:r w:rsidRPr="00471C8E">
        <w:rPr>
          <w:rFonts w:asciiTheme="majorHAnsi" w:eastAsiaTheme="minorHAnsi" w:hAnsiTheme="majorHAnsi" w:cstheme="minorBidi"/>
          <w:bCs/>
          <w:iCs/>
          <w:sz w:val="20"/>
          <w:szCs w:val="22"/>
          <w:lang w:eastAsia="en-US"/>
        </w:rPr>
        <w:t xml:space="preserve"> </w:t>
      </w:r>
      <w:r>
        <w:rPr>
          <w:rFonts w:asciiTheme="majorHAnsi" w:eastAsiaTheme="minorHAnsi" w:hAnsiTheme="majorHAnsi" w:cstheme="minorBidi"/>
          <w:bCs/>
          <w:iCs/>
          <w:sz w:val="20"/>
          <w:szCs w:val="22"/>
          <w:lang w:eastAsia="en-US"/>
        </w:rPr>
        <w:t>Сумская</w:t>
      </w:r>
      <w:r w:rsidRPr="00471C8E">
        <w:rPr>
          <w:rFonts w:asciiTheme="majorHAnsi" w:eastAsiaTheme="minorHAnsi" w:hAnsiTheme="majorHAnsi" w:cstheme="minorBidi"/>
          <w:bCs/>
          <w:iCs/>
          <w:sz w:val="20"/>
          <w:szCs w:val="22"/>
          <w:lang w:eastAsia="en-US"/>
        </w:rPr>
        <w:t xml:space="preserve">, </w:t>
      </w:r>
      <w:r>
        <w:rPr>
          <w:rFonts w:asciiTheme="majorHAnsi" w:eastAsiaTheme="minorHAnsi" w:hAnsiTheme="majorHAnsi" w:cstheme="minorBidi"/>
          <w:bCs/>
          <w:iCs/>
          <w:sz w:val="20"/>
          <w:szCs w:val="22"/>
          <w:lang w:eastAsia="en-US"/>
        </w:rPr>
        <w:t xml:space="preserve">168, </w:t>
      </w:r>
      <w:r w:rsidRPr="00AA714B">
        <w:rPr>
          <w:rFonts w:asciiTheme="majorHAnsi" w:eastAsiaTheme="minorHAnsi" w:hAnsiTheme="majorHAnsi" w:cstheme="minorBidi"/>
          <w:bCs/>
          <w:iCs/>
          <w:sz w:val="20"/>
          <w:szCs w:val="22"/>
          <w:lang w:eastAsia="en-US"/>
        </w:rPr>
        <w:t xml:space="preserve">рассчитанная </w:t>
      </w:r>
      <w:r>
        <w:rPr>
          <w:rFonts w:asciiTheme="majorHAnsi" w:eastAsiaTheme="minorHAnsi" w:hAnsiTheme="majorHAnsi" w:cstheme="minorBidi"/>
          <w:bCs/>
          <w:iCs/>
          <w:sz w:val="20"/>
          <w:szCs w:val="22"/>
          <w:lang w:eastAsia="en-US"/>
        </w:rPr>
        <w:t>доходным</w:t>
      </w:r>
      <w:r w:rsidRPr="00AA714B">
        <w:rPr>
          <w:rFonts w:asciiTheme="majorHAnsi" w:eastAsiaTheme="minorHAnsi" w:hAnsiTheme="majorHAnsi" w:cstheme="minorBidi"/>
          <w:bCs/>
          <w:iCs/>
          <w:sz w:val="20"/>
          <w:szCs w:val="22"/>
          <w:lang w:eastAsia="en-US"/>
        </w:rPr>
        <w:t xml:space="preserve"> подхо</w:t>
      </w:r>
      <w:r>
        <w:rPr>
          <w:rFonts w:asciiTheme="majorHAnsi" w:eastAsiaTheme="minorHAnsi" w:hAnsiTheme="majorHAnsi" w:cstheme="minorBidi"/>
          <w:bCs/>
          <w:iCs/>
          <w:sz w:val="20"/>
          <w:szCs w:val="22"/>
          <w:lang w:eastAsia="en-US"/>
        </w:rPr>
        <w:t>дом по состоянию на дату оценки, с учетом</w:t>
      </w:r>
      <w:r w:rsidRPr="00AA714B">
        <w:rPr>
          <w:rFonts w:asciiTheme="majorHAnsi" w:eastAsiaTheme="minorHAnsi" w:hAnsiTheme="majorHAnsi" w:cstheme="minorBidi"/>
          <w:bCs/>
          <w:iCs/>
          <w:sz w:val="20"/>
          <w:szCs w:val="22"/>
          <w:lang w:eastAsia="en-US"/>
        </w:rPr>
        <w:t xml:space="preserve"> НДС составляет:</w:t>
      </w:r>
    </w:p>
    <w:p w:rsidR="00305BC3" w:rsidRDefault="00305BC3" w:rsidP="00305BC3">
      <w:pPr>
        <w:jc w:val="center"/>
        <w:rPr>
          <w:rFonts w:asciiTheme="majorHAnsi" w:eastAsiaTheme="minorHAnsi" w:hAnsiTheme="majorHAnsi" w:cstheme="minorBidi"/>
          <w:b/>
          <w:bCs/>
          <w:iCs/>
          <w:sz w:val="20"/>
          <w:szCs w:val="22"/>
          <w:lang w:eastAsia="en-US"/>
        </w:rPr>
      </w:pPr>
      <w:r>
        <w:rPr>
          <w:rFonts w:asciiTheme="majorHAnsi" w:eastAsiaTheme="minorHAnsi" w:hAnsiTheme="majorHAnsi" w:cstheme="minorBidi"/>
          <w:b/>
          <w:bCs/>
          <w:iCs/>
          <w:sz w:val="20"/>
          <w:szCs w:val="22"/>
          <w:lang w:eastAsia="en-US"/>
        </w:rPr>
        <w:t xml:space="preserve">55 734 922 </w:t>
      </w:r>
      <w:r w:rsidRPr="00AA714B">
        <w:rPr>
          <w:rFonts w:asciiTheme="majorHAnsi" w:eastAsiaTheme="minorHAnsi" w:hAnsiTheme="majorHAnsi" w:cstheme="minorBidi"/>
          <w:b/>
          <w:bCs/>
          <w:iCs/>
          <w:sz w:val="20"/>
          <w:szCs w:val="22"/>
          <w:lang w:eastAsia="en-US"/>
        </w:rPr>
        <w:t xml:space="preserve">руб. </w:t>
      </w:r>
    </w:p>
    <w:p w:rsidR="00305BC3" w:rsidRDefault="00305BC3" w:rsidP="00305BC3">
      <w:pPr>
        <w:jc w:val="center"/>
        <w:rPr>
          <w:rFonts w:asciiTheme="majorHAnsi" w:eastAsiaTheme="minorHAnsi" w:hAnsiTheme="majorHAnsi" w:cstheme="minorBidi"/>
          <w:b/>
          <w:bCs/>
          <w:iCs/>
          <w:sz w:val="20"/>
          <w:szCs w:val="22"/>
          <w:lang w:eastAsia="en-US"/>
        </w:rPr>
      </w:pPr>
      <w:r w:rsidRPr="00AA714B">
        <w:rPr>
          <w:rFonts w:asciiTheme="majorHAnsi" w:eastAsiaTheme="minorHAnsi" w:hAnsiTheme="majorHAnsi" w:cstheme="minorBidi"/>
          <w:b/>
          <w:bCs/>
          <w:iCs/>
          <w:sz w:val="20"/>
          <w:szCs w:val="22"/>
          <w:lang w:eastAsia="en-US"/>
        </w:rPr>
        <w:t>(</w:t>
      </w:r>
      <w:r>
        <w:rPr>
          <w:rFonts w:asciiTheme="majorHAnsi" w:eastAsiaTheme="minorHAnsi" w:hAnsiTheme="majorHAnsi" w:cstheme="minorBidi"/>
          <w:b/>
          <w:bCs/>
          <w:iCs/>
          <w:sz w:val="20"/>
          <w:szCs w:val="22"/>
          <w:lang w:eastAsia="en-US"/>
        </w:rPr>
        <w:t xml:space="preserve">Пятьдесят пять </w:t>
      </w:r>
      <w:r w:rsidRPr="00AA714B">
        <w:rPr>
          <w:rFonts w:asciiTheme="majorHAnsi" w:eastAsiaTheme="minorHAnsi" w:hAnsiTheme="majorHAnsi" w:cstheme="minorBidi"/>
          <w:b/>
          <w:bCs/>
          <w:iCs/>
          <w:sz w:val="20"/>
          <w:szCs w:val="22"/>
          <w:lang w:eastAsia="en-US"/>
        </w:rPr>
        <w:t>миллион</w:t>
      </w:r>
      <w:r>
        <w:rPr>
          <w:rFonts w:asciiTheme="majorHAnsi" w:eastAsiaTheme="minorHAnsi" w:hAnsiTheme="majorHAnsi" w:cstheme="minorBidi"/>
          <w:b/>
          <w:bCs/>
          <w:iCs/>
          <w:sz w:val="20"/>
          <w:szCs w:val="22"/>
          <w:lang w:eastAsia="en-US"/>
        </w:rPr>
        <w:t>ов</w:t>
      </w:r>
      <w:r w:rsidRPr="00AA714B">
        <w:rPr>
          <w:rFonts w:asciiTheme="majorHAnsi" w:eastAsiaTheme="minorHAnsi" w:hAnsiTheme="majorHAnsi" w:cstheme="minorBidi"/>
          <w:b/>
          <w:bCs/>
          <w:iCs/>
          <w:sz w:val="20"/>
          <w:szCs w:val="22"/>
          <w:lang w:eastAsia="en-US"/>
        </w:rPr>
        <w:t xml:space="preserve"> </w:t>
      </w:r>
      <w:r>
        <w:rPr>
          <w:rFonts w:asciiTheme="majorHAnsi" w:eastAsiaTheme="minorHAnsi" w:hAnsiTheme="majorHAnsi" w:cstheme="minorBidi"/>
          <w:b/>
          <w:bCs/>
          <w:iCs/>
          <w:sz w:val="20"/>
          <w:szCs w:val="22"/>
          <w:lang w:eastAsia="en-US"/>
        </w:rPr>
        <w:t>семьсот тридцать четыре</w:t>
      </w:r>
      <w:r w:rsidRPr="00AA714B">
        <w:rPr>
          <w:rFonts w:asciiTheme="majorHAnsi" w:eastAsiaTheme="minorHAnsi" w:hAnsiTheme="majorHAnsi" w:cstheme="minorBidi"/>
          <w:b/>
          <w:bCs/>
          <w:iCs/>
          <w:sz w:val="20"/>
          <w:szCs w:val="22"/>
          <w:lang w:eastAsia="en-US"/>
        </w:rPr>
        <w:t xml:space="preserve"> тысяч</w:t>
      </w:r>
      <w:r>
        <w:rPr>
          <w:rFonts w:asciiTheme="majorHAnsi" w:eastAsiaTheme="minorHAnsi" w:hAnsiTheme="majorHAnsi" w:cstheme="minorBidi"/>
          <w:b/>
          <w:bCs/>
          <w:iCs/>
          <w:sz w:val="20"/>
          <w:szCs w:val="22"/>
          <w:lang w:eastAsia="en-US"/>
        </w:rPr>
        <w:t>и</w:t>
      </w:r>
      <w:r w:rsidRPr="00AA714B">
        <w:rPr>
          <w:rFonts w:asciiTheme="majorHAnsi" w:eastAsiaTheme="minorHAnsi" w:hAnsiTheme="majorHAnsi" w:cstheme="minorBidi"/>
          <w:b/>
          <w:bCs/>
          <w:iCs/>
          <w:sz w:val="20"/>
          <w:szCs w:val="22"/>
          <w:lang w:eastAsia="en-US"/>
        </w:rPr>
        <w:t xml:space="preserve"> </w:t>
      </w:r>
      <w:r>
        <w:rPr>
          <w:rFonts w:asciiTheme="majorHAnsi" w:eastAsiaTheme="minorHAnsi" w:hAnsiTheme="majorHAnsi" w:cstheme="minorBidi"/>
          <w:b/>
          <w:bCs/>
          <w:iCs/>
          <w:sz w:val="20"/>
          <w:szCs w:val="22"/>
          <w:lang w:eastAsia="en-US"/>
        </w:rPr>
        <w:t xml:space="preserve">девятьсот двадцать два </w:t>
      </w:r>
      <w:r w:rsidRPr="00AA714B">
        <w:rPr>
          <w:rFonts w:asciiTheme="majorHAnsi" w:eastAsiaTheme="minorHAnsi" w:hAnsiTheme="majorHAnsi" w:cstheme="minorBidi"/>
          <w:b/>
          <w:bCs/>
          <w:iCs/>
          <w:sz w:val="20"/>
          <w:szCs w:val="22"/>
          <w:lang w:eastAsia="en-US"/>
        </w:rPr>
        <w:t>рубл</w:t>
      </w:r>
      <w:r>
        <w:rPr>
          <w:rFonts w:asciiTheme="majorHAnsi" w:eastAsiaTheme="minorHAnsi" w:hAnsiTheme="majorHAnsi" w:cstheme="minorBidi"/>
          <w:b/>
          <w:bCs/>
          <w:iCs/>
          <w:sz w:val="20"/>
          <w:szCs w:val="22"/>
          <w:lang w:eastAsia="en-US"/>
        </w:rPr>
        <w:t>я</w:t>
      </w:r>
      <w:r w:rsidRPr="00AA714B">
        <w:rPr>
          <w:rFonts w:asciiTheme="majorHAnsi" w:eastAsiaTheme="minorHAnsi" w:hAnsiTheme="majorHAnsi" w:cstheme="minorBidi"/>
          <w:b/>
          <w:bCs/>
          <w:iCs/>
          <w:sz w:val="20"/>
          <w:szCs w:val="22"/>
          <w:lang w:eastAsia="en-US"/>
        </w:rPr>
        <w:t>)</w:t>
      </w:r>
    </w:p>
    <w:p w:rsidR="00305BC3" w:rsidRDefault="00305BC3" w:rsidP="00305BC3">
      <w:pPr>
        <w:jc w:val="center"/>
        <w:rPr>
          <w:rFonts w:asciiTheme="majorHAnsi" w:eastAsiaTheme="minorHAnsi" w:hAnsiTheme="majorHAnsi" w:cstheme="minorBidi"/>
          <w:b/>
          <w:bCs/>
          <w:iCs/>
          <w:sz w:val="20"/>
          <w:szCs w:val="22"/>
          <w:lang w:eastAsia="en-US"/>
        </w:rPr>
      </w:pPr>
    </w:p>
    <w:p w:rsidR="00865DF8" w:rsidRDefault="00865DF8" w:rsidP="00305BC3">
      <w:pPr>
        <w:autoSpaceDE w:val="0"/>
        <w:autoSpaceDN w:val="0"/>
        <w:adjustRightInd w:val="0"/>
        <w:ind w:firstLine="709"/>
        <w:jc w:val="both"/>
        <w:rPr>
          <w:b/>
          <w:bCs/>
          <w:sz w:val="20"/>
          <w:szCs w:val="20"/>
        </w:rPr>
      </w:pPr>
    </w:p>
    <w:p w:rsidR="00865DF8" w:rsidRDefault="00865DF8" w:rsidP="00865DF8">
      <w:pPr>
        <w:jc w:val="center"/>
        <w:rPr>
          <w:b/>
          <w:bCs/>
          <w:sz w:val="20"/>
          <w:szCs w:val="20"/>
        </w:rPr>
      </w:pPr>
    </w:p>
    <w:p w:rsidR="00865DF8" w:rsidRDefault="00865DF8" w:rsidP="00865DF8">
      <w:pPr>
        <w:jc w:val="center"/>
        <w:rPr>
          <w:b/>
          <w:bCs/>
          <w:sz w:val="20"/>
          <w:szCs w:val="20"/>
        </w:rPr>
      </w:pPr>
    </w:p>
    <w:p w:rsidR="00865DF8" w:rsidRDefault="00865DF8" w:rsidP="00865DF8">
      <w:pPr>
        <w:jc w:val="center"/>
        <w:rPr>
          <w:b/>
          <w:bCs/>
          <w:sz w:val="20"/>
          <w:szCs w:val="20"/>
        </w:rPr>
      </w:pPr>
    </w:p>
    <w:p w:rsidR="00865DF8" w:rsidRDefault="00865DF8" w:rsidP="00865DF8">
      <w:pPr>
        <w:jc w:val="center"/>
        <w:rPr>
          <w:b/>
          <w:bCs/>
          <w:sz w:val="20"/>
          <w:szCs w:val="20"/>
        </w:rPr>
      </w:pPr>
    </w:p>
    <w:p w:rsidR="00865DF8" w:rsidRDefault="00865DF8" w:rsidP="00865DF8">
      <w:pPr>
        <w:jc w:val="center"/>
        <w:rPr>
          <w:b/>
          <w:bCs/>
          <w:sz w:val="20"/>
          <w:szCs w:val="20"/>
        </w:rPr>
      </w:pPr>
    </w:p>
    <w:p w:rsidR="00865DF8" w:rsidRDefault="00865DF8" w:rsidP="00865DF8">
      <w:pPr>
        <w:jc w:val="center"/>
        <w:rPr>
          <w:b/>
          <w:bCs/>
          <w:sz w:val="20"/>
          <w:szCs w:val="20"/>
        </w:rPr>
      </w:pPr>
    </w:p>
    <w:p w:rsidR="00865DF8" w:rsidRDefault="00865DF8" w:rsidP="00865DF8">
      <w:pPr>
        <w:jc w:val="center"/>
        <w:rPr>
          <w:b/>
          <w:bCs/>
          <w:sz w:val="20"/>
          <w:szCs w:val="20"/>
        </w:rPr>
      </w:pPr>
    </w:p>
    <w:p w:rsidR="00865DF8" w:rsidRDefault="00865DF8" w:rsidP="00865DF8">
      <w:pPr>
        <w:jc w:val="center"/>
        <w:rPr>
          <w:b/>
          <w:bCs/>
          <w:sz w:val="20"/>
          <w:szCs w:val="20"/>
        </w:rPr>
      </w:pPr>
    </w:p>
    <w:p w:rsidR="00865DF8" w:rsidRDefault="00865DF8" w:rsidP="00865DF8">
      <w:pPr>
        <w:jc w:val="center"/>
        <w:rPr>
          <w:b/>
          <w:bCs/>
          <w:sz w:val="20"/>
          <w:szCs w:val="20"/>
        </w:rPr>
      </w:pPr>
    </w:p>
    <w:p w:rsidR="00865DF8" w:rsidRDefault="00865DF8" w:rsidP="00865DF8">
      <w:pPr>
        <w:jc w:val="center"/>
        <w:rPr>
          <w:b/>
          <w:bCs/>
          <w:sz w:val="20"/>
          <w:szCs w:val="20"/>
        </w:rPr>
      </w:pPr>
    </w:p>
    <w:p w:rsidR="00865DF8" w:rsidRDefault="00865DF8" w:rsidP="00865DF8">
      <w:pPr>
        <w:jc w:val="center"/>
        <w:rPr>
          <w:b/>
          <w:bCs/>
          <w:sz w:val="20"/>
          <w:szCs w:val="20"/>
        </w:rPr>
      </w:pPr>
    </w:p>
    <w:p w:rsidR="00865DF8" w:rsidRDefault="00865DF8" w:rsidP="00865DF8">
      <w:pPr>
        <w:jc w:val="center"/>
        <w:rPr>
          <w:b/>
          <w:bCs/>
          <w:sz w:val="20"/>
          <w:szCs w:val="20"/>
        </w:rPr>
      </w:pPr>
    </w:p>
    <w:p w:rsidR="003262B9" w:rsidRPr="001E5220" w:rsidRDefault="003262B9" w:rsidP="0090764B">
      <w:pPr>
        <w:pStyle w:val="af3"/>
        <w:numPr>
          <w:ilvl w:val="0"/>
          <w:numId w:val="9"/>
        </w:numPr>
        <w:spacing w:after="0"/>
        <w:jc w:val="center"/>
        <w:rPr>
          <w:rFonts w:eastAsiaTheme="majorEastAsia" w:cstheme="majorBidi"/>
          <w:b/>
          <w:bCs/>
          <w:sz w:val="28"/>
          <w:szCs w:val="28"/>
        </w:rPr>
      </w:pPr>
      <w:r w:rsidRPr="001E5220">
        <w:rPr>
          <w:rFonts w:eastAsiaTheme="majorEastAsia" w:cstheme="majorBidi"/>
          <w:b/>
          <w:bCs/>
          <w:sz w:val="28"/>
          <w:szCs w:val="28"/>
        </w:rPr>
        <w:t>Согласование результатов.</w:t>
      </w:r>
    </w:p>
    <w:p w:rsidR="001E5220" w:rsidRPr="001E5220" w:rsidRDefault="001E5220" w:rsidP="001E5220">
      <w:pPr>
        <w:pStyle w:val="af3"/>
        <w:spacing w:after="0"/>
        <w:ind w:left="420" w:firstLine="0"/>
        <w:rPr>
          <w:rFonts w:eastAsiaTheme="majorEastAsia" w:cstheme="majorBidi"/>
          <w:b/>
          <w:bCs/>
          <w:sz w:val="28"/>
          <w:szCs w:val="28"/>
        </w:rPr>
      </w:pPr>
    </w:p>
    <w:p w:rsidR="00D80751" w:rsidRPr="00D80751" w:rsidRDefault="00D80751" w:rsidP="00D80751">
      <w:pPr>
        <w:suppressAutoHyphens/>
        <w:overflowPunct w:val="0"/>
        <w:autoSpaceDE w:val="0"/>
        <w:spacing w:before="120"/>
        <w:ind w:firstLine="567"/>
        <w:jc w:val="both"/>
        <w:textAlignment w:val="baseline"/>
        <w:rPr>
          <w:rFonts w:asciiTheme="majorHAnsi" w:hAnsiTheme="majorHAnsi"/>
          <w:bCs/>
          <w:sz w:val="20"/>
          <w:szCs w:val="22"/>
          <w:lang w:eastAsia="ar-SA"/>
        </w:rPr>
      </w:pPr>
      <w:r w:rsidRPr="00D80751">
        <w:rPr>
          <w:rFonts w:asciiTheme="majorHAnsi" w:hAnsiTheme="majorHAnsi"/>
          <w:bCs/>
          <w:sz w:val="20"/>
          <w:szCs w:val="22"/>
          <w:lang w:eastAsia="ar-SA"/>
        </w:rPr>
        <w:t>Метод анализа иерархий (МАИ) является математической процедурой для иерархического представления элементов, определяющих параметры объекта.</w:t>
      </w:r>
    </w:p>
    <w:p w:rsidR="00D80751" w:rsidRPr="00D80751" w:rsidRDefault="00D80751" w:rsidP="00D80751">
      <w:pPr>
        <w:spacing w:before="120"/>
        <w:ind w:firstLine="720"/>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 xml:space="preserve">Первым этапом применения МАИ является структурирование проблемы расчета стоимости в виде иерархии или сети. В наиболее элементарном виде иерархия строиться с вершины (цели - определение рыночной стоимости), через промежуточные уровни-критерии (критерии сравнения) к самому нижнему уровню, который в общем случае является набором альтернатив (результатов, полученных различными подходами). </w:t>
      </w:r>
    </w:p>
    <w:p w:rsidR="00D80751" w:rsidRPr="00D80751" w:rsidRDefault="00D80751" w:rsidP="00D80751">
      <w:pPr>
        <w:spacing w:before="120"/>
        <w:ind w:firstLine="720"/>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 xml:space="preserve">После иерархического воспроизведения проблемы устанавливаются приоритеты критериев и оценивается каждая из альтернатив по критериям. В МАИ элементы задачи сравниваются попарно по отношению к их воздействию на общую для них характеристику. Система парных сведений приводит к результату, который может быть представлен в виде обратно симметричной матрицы. Элементом матрицы </w:t>
      </w:r>
      <w:r w:rsidRPr="00D80751">
        <w:rPr>
          <w:rFonts w:asciiTheme="majorHAnsi" w:hAnsiTheme="majorHAnsi"/>
          <w:bCs/>
          <w:sz w:val="20"/>
          <w:szCs w:val="22"/>
          <w:lang w:val="en-US" w:eastAsia="en-US" w:bidi="en-US"/>
        </w:rPr>
        <w:t>a</w:t>
      </w:r>
      <w:r w:rsidRPr="00D80751">
        <w:rPr>
          <w:rFonts w:asciiTheme="majorHAnsi" w:hAnsiTheme="majorHAnsi"/>
          <w:bCs/>
          <w:sz w:val="20"/>
          <w:szCs w:val="22"/>
          <w:lang w:eastAsia="en-US" w:bidi="en-US"/>
        </w:rPr>
        <w:t>(</w:t>
      </w:r>
      <w:r w:rsidRPr="00D80751">
        <w:rPr>
          <w:rFonts w:asciiTheme="majorHAnsi" w:hAnsiTheme="majorHAnsi"/>
          <w:bCs/>
          <w:sz w:val="20"/>
          <w:szCs w:val="22"/>
          <w:lang w:val="en-US" w:eastAsia="en-US" w:bidi="en-US"/>
        </w:rPr>
        <w:t>i</w:t>
      </w:r>
      <w:r w:rsidRPr="00D80751">
        <w:rPr>
          <w:rFonts w:asciiTheme="majorHAnsi" w:hAnsiTheme="majorHAnsi"/>
          <w:bCs/>
          <w:sz w:val="20"/>
          <w:szCs w:val="22"/>
          <w:lang w:eastAsia="en-US" w:bidi="en-US"/>
        </w:rPr>
        <w:t>,</w:t>
      </w:r>
      <w:r w:rsidRPr="00D80751">
        <w:rPr>
          <w:rFonts w:asciiTheme="majorHAnsi" w:hAnsiTheme="majorHAnsi"/>
          <w:bCs/>
          <w:sz w:val="20"/>
          <w:szCs w:val="22"/>
          <w:lang w:val="en-US" w:eastAsia="en-US" w:bidi="en-US"/>
        </w:rPr>
        <w:t>j</w:t>
      </w:r>
      <w:r w:rsidRPr="00D80751">
        <w:rPr>
          <w:rFonts w:asciiTheme="majorHAnsi" w:hAnsiTheme="majorHAnsi"/>
          <w:bCs/>
          <w:sz w:val="20"/>
          <w:szCs w:val="22"/>
          <w:lang w:eastAsia="en-US" w:bidi="en-US"/>
        </w:rPr>
        <w:t xml:space="preserve">) является интенсивность проявления элемента иерархии </w:t>
      </w:r>
      <w:r w:rsidRPr="00D80751">
        <w:rPr>
          <w:rFonts w:asciiTheme="majorHAnsi" w:hAnsiTheme="majorHAnsi"/>
          <w:bCs/>
          <w:sz w:val="20"/>
          <w:szCs w:val="22"/>
          <w:lang w:val="en-US" w:eastAsia="en-US" w:bidi="en-US"/>
        </w:rPr>
        <w:t>i</w:t>
      </w:r>
      <w:r w:rsidRPr="00D80751">
        <w:rPr>
          <w:rFonts w:asciiTheme="majorHAnsi" w:hAnsiTheme="majorHAnsi"/>
          <w:bCs/>
          <w:sz w:val="20"/>
          <w:szCs w:val="22"/>
          <w:lang w:eastAsia="en-US" w:bidi="en-US"/>
        </w:rPr>
        <w:t xml:space="preserve"> относительно элемента иерархии </w:t>
      </w:r>
      <w:r w:rsidRPr="00D80751">
        <w:rPr>
          <w:rFonts w:asciiTheme="majorHAnsi" w:hAnsiTheme="majorHAnsi"/>
          <w:bCs/>
          <w:sz w:val="20"/>
          <w:szCs w:val="22"/>
          <w:lang w:val="en-US" w:eastAsia="en-US" w:bidi="en-US"/>
        </w:rPr>
        <w:t>j</w:t>
      </w:r>
      <w:r w:rsidRPr="00D80751">
        <w:rPr>
          <w:rFonts w:asciiTheme="majorHAnsi" w:hAnsiTheme="majorHAnsi"/>
          <w:bCs/>
          <w:sz w:val="20"/>
          <w:szCs w:val="22"/>
          <w:lang w:eastAsia="en-US" w:bidi="en-US"/>
        </w:rPr>
        <w:t>, оцениваемая по шкале интенсивности от 1 до 9, где оценки имеют следующий смысл:</w:t>
      </w:r>
    </w:p>
    <w:p w:rsidR="00D80751" w:rsidRPr="00D80751" w:rsidRDefault="00D80751" w:rsidP="00D80751">
      <w:pPr>
        <w:ind w:firstLine="709"/>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1 - равная важность;</w:t>
      </w:r>
    </w:p>
    <w:p w:rsidR="00D80751" w:rsidRPr="00D80751" w:rsidRDefault="00D80751" w:rsidP="00D80751">
      <w:pPr>
        <w:ind w:firstLine="709"/>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3 - умеренное превосходство одного над другим;</w:t>
      </w:r>
    </w:p>
    <w:p w:rsidR="00D80751" w:rsidRPr="00D80751" w:rsidRDefault="00D80751" w:rsidP="00D80751">
      <w:pPr>
        <w:ind w:firstLine="709"/>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5 - существенное превосходство одного над другим;</w:t>
      </w:r>
    </w:p>
    <w:p w:rsidR="00D80751" w:rsidRPr="00D80751" w:rsidRDefault="00D80751" w:rsidP="00D80751">
      <w:pPr>
        <w:ind w:firstLine="709"/>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7 - значительное превосходство одного над другим;</w:t>
      </w:r>
    </w:p>
    <w:p w:rsidR="00D80751" w:rsidRPr="00D80751" w:rsidRDefault="00D80751" w:rsidP="00D80751">
      <w:pPr>
        <w:ind w:firstLine="709"/>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9 - очень сильное превосходство одного над другим;</w:t>
      </w:r>
    </w:p>
    <w:p w:rsidR="00D80751" w:rsidRPr="00D80751" w:rsidRDefault="00D80751" w:rsidP="00D80751">
      <w:pPr>
        <w:ind w:firstLine="709"/>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2, 4, 6, 8 - соответствующие промежуточные значения.</w:t>
      </w:r>
    </w:p>
    <w:p w:rsidR="00D80751" w:rsidRPr="00D80751" w:rsidRDefault="00D80751" w:rsidP="00D80751">
      <w:pPr>
        <w:spacing w:before="120"/>
        <w:ind w:firstLine="720"/>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 xml:space="preserve">Если при сравнении одного фактора </w:t>
      </w:r>
      <w:r w:rsidRPr="00D80751">
        <w:rPr>
          <w:rFonts w:asciiTheme="majorHAnsi" w:hAnsiTheme="majorHAnsi"/>
          <w:bCs/>
          <w:sz w:val="20"/>
          <w:szCs w:val="22"/>
          <w:lang w:val="en-US" w:eastAsia="en-US" w:bidi="en-US"/>
        </w:rPr>
        <w:t>i</w:t>
      </w:r>
      <w:r w:rsidRPr="00D80751">
        <w:rPr>
          <w:rFonts w:asciiTheme="majorHAnsi" w:hAnsiTheme="majorHAnsi"/>
          <w:bCs/>
          <w:sz w:val="20"/>
          <w:szCs w:val="22"/>
          <w:lang w:eastAsia="en-US" w:bidi="en-US"/>
        </w:rPr>
        <w:t xml:space="preserve"> с другим </w:t>
      </w:r>
      <w:r w:rsidRPr="00D80751">
        <w:rPr>
          <w:rFonts w:asciiTheme="majorHAnsi" w:hAnsiTheme="majorHAnsi"/>
          <w:bCs/>
          <w:sz w:val="20"/>
          <w:szCs w:val="22"/>
          <w:lang w:val="en-US" w:eastAsia="en-US" w:bidi="en-US"/>
        </w:rPr>
        <w:t>j</w:t>
      </w:r>
      <w:r w:rsidRPr="00D80751">
        <w:rPr>
          <w:rFonts w:asciiTheme="majorHAnsi" w:hAnsiTheme="majorHAnsi"/>
          <w:bCs/>
          <w:sz w:val="20"/>
          <w:szCs w:val="22"/>
          <w:lang w:eastAsia="en-US" w:bidi="en-US"/>
        </w:rPr>
        <w:t xml:space="preserve"> получено </w:t>
      </w:r>
      <w:r w:rsidRPr="00D80751">
        <w:rPr>
          <w:rFonts w:asciiTheme="majorHAnsi" w:hAnsiTheme="majorHAnsi"/>
          <w:bCs/>
          <w:sz w:val="20"/>
          <w:szCs w:val="22"/>
          <w:lang w:val="en-US" w:eastAsia="en-US" w:bidi="en-US"/>
        </w:rPr>
        <w:t>a</w:t>
      </w:r>
      <w:r w:rsidRPr="00D80751">
        <w:rPr>
          <w:rFonts w:asciiTheme="majorHAnsi" w:hAnsiTheme="majorHAnsi"/>
          <w:bCs/>
          <w:sz w:val="20"/>
          <w:szCs w:val="22"/>
          <w:lang w:eastAsia="en-US" w:bidi="en-US"/>
        </w:rPr>
        <w:t>(</w:t>
      </w:r>
      <w:r w:rsidRPr="00D80751">
        <w:rPr>
          <w:rFonts w:asciiTheme="majorHAnsi" w:hAnsiTheme="majorHAnsi"/>
          <w:bCs/>
          <w:sz w:val="20"/>
          <w:szCs w:val="22"/>
          <w:lang w:val="en-US" w:eastAsia="en-US" w:bidi="en-US"/>
        </w:rPr>
        <w:t>i</w:t>
      </w:r>
      <w:r w:rsidRPr="00D80751">
        <w:rPr>
          <w:rFonts w:asciiTheme="majorHAnsi" w:hAnsiTheme="majorHAnsi"/>
          <w:bCs/>
          <w:sz w:val="20"/>
          <w:szCs w:val="22"/>
          <w:lang w:eastAsia="en-US" w:bidi="en-US"/>
        </w:rPr>
        <w:t>,</w:t>
      </w:r>
      <w:r w:rsidRPr="00D80751">
        <w:rPr>
          <w:rFonts w:asciiTheme="majorHAnsi" w:hAnsiTheme="majorHAnsi"/>
          <w:bCs/>
          <w:sz w:val="20"/>
          <w:szCs w:val="22"/>
          <w:lang w:val="en-US" w:eastAsia="en-US" w:bidi="en-US"/>
        </w:rPr>
        <w:t>j</w:t>
      </w:r>
      <w:r w:rsidRPr="00D80751">
        <w:rPr>
          <w:rFonts w:asciiTheme="majorHAnsi" w:hAnsiTheme="majorHAnsi"/>
          <w:bCs/>
          <w:sz w:val="20"/>
          <w:szCs w:val="22"/>
          <w:lang w:eastAsia="en-US" w:bidi="en-US"/>
        </w:rPr>
        <w:t xml:space="preserve">) = </w:t>
      </w:r>
      <w:r w:rsidRPr="00D80751">
        <w:rPr>
          <w:rFonts w:asciiTheme="majorHAnsi" w:hAnsiTheme="majorHAnsi"/>
          <w:bCs/>
          <w:sz w:val="20"/>
          <w:szCs w:val="22"/>
          <w:lang w:val="en-US" w:eastAsia="en-US" w:bidi="en-US"/>
        </w:rPr>
        <w:t>b</w:t>
      </w:r>
      <w:r w:rsidRPr="00D80751">
        <w:rPr>
          <w:rFonts w:asciiTheme="majorHAnsi" w:hAnsiTheme="majorHAnsi"/>
          <w:bCs/>
          <w:sz w:val="20"/>
          <w:szCs w:val="22"/>
          <w:lang w:eastAsia="en-US" w:bidi="en-US"/>
        </w:rPr>
        <w:t xml:space="preserve">, то при сравнении второго фактора с первым получаем </w:t>
      </w:r>
      <w:r w:rsidRPr="00D80751">
        <w:rPr>
          <w:rFonts w:asciiTheme="majorHAnsi" w:hAnsiTheme="majorHAnsi"/>
          <w:bCs/>
          <w:sz w:val="20"/>
          <w:szCs w:val="22"/>
          <w:lang w:val="en-US" w:eastAsia="en-US" w:bidi="en-US"/>
        </w:rPr>
        <w:t>a</w:t>
      </w:r>
      <w:r w:rsidRPr="00D80751">
        <w:rPr>
          <w:rFonts w:asciiTheme="majorHAnsi" w:hAnsiTheme="majorHAnsi"/>
          <w:bCs/>
          <w:sz w:val="20"/>
          <w:szCs w:val="22"/>
          <w:lang w:eastAsia="en-US" w:bidi="en-US"/>
        </w:rPr>
        <w:t>(</w:t>
      </w:r>
      <w:r w:rsidRPr="00D80751">
        <w:rPr>
          <w:rFonts w:asciiTheme="majorHAnsi" w:hAnsiTheme="majorHAnsi"/>
          <w:bCs/>
          <w:sz w:val="20"/>
          <w:szCs w:val="22"/>
          <w:lang w:val="en-US" w:eastAsia="en-US" w:bidi="en-US"/>
        </w:rPr>
        <w:t>j</w:t>
      </w:r>
      <w:r w:rsidRPr="00D80751">
        <w:rPr>
          <w:rFonts w:asciiTheme="majorHAnsi" w:hAnsiTheme="majorHAnsi"/>
          <w:bCs/>
          <w:sz w:val="20"/>
          <w:szCs w:val="22"/>
          <w:lang w:eastAsia="en-US" w:bidi="en-US"/>
        </w:rPr>
        <w:t>,</w:t>
      </w:r>
      <w:r w:rsidRPr="00D80751">
        <w:rPr>
          <w:rFonts w:asciiTheme="majorHAnsi" w:hAnsiTheme="majorHAnsi"/>
          <w:bCs/>
          <w:sz w:val="20"/>
          <w:szCs w:val="22"/>
          <w:lang w:val="en-US" w:eastAsia="en-US" w:bidi="en-US"/>
        </w:rPr>
        <w:t>i</w:t>
      </w:r>
      <w:r w:rsidRPr="00D80751">
        <w:rPr>
          <w:rFonts w:asciiTheme="majorHAnsi" w:hAnsiTheme="majorHAnsi"/>
          <w:bCs/>
          <w:sz w:val="20"/>
          <w:szCs w:val="22"/>
          <w:lang w:eastAsia="en-US" w:bidi="en-US"/>
        </w:rPr>
        <w:t>) = 1/</w:t>
      </w:r>
      <w:r w:rsidRPr="00D80751">
        <w:rPr>
          <w:rFonts w:asciiTheme="majorHAnsi" w:hAnsiTheme="majorHAnsi"/>
          <w:bCs/>
          <w:sz w:val="20"/>
          <w:szCs w:val="22"/>
          <w:lang w:val="en-US" w:eastAsia="en-US" w:bidi="en-US"/>
        </w:rPr>
        <w:t>b</w:t>
      </w:r>
      <w:r w:rsidRPr="00D80751">
        <w:rPr>
          <w:rFonts w:asciiTheme="majorHAnsi" w:hAnsiTheme="majorHAnsi"/>
          <w:bCs/>
          <w:sz w:val="20"/>
          <w:szCs w:val="22"/>
          <w:lang w:eastAsia="en-US" w:bidi="en-US"/>
        </w:rPr>
        <w:t>.</w:t>
      </w:r>
    </w:p>
    <w:p w:rsidR="00D80751" w:rsidRPr="00D80751" w:rsidRDefault="00D80751" w:rsidP="00D80751">
      <w:pPr>
        <w:spacing w:before="120"/>
        <w:ind w:firstLine="720"/>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Сравнение элементов А и Б в основном проводится по следующим критериям:</w:t>
      </w:r>
    </w:p>
    <w:p w:rsidR="00D80751" w:rsidRPr="00D80751" w:rsidRDefault="00D80751" w:rsidP="00D80751">
      <w:pPr>
        <w:numPr>
          <w:ilvl w:val="0"/>
          <w:numId w:val="34"/>
        </w:numPr>
        <w:tabs>
          <w:tab w:val="left" w:pos="360"/>
        </w:tabs>
        <w:suppressAutoHyphens/>
        <w:spacing w:before="120" w:after="120"/>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какой их них важнее или имеет большее воздействие;</w:t>
      </w:r>
    </w:p>
    <w:p w:rsidR="00D80751" w:rsidRPr="00D80751" w:rsidRDefault="00D80751" w:rsidP="00D80751">
      <w:pPr>
        <w:numPr>
          <w:ilvl w:val="0"/>
          <w:numId w:val="34"/>
        </w:numPr>
        <w:tabs>
          <w:tab w:val="left" w:pos="360"/>
        </w:tabs>
        <w:suppressAutoHyphens/>
        <w:spacing w:before="120" w:after="120"/>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какой из них более вероятен.</w:t>
      </w:r>
    </w:p>
    <w:p w:rsidR="00D80751" w:rsidRPr="00D80751" w:rsidRDefault="00D80751" w:rsidP="00D80751">
      <w:pPr>
        <w:spacing w:before="120"/>
        <w:ind w:firstLine="720"/>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Относительная сила, величина или вероятность каждого отдельного объекта в иерархии определяется оценкой соответствующего ему элемента собственного вектора матрицы приоритетов, нормализованного к единице. Процедура определения собственных векторов матриц поддается приближению с помощью вычисления геометрической средней.</w:t>
      </w:r>
    </w:p>
    <w:p w:rsidR="00D80751" w:rsidRPr="00D80751" w:rsidRDefault="00D80751" w:rsidP="00D80751">
      <w:pPr>
        <w:spacing w:before="120"/>
        <w:ind w:firstLine="709"/>
        <w:jc w:val="both"/>
        <w:rPr>
          <w:rFonts w:asciiTheme="majorHAnsi" w:hAnsiTheme="majorHAnsi"/>
          <w:bCs/>
          <w:sz w:val="20"/>
          <w:szCs w:val="22"/>
        </w:rPr>
      </w:pPr>
      <w:r w:rsidRPr="00D80751">
        <w:rPr>
          <w:rFonts w:asciiTheme="majorHAnsi" w:hAnsiTheme="majorHAnsi"/>
          <w:bCs/>
          <w:sz w:val="20"/>
          <w:szCs w:val="22"/>
        </w:rPr>
        <w:t>Пусть:</w:t>
      </w:r>
    </w:p>
    <w:p w:rsidR="00D80751" w:rsidRPr="00D80751" w:rsidRDefault="00D80751" w:rsidP="00D80751">
      <w:pPr>
        <w:spacing w:before="120"/>
        <w:ind w:firstLine="709"/>
        <w:jc w:val="both"/>
        <w:rPr>
          <w:rFonts w:asciiTheme="majorHAnsi" w:hAnsiTheme="majorHAnsi"/>
          <w:bCs/>
          <w:sz w:val="20"/>
          <w:szCs w:val="22"/>
          <w:lang w:eastAsia="en-US" w:bidi="en-US"/>
        </w:rPr>
      </w:pPr>
      <w:r w:rsidRPr="00D80751">
        <w:rPr>
          <w:rFonts w:asciiTheme="majorHAnsi" w:hAnsiTheme="majorHAnsi"/>
          <w:bCs/>
          <w:sz w:val="20"/>
          <w:szCs w:val="22"/>
          <w:lang w:val="en-US" w:eastAsia="en-US" w:bidi="en-US"/>
        </w:rPr>
        <w:t>A</w:t>
      </w:r>
      <w:r w:rsidRPr="00D80751">
        <w:rPr>
          <w:rFonts w:asciiTheme="majorHAnsi" w:hAnsiTheme="majorHAnsi"/>
          <w:bCs/>
          <w:sz w:val="20"/>
          <w:szCs w:val="22"/>
          <w:vertAlign w:val="subscript"/>
          <w:lang w:eastAsia="en-US" w:bidi="en-US"/>
        </w:rPr>
        <w:t>1</w:t>
      </w:r>
      <w:r w:rsidRPr="00D80751">
        <w:rPr>
          <w:rFonts w:asciiTheme="majorHAnsi" w:hAnsiTheme="majorHAnsi"/>
          <w:bCs/>
          <w:sz w:val="20"/>
          <w:szCs w:val="22"/>
          <w:lang w:eastAsia="en-US" w:bidi="en-US"/>
        </w:rPr>
        <w:t>...</w:t>
      </w:r>
      <w:r w:rsidRPr="00D80751">
        <w:rPr>
          <w:rFonts w:asciiTheme="majorHAnsi" w:hAnsiTheme="majorHAnsi"/>
          <w:bCs/>
          <w:sz w:val="20"/>
          <w:szCs w:val="22"/>
          <w:lang w:val="en-US" w:eastAsia="en-US" w:bidi="en-US"/>
        </w:rPr>
        <w:t>A</w:t>
      </w:r>
      <w:r w:rsidRPr="00D80751">
        <w:rPr>
          <w:rFonts w:asciiTheme="majorHAnsi" w:hAnsiTheme="majorHAnsi"/>
          <w:bCs/>
          <w:sz w:val="20"/>
          <w:szCs w:val="22"/>
          <w:vertAlign w:val="subscript"/>
          <w:lang w:val="en-US" w:eastAsia="en-US" w:bidi="en-US"/>
        </w:rPr>
        <w:t>n</w:t>
      </w:r>
      <w:r w:rsidRPr="00D80751">
        <w:rPr>
          <w:rFonts w:asciiTheme="majorHAnsi" w:hAnsiTheme="majorHAnsi"/>
          <w:bCs/>
          <w:sz w:val="20"/>
          <w:szCs w:val="22"/>
          <w:lang w:eastAsia="en-US" w:bidi="en-US"/>
        </w:rPr>
        <w:t xml:space="preserve"> - множество из </w:t>
      </w:r>
      <w:r w:rsidRPr="00D80751">
        <w:rPr>
          <w:rFonts w:asciiTheme="majorHAnsi" w:hAnsiTheme="majorHAnsi"/>
          <w:bCs/>
          <w:sz w:val="20"/>
          <w:szCs w:val="22"/>
          <w:lang w:val="en-US" w:eastAsia="en-US" w:bidi="en-US"/>
        </w:rPr>
        <w:t>n</w:t>
      </w:r>
      <w:r w:rsidRPr="00D80751">
        <w:rPr>
          <w:rFonts w:asciiTheme="majorHAnsi" w:hAnsiTheme="majorHAnsi"/>
          <w:bCs/>
          <w:sz w:val="20"/>
          <w:szCs w:val="22"/>
          <w:lang w:eastAsia="en-US" w:bidi="en-US"/>
        </w:rPr>
        <w:t xml:space="preserve"> элементов;</w:t>
      </w:r>
    </w:p>
    <w:p w:rsidR="00D80751" w:rsidRPr="00D80751" w:rsidRDefault="00D80751" w:rsidP="00D80751">
      <w:pPr>
        <w:spacing w:before="120"/>
        <w:ind w:firstLine="709"/>
        <w:jc w:val="both"/>
        <w:rPr>
          <w:rFonts w:asciiTheme="majorHAnsi" w:hAnsiTheme="majorHAnsi"/>
          <w:bCs/>
          <w:sz w:val="20"/>
          <w:szCs w:val="22"/>
          <w:lang w:eastAsia="en-US" w:bidi="en-US"/>
        </w:rPr>
      </w:pP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eastAsia="en-US" w:bidi="en-US"/>
        </w:rPr>
        <w:t>1</w:t>
      </w:r>
      <w:r w:rsidRPr="00D80751">
        <w:rPr>
          <w:rFonts w:asciiTheme="majorHAnsi" w:hAnsiTheme="majorHAnsi"/>
          <w:bCs/>
          <w:sz w:val="20"/>
          <w:szCs w:val="22"/>
          <w:lang w:eastAsia="en-US" w:bidi="en-US"/>
        </w:rPr>
        <w:t>...</w:t>
      </w: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n</w:t>
      </w:r>
      <w:r w:rsidRPr="00D80751">
        <w:rPr>
          <w:rFonts w:asciiTheme="majorHAnsi" w:hAnsiTheme="majorHAnsi"/>
          <w:bCs/>
          <w:sz w:val="20"/>
          <w:szCs w:val="22"/>
          <w:lang w:eastAsia="en-US" w:bidi="en-US"/>
        </w:rPr>
        <w:t xml:space="preserve"> - соотносятся следующим образом:</w:t>
      </w:r>
    </w:p>
    <w:p w:rsidR="00D80751" w:rsidRPr="00D80751" w:rsidRDefault="00D80751" w:rsidP="00D80751">
      <w:pPr>
        <w:spacing w:before="120"/>
        <w:ind w:firstLine="709"/>
        <w:jc w:val="both"/>
        <w:rPr>
          <w:rFonts w:asciiTheme="majorHAnsi" w:hAnsiTheme="majorHAnsi"/>
          <w:bCs/>
          <w:sz w:val="20"/>
          <w:szCs w:val="22"/>
          <w:lang w:eastAsia="en-US" w:bidi="en-US"/>
        </w:rPr>
      </w:pPr>
    </w:p>
    <w:tbl>
      <w:tblPr>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1534"/>
        <w:gridCol w:w="1255"/>
        <w:gridCol w:w="1276"/>
        <w:gridCol w:w="1485"/>
      </w:tblGrid>
      <w:tr w:rsidR="00D80751" w:rsidRPr="00D80751" w:rsidTr="00D80751">
        <w:trPr>
          <w:jc w:val="center"/>
        </w:trPr>
        <w:tc>
          <w:tcPr>
            <w:tcW w:w="1534" w:type="dxa"/>
            <w:tcBorders>
              <w:top w:val="double" w:sz="4" w:space="0" w:color="auto"/>
              <w:left w:val="double" w:sz="4" w:space="0" w:color="auto"/>
              <w:bottom w:val="single" w:sz="6" w:space="0" w:color="auto"/>
              <w:right w:val="single" w:sz="6" w:space="0" w:color="auto"/>
            </w:tcBorders>
          </w:tcPr>
          <w:p w:rsidR="00D80751" w:rsidRPr="00D80751" w:rsidRDefault="00D80751" w:rsidP="00D80751">
            <w:pPr>
              <w:snapToGrid w:val="0"/>
              <w:spacing w:line="276" w:lineRule="auto"/>
              <w:jc w:val="both"/>
              <w:rPr>
                <w:lang w:eastAsia="en-US" w:bidi="en-US"/>
              </w:rPr>
            </w:pPr>
          </w:p>
        </w:tc>
        <w:tc>
          <w:tcPr>
            <w:tcW w:w="1255" w:type="dxa"/>
            <w:tcBorders>
              <w:top w:val="double" w:sz="4"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rFonts w:asciiTheme="majorHAnsi" w:hAnsiTheme="majorHAnsi"/>
                <w:bCs/>
                <w:sz w:val="20"/>
                <w:szCs w:val="22"/>
                <w:lang w:val="en-US" w:eastAsia="en-US" w:bidi="en-US"/>
              </w:rPr>
              <w:t>A</w:t>
            </w:r>
            <w:r w:rsidRPr="00D80751">
              <w:rPr>
                <w:rFonts w:asciiTheme="majorHAnsi" w:hAnsiTheme="majorHAnsi"/>
                <w:bCs/>
                <w:sz w:val="20"/>
                <w:szCs w:val="22"/>
                <w:vertAlign w:val="subscript"/>
                <w:lang w:val="en-US" w:eastAsia="en-US" w:bidi="en-US"/>
              </w:rPr>
              <w:t>1</w:t>
            </w:r>
          </w:p>
        </w:tc>
        <w:tc>
          <w:tcPr>
            <w:tcW w:w="1276" w:type="dxa"/>
            <w:tcBorders>
              <w:top w:val="double" w:sz="4"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1485" w:type="dxa"/>
            <w:tcBorders>
              <w:top w:val="double" w:sz="4" w:space="0" w:color="auto"/>
              <w:left w:val="single" w:sz="6" w:space="0" w:color="auto"/>
              <w:bottom w:val="single" w:sz="6" w:space="0" w:color="auto"/>
              <w:right w:val="double" w:sz="4"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rFonts w:asciiTheme="majorHAnsi" w:hAnsiTheme="majorHAnsi"/>
                <w:bCs/>
                <w:sz w:val="20"/>
                <w:szCs w:val="22"/>
                <w:lang w:val="en-US" w:eastAsia="en-US" w:bidi="en-US"/>
              </w:rPr>
              <w:t>A</w:t>
            </w:r>
            <w:r w:rsidRPr="00D80751">
              <w:rPr>
                <w:rFonts w:asciiTheme="majorHAnsi" w:hAnsiTheme="majorHAnsi"/>
                <w:bCs/>
                <w:sz w:val="20"/>
                <w:szCs w:val="22"/>
                <w:vertAlign w:val="subscript"/>
                <w:lang w:val="en-US" w:eastAsia="en-US" w:bidi="en-US"/>
              </w:rPr>
              <w:t>n</w:t>
            </w:r>
          </w:p>
        </w:tc>
      </w:tr>
      <w:tr w:rsidR="00D80751" w:rsidRPr="00D80751" w:rsidTr="00D80751">
        <w:trPr>
          <w:jc w:val="center"/>
        </w:trPr>
        <w:tc>
          <w:tcPr>
            <w:tcW w:w="1534" w:type="dxa"/>
            <w:tcBorders>
              <w:top w:val="single" w:sz="6" w:space="0" w:color="auto"/>
              <w:left w:val="double" w:sz="4"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rFonts w:asciiTheme="majorHAnsi" w:hAnsiTheme="majorHAnsi"/>
                <w:bCs/>
                <w:sz w:val="20"/>
                <w:szCs w:val="22"/>
                <w:lang w:val="en-US" w:eastAsia="en-US" w:bidi="en-US"/>
              </w:rPr>
              <w:t>A</w:t>
            </w:r>
            <w:r w:rsidRPr="00D80751">
              <w:rPr>
                <w:rFonts w:asciiTheme="majorHAnsi" w:hAnsiTheme="majorHAnsi"/>
                <w:bCs/>
                <w:sz w:val="20"/>
                <w:szCs w:val="22"/>
                <w:vertAlign w:val="subscript"/>
                <w:lang w:val="en-US" w:eastAsia="en-US" w:bidi="en-US"/>
              </w:rPr>
              <w:t>1</w:t>
            </w:r>
          </w:p>
        </w:tc>
        <w:tc>
          <w:tcPr>
            <w:tcW w:w="1255"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1</w:t>
            </w:r>
          </w:p>
        </w:tc>
        <w:tc>
          <w:tcPr>
            <w:tcW w:w="1276"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1485" w:type="dxa"/>
            <w:tcBorders>
              <w:top w:val="single" w:sz="6" w:space="0" w:color="auto"/>
              <w:left w:val="single" w:sz="6" w:space="0" w:color="auto"/>
              <w:bottom w:val="single" w:sz="6" w:space="0" w:color="auto"/>
              <w:right w:val="double" w:sz="4"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1</w:t>
            </w: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n</w:t>
            </w:r>
          </w:p>
        </w:tc>
      </w:tr>
      <w:tr w:rsidR="00D80751" w:rsidRPr="00D80751" w:rsidTr="00D80751">
        <w:trPr>
          <w:jc w:val="center"/>
        </w:trPr>
        <w:tc>
          <w:tcPr>
            <w:tcW w:w="1534" w:type="dxa"/>
            <w:tcBorders>
              <w:top w:val="single" w:sz="6" w:space="0" w:color="auto"/>
              <w:left w:val="double" w:sz="4"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1255"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1276"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1</w:t>
            </w:r>
          </w:p>
        </w:tc>
        <w:tc>
          <w:tcPr>
            <w:tcW w:w="1485" w:type="dxa"/>
            <w:tcBorders>
              <w:top w:val="single" w:sz="6" w:space="0" w:color="auto"/>
              <w:left w:val="single" w:sz="6" w:space="0" w:color="auto"/>
              <w:bottom w:val="single" w:sz="6" w:space="0" w:color="auto"/>
              <w:right w:val="double" w:sz="4"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r>
      <w:tr w:rsidR="00D80751" w:rsidRPr="00D80751" w:rsidTr="00D80751">
        <w:trPr>
          <w:jc w:val="center"/>
        </w:trPr>
        <w:tc>
          <w:tcPr>
            <w:tcW w:w="1534" w:type="dxa"/>
            <w:tcBorders>
              <w:top w:val="single" w:sz="6" w:space="0" w:color="auto"/>
              <w:left w:val="double" w:sz="4" w:space="0" w:color="auto"/>
              <w:bottom w:val="double" w:sz="4" w:space="0" w:color="auto"/>
              <w:right w:val="single" w:sz="6"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rFonts w:asciiTheme="majorHAnsi" w:hAnsiTheme="majorHAnsi"/>
                <w:bCs/>
                <w:sz w:val="20"/>
                <w:szCs w:val="22"/>
                <w:lang w:val="en-US" w:eastAsia="en-US" w:bidi="en-US"/>
              </w:rPr>
              <w:t>A</w:t>
            </w:r>
            <w:r w:rsidRPr="00D80751">
              <w:rPr>
                <w:rFonts w:asciiTheme="majorHAnsi" w:hAnsiTheme="majorHAnsi"/>
                <w:bCs/>
                <w:sz w:val="20"/>
                <w:szCs w:val="22"/>
                <w:vertAlign w:val="subscript"/>
                <w:lang w:val="en-US" w:eastAsia="en-US" w:bidi="en-US"/>
              </w:rPr>
              <w:t>n</w:t>
            </w:r>
          </w:p>
        </w:tc>
        <w:tc>
          <w:tcPr>
            <w:tcW w:w="1255" w:type="dxa"/>
            <w:tcBorders>
              <w:top w:val="single" w:sz="6" w:space="0" w:color="auto"/>
              <w:left w:val="single" w:sz="6" w:space="0" w:color="auto"/>
              <w:bottom w:val="double" w:sz="4" w:space="0" w:color="auto"/>
              <w:right w:val="single" w:sz="6"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n</w:t>
            </w: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1</w:t>
            </w:r>
          </w:p>
        </w:tc>
        <w:tc>
          <w:tcPr>
            <w:tcW w:w="1276" w:type="dxa"/>
            <w:tcBorders>
              <w:top w:val="single" w:sz="6" w:space="0" w:color="auto"/>
              <w:left w:val="single" w:sz="6" w:space="0" w:color="auto"/>
              <w:bottom w:val="double" w:sz="4"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1485" w:type="dxa"/>
            <w:tcBorders>
              <w:top w:val="single" w:sz="6" w:space="0" w:color="auto"/>
              <w:left w:val="single" w:sz="6" w:space="0" w:color="auto"/>
              <w:bottom w:val="double" w:sz="4" w:space="0" w:color="auto"/>
              <w:right w:val="double" w:sz="4"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1</w:t>
            </w:r>
          </w:p>
        </w:tc>
      </w:tr>
    </w:tbl>
    <w:p w:rsidR="00D80751" w:rsidRDefault="00D80751" w:rsidP="00D80751">
      <w:pPr>
        <w:spacing w:before="120"/>
        <w:ind w:firstLine="709"/>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Оценка компонент вектора приоритетов производится по схеме:</w:t>
      </w:r>
    </w:p>
    <w:p w:rsidR="00D80751" w:rsidRPr="00D80751" w:rsidRDefault="00D80751" w:rsidP="00D80751">
      <w:pPr>
        <w:spacing w:before="120"/>
        <w:ind w:firstLine="709"/>
        <w:jc w:val="both"/>
        <w:rPr>
          <w:rFonts w:asciiTheme="majorHAnsi" w:hAnsiTheme="majorHAnsi"/>
          <w:bCs/>
          <w:sz w:val="20"/>
          <w:szCs w:val="22"/>
          <w:lang w:eastAsia="en-US" w:bidi="en-US"/>
        </w:rPr>
      </w:pPr>
    </w:p>
    <w:tbl>
      <w:tblPr>
        <w:tblW w:w="9330"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1101"/>
        <w:gridCol w:w="842"/>
        <w:gridCol w:w="842"/>
        <w:gridCol w:w="480"/>
        <w:gridCol w:w="842"/>
        <w:gridCol w:w="3124"/>
        <w:gridCol w:w="2099"/>
      </w:tblGrid>
      <w:tr w:rsidR="00D80751" w:rsidRPr="00D80751" w:rsidTr="00D80751">
        <w:trPr>
          <w:jc w:val="center"/>
        </w:trPr>
        <w:tc>
          <w:tcPr>
            <w:tcW w:w="1101" w:type="dxa"/>
            <w:tcBorders>
              <w:top w:val="double" w:sz="4" w:space="0" w:color="auto"/>
              <w:left w:val="double" w:sz="4" w:space="0" w:color="auto"/>
              <w:bottom w:val="single" w:sz="6" w:space="0" w:color="auto"/>
              <w:right w:val="single" w:sz="6" w:space="0" w:color="auto"/>
            </w:tcBorders>
          </w:tcPr>
          <w:p w:rsidR="00D80751" w:rsidRPr="00D80751" w:rsidRDefault="00D80751" w:rsidP="00D80751">
            <w:pPr>
              <w:snapToGrid w:val="0"/>
              <w:spacing w:line="276" w:lineRule="auto"/>
              <w:jc w:val="both"/>
              <w:rPr>
                <w:lang w:eastAsia="en-US" w:bidi="en-US"/>
              </w:rPr>
            </w:pPr>
          </w:p>
        </w:tc>
        <w:tc>
          <w:tcPr>
            <w:tcW w:w="841" w:type="dxa"/>
            <w:tcBorders>
              <w:top w:val="double" w:sz="4"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rFonts w:asciiTheme="majorHAnsi" w:hAnsiTheme="majorHAnsi"/>
                <w:bCs/>
                <w:sz w:val="20"/>
                <w:szCs w:val="22"/>
                <w:lang w:val="en-US" w:eastAsia="en-US" w:bidi="en-US"/>
              </w:rPr>
              <w:t>A</w:t>
            </w:r>
            <w:r w:rsidRPr="00D80751">
              <w:rPr>
                <w:rFonts w:asciiTheme="majorHAnsi" w:hAnsiTheme="majorHAnsi"/>
                <w:bCs/>
                <w:sz w:val="20"/>
                <w:szCs w:val="22"/>
                <w:vertAlign w:val="subscript"/>
                <w:lang w:val="en-US" w:eastAsia="en-US" w:bidi="en-US"/>
              </w:rPr>
              <w:t>1</w:t>
            </w:r>
          </w:p>
        </w:tc>
        <w:tc>
          <w:tcPr>
            <w:tcW w:w="841" w:type="dxa"/>
            <w:tcBorders>
              <w:top w:val="double" w:sz="4"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rFonts w:asciiTheme="majorHAnsi" w:hAnsiTheme="majorHAnsi"/>
                <w:bCs/>
                <w:sz w:val="20"/>
                <w:szCs w:val="22"/>
                <w:lang w:val="en-US" w:eastAsia="en-US" w:bidi="en-US"/>
              </w:rPr>
              <w:t>A</w:t>
            </w:r>
            <w:r w:rsidRPr="00D80751">
              <w:rPr>
                <w:rFonts w:asciiTheme="majorHAnsi" w:hAnsiTheme="majorHAnsi"/>
                <w:bCs/>
                <w:sz w:val="20"/>
                <w:szCs w:val="22"/>
                <w:vertAlign w:val="subscript"/>
                <w:lang w:val="en-US" w:eastAsia="en-US" w:bidi="en-US"/>
              </w:rPr>
              <w:t>2</w:t>
            </w:r>
          </w:p>
        </w:tc>
        <w:tc>
          <w:tcPr>
            <w:tcW w:w="480" w:type="dxa"/>
            <w:tcBorders>
              <w:top w:val="double" w:sz="4"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841" w:type="dxa"/>
            <w:tcBorders>
              <w:top w:val="double" w:sz="4"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rFonts w:asciiTheme="majorHAnsi" w:hAnsiTheme="majorHAnsi"/>
                <w:bCs/>
                <w:sz w:val="20"/>
                <w:szCs w:val="22"/>
                <w:lang w:val="en-US" w:eastAsia="en-US" w:bidi="en-US"/>
              </w:rPr>
              <w:t>A</w:t>
            </w:r>
            <w:r w:rsidRPr="00D80751">
              <w:rPr>
                <w:rFonts w:asciiTheme="majorHAnsi" w:hAnsiTheme="majorHAnsi"/>
                <w:bCs/>
                <w:sz w:val="20"/>
                <w:szCs w:val="22"/>
                <w:vertAlign w:val="subscript"/>
                <w:lang w:val="en-US" w:eastAsia="en-US" w:bidi="en-US"/>
              </w:rPr>
              <w:t>n</w:t>
            </w:r>
          </w:p>
        </w:tc>
        <w:tc>
          <w:tcPr>
            <w:tcW w:w="3122" w:type="dxa"/>
            <w:tcBorders>
              <w:top w:val="double" w:sz="4" w:space="0" w:color="auto"/>
              <w:left w:val="single" w:sz="6" w:space="0" w:color="auto"/>
              <w:bottom w:val="single" w:sz="6" w:space="0" w:color="auto"/>
              <w:right w:val="single" w:sz="6" w:space="0" w:color="auto"/>
            </w:tcBorders>
          </w:tcPr>
          <w:p w:rsidR="00D80751" w:rsidRPr="00D80751" w:rsidRDefault="00D80751" w:rsidP="00D80751">
            <w:pPr>
              <w:snapToGrid w:val="0"/>
              <w:spacing w:line="276" w:lineRule="auto"/>
              <w:jc w:val="both"/>
              <w:rPr>
                <w:bCs/>
                <w:lang w:val="en-US" w:eastAsia="en-US" w:bidi="en-US"/>
              </w:rPr>
            </w:pPr>
          </w:p>
        </w:tc>
        <w:tc>
          <w:tcPr>
            <w:tcW w:w="2097" w:type="dxa"/>
            <w:tcBorders>
              <w:top w:val="double" w:sz="4" w:space="0" w:color="auto"/>
              <w:left w:val="single" w:sz="6" w:space="0" w:color="auto"/>
              <w:bottom w:val="single" w:sz="6" w:space="0" w:color="auto"/>
              <w:right w:val="double" w:sz="4" w:space="0" w:color="auto"/>
            </w:tcBorders>
          </w:tcPr>
          <w:p w:rsidR="00D80751" w:rsidRPr="00D80751" w:rsidRDefault="00D80751" w:rsidP="00D80751">
            <w:pPr>
              <w:snapToGrid w:val="0"/>
              <w:spacing w:line="276" w:lineRule="auto"/>
              <w:jc w:val="both"/>
              <w:rPr>
                <w:bCs/>
                <w:lang w:val="en-US" w:eastAsia="en-US" w:bidi="en-US"/>
              </w:rPr>
            </w:pPr>
          </w:p>
        </w:tc>
      </w:tr>
      <w:tr w:rsidR="00D80751" w:rsidRPr="00D80751" w:rsidTr="00D80751">
        <w:trPr>
          <w:jc w:val="center"/>
        </w:trPr>
        <w:tc>
          <w:tcPr>
            <w:tcW w:w="1101" w:type="dxa"/>
            <w:tcBorders>
              <w:top w:val="single" w:sz="6" w:space="0" w:color="auto"/>
              <w:left w:val="double" w:sz="4"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rFonts w:asciiTheme="majorHAnsi" w:hAnsiTheme="majorHAnsi"/>
                <w:bCs/>
                <w:sz w:val="20"/>
                <w:szCs w:val="22"/>
                <w:lang w:val="en-US" w:eastAsia="en-US" w:bidi="en-US"/>
              </w:rPr>
              <w:t>A</w:t>
            </w:r>
            <w:r w:rsidRPr="00D80751">
              <w:rPr>
                <w:rFonts w:asciiTheme="majorHAnsi" w:hAnsiTheme="majorHAnsi"/>
                <w:bCs/>
                <w:sz w:val="20"/>
                <w:szCs w:val="22"/>
                <w:vertAlign w:val="subscript"/>
                <w:lang w:val="en-US" w:eastAsia="en-US" w:bidi="en-US"/>
              </w:rPr>
              <w:t>1</w:t>
            </w:r>
          </w:p>
        </w:tc>
        <w:tc>
          <w:tcPr>
            <w:tcW w:w="841"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1</w:t>
            </w:r>
          </w:p>
        </w:tc>
        <w:tc>
          <w:tcPr>
            <w:tcW w:w="841"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1</w:t>
            </w: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2</w:t>
            </w:r>
          </w:p>
        </w:tc>
        <w:tc>
          <w:tcPr>
            <w:tcW w:w="480"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841"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1</w:t>
            </w: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n</w:t>
            </w:r>
          </w:p>
        </w:tc>
        <w:tc>
          <w:tcPr>
            <w:tcW w:w="3122"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vertAlign w:val="superscript"/>
                <w:lang w:val="en-US" w:eastAsia="en-US" w:bidi="en-US"/>
              </w:rPr>
            </w:pPr>
            <w:r w:rsidRPr="00D80751">
              <w:rPr>
                <w:rFonts w:asciiTheme="majorHAnsi" w:hAnsiTheme="majorHAnsi"/>
                <w:bCs/>
                <w:sz w:val="20"/>
                <w:szCs w:val="22"/>
                <w:lang w:val="en-US" w:eastAsia="en-US" w:bidi="en-US"/>
              </w:rPr>
              <w:t>X</w:t>
            </w:r>
            <w:r w:rsidRPr="00D80751">
              <w:rPr>
                <w:rFonts w:asciiTheme="majorHAnsi" w:hAnsiTheme="majorHAnsi"/>
                <w:bCs/>
                <w:sz w:val="20"/>
                <w:szCs w:val="22"/>
                <w:vertAlign w:val="subscript"/>
                <w:lang w:val="en-US" w:eastAsia="en-US" w:bidi="en-US"/>
              </w:rPr>
              <w:t>1</w:t>
            </w:r>
            <w:r w:rsidRPr="00D80751">
              <w:rPr>
                <w:rFonts w:asciiTheme="majorHAnsi" w:hAnsiTheme="majorHAnsi"/>
                <w:bCs/>
                <w:sz w:val="20"/>
                <w:szCs w:val="22"/>
                <w:lang w:val="en-US" w:eastAsia="en-US" w:bidi="en-US"/>
              </w:rPr>
              <w:t xml:space="preserve"> = (1*(W</w:t>
            </w:r>
            <w:r w:rsidRPr="00D80751">
              <w:rPr>
                <w:rFonts w:asciiTheme="majorHAnsi" w:hAnsiTheme="majorHAnsi"/>
                <w:bCs/>
                <w:sz w:val="20"/>
                <w:szCs w:val="22"/>
                <w:vertAlign w:val="subscript"/>
                <w:lang w:val="en-US" w:eastAsia="en-US" w:bidi="en-US"/>
              </w:rPr>
              <w:t>1</w:t>
            </w: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2</w:t>
            </w: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1</w:t>
            </w: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n</w:t>
            </w:r>
            <w:r w:rsidRPr="00D80751">
              <w:rPr>
                <w:rFonts w:asciiTheme="majorHAnsi" w:hAnsiTheme="majorHAnsi"/>
                <w:bCs/>
                <w:sz w:val="20"/>
                <w:szCs w:val="22"/>
                <w:lang w:val="en-US" w:eastAsia="en-US" w:bidi="en-US"/>
              </w:rPr>
              <w:t>))</w:t>
            </w:r>
            <w:r w:rsidRPr="00D80751">
              <w:rPr>
                <w:rFonts w:asciiTheme="majorHAnsi" w:hAnsiTheme="majorHAnsi"/>
                <w:bCs/>
                <w:sz w:val="20"/>
                <w:szCs w:val="22"/>
                <w:vertAlign w:val="superscript"/>
                <w:lang w:val="en-US" w:eastAsia="en-US" w:bidi="en-US"/>
              </w:rPr>
              <w:t>1/n</w:t>
            </w:r>
          </w:p>
        </w:tc>
        <w:tc>
          <w:tcPr>
            <w:tcW w:w="2097" w:type="dxa"/>
            <w:tcBorders>
              <w:top w:val="single" w:sz="6" w:space="0" w:color="auto"/>
              <w:left w:val="single" w:sz="6" w:space="0" w:color="auto"/>
              <w:bottom w:val="single" w:sz="6" w:space="0" w:color="auto"/>
              <w:right w:val="double" w:sz="4"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position w:val="-1"/>
                <w:sz w:val="22"/>
                <w:szCs w:val="22"/>
                <w:lang w:val="en-US" w:eastAsia="en-US" w:bidi="en-US"/>
              </w:rPr>
              <w:object w:dxaOrig="285" w:dyaOrig="2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0.05pt" o:ole="" filled="t">
                  <v:fill color2="black"/>
                  <v:imagedata r:id="rId128" o:title=""/>
                </v:shape>
                <o:OLEObject Type="Embed" ProgID="Equation.3" ShapeID="_x0000_i1025" DrawAspect="Content" ObjectID="_1572430816" r:id="rId129"/>
              </w:object>
            </w:r>
            <w:r w:rsidRPr="00D80751">
              <w:rPr>
                <w:rFonts w:asciiTheme="majorHAnsi" w:hAnsiTheme="majorHAnsi"/>
                <w:bCs/>
                <w:sz w:val="20"/>
                <w:szCs w:val="22"/>
                <w:lang w:val="en-US" w:eastAsia="en-US" w:bidi="en-US"/>
              </w:rPr>
              <w:t xml:space="preserve"> BEC (A1) = X</w:t>
            </w:r>
            <w:r w:rsidRPr="00D80751">
              <w:rPr>
                <w:rFonts w:asciiTheme="majorHAnsi" w:hAnsiTheme="majorHAnsi"/>
                <w:bCs/>
                <w:sz w:val="20"/>
                <w:szCs w:val="22"/>
                <w:vertAlign w:val="subscript"/>
                <w:lang w:val="en-US" w:eastAsia="en-US" w:bidi="en-US"/>
              </w:rPr>
              <w:t>1</w:t>
            </w:r>
            <w:r w:rsidRPr="00D80751">
              <w:rPr>
                <w:rFonts w:asciiTheme="majorHAnsi" w:hAnsiTheme="majorHAnsi"/>
                <w:bCs/>
                <w:sz w:val="20"/>
                <w:szCs w:val="22"/>
                <w:lang w:val="en-US" w:eastAsia="en-US" w:bidi="en-US"/>
              </w:rPr>
              <w:t xml:space="preserve"> / </w:t>
            </w:r>
            <w:r w:rsidRPr="00D80751">
              <w:rPr>
                <w:position w:val="-9"/>
                <w:sz w:val="22"/>
                <w:szCs w:val="22"/>
                <w:lang w:val="en-US" w:eastAsia="en-US" w:bidi="en-US"/>
              </w:rPr>
              <w:object w:dxaOrig="375" w:dyaOrig="375">
                <v:shape id="_x0000_i1026" type="#_x0000_t75" style="width:20.1pt;height:20.1pt" o:ole="" filled="t">
                  <v:fill color2="black"/>
                  <v:imagedata r:id="rId130" o:title=""/>
                </v:shape>
                <o:OLEObject Type="Embed" ProgID="Equation.3" ShapeID="_x0000_i1026" DrawAspect="Content" ObjectID="_1572430817" r:id="rId131"/>
              </w:object>
            </w:r>
            <w:r w:rsidRPr="00D80751">
              <w:rPr>
                <w:rFonts w:asciiTheme="majorHAnsi" w:hAnsiTheme="majorHAnsi"/>
                <w:bCs/>
                <w:sz w:val="20"/>
                <w:szCs w:val="22"/>
                <w:lang w:val="en-US" w:eastAsia="en-US" w:bidi="en-US"/>
              </w:rPr>
              <w:t>X</w:t>
            </w:r>
            <w:r w:rsidRPr="00D80751">
              <w:rPr>
                <w:rFonts w:asciiTheme="majorHAnsi" w:hAnsiTheme="majorHAnsi"/>
                <w:bCs/>
                <w:sz w:val="20"/>
                <w:szCs w:val="22"/>
                <w:vertAlign w:val="subscript"/>
                <w:lang w:val="en-US" w:eastAsia="en-US" w:bidi="en-US"/>
              </w:rPr>
              <w:t>i</w:t>
            </w:r>
          </w:p>
        </w:tc>
      </w:tr>
      <w:tr w:rsidR="00D80751" w:rsidRPr="00D80751" w:rsidTr="00D80751">
        <w:trPr>
          <w:jc w:val="center"/>
        </w:trPr>
        <w:tc>
          <w:tcPr>
            <w:tcW w:w="1101" w:type="dxa"/>
            <w:tcBorders>
              <w:top w:val="single" w:sz="6" w:space="0" w:color="auto"/>
              <w:left w:val="double" w:sz="4"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rFonts w:asciiTheme="majorHAnsi" w:hAnsiTheme="majorHAnsi"/>
                <w:bCs/>
                <w:sz w:val="20"/>
                <w:szCs w:val="22"/>
                <w:lang w:val="en-US" w:eastAsia="en-US" w:bidi="en-US"/>
              </w:rPr>
              <w:t>A</w:t>
            </w:r>
            <w:r w:rsidRPr="00D80751">
              <w:rPr>
                <w:rFonts w:asciiTheme="majorHAnsi" w:hAnsiTheme="majorHAnsi"/>
                <w:bCs/>
                <w:sz w:val="20"/>
                <w:szCs w:val="22"/>
                <w:vertAlign w:val="subscript"/>
                <w:lang w:val="en-US" w:eastAsia="en-US" w:bidi="en-US"/>
              </w:rPr>
              <w:t>2</w:t>
            </w:r>
          </w:p>
        </w:tc>
        <w:tc>
          <w:tcPr>
            <w:tcW w:w="841"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2</w:t>
            </w: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1</w:t>
            </w:r>
          </w:p>
        </w:tc>
        <w:tc>
          <w:tcPr>
            <w:tcW w:w="841"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1</w:t>
            </w:r>
          </w:p>
        </w:tc>
        <w:tc>
          <w:tcPr>
            <w:tcW w:w="480"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841"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3122"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2097" w:type="dxa"/>
            <w:tcBorders>
              <w:top w:val="single" w:sz="6" w:space="0" w:color="auto"/>
              <w:left w:val="single" w:sz="6" w:space="0" w:color="auto"/>
              <w:bottom w:val="single" w:sz="6" w:space="0" w:color="auto"/>
              <w:right w:val="double" w:sz="4"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r>
      <w:tr w:rsidR="00D80751" w:rsidRPr="00D80751" w:rsidTr="00D80751">
        <w:trPr>
          <w:jc w:val="center"/>
        </w:trPr>
        <w:tc>
          <w:tcPr>
            <w:tcW w:w="1101" w:type="dxa"/>
            <w:tcBorders>
              <w:top w:val="single" w:sz="6" w:space="0" w:color="auto"/>
              <w:left w:val="double" w:sz="4"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841"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841"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480"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1</w:t>
            </w:r>
          </w:p>
        </w:tc>
        <w:tc>
          <w:tcPr>
            <w:tcW w:w="841"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3122"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2097" w:type="dxa"/>
            <w:tcBorders>
              <w:top w:val="single" w:sz="6" w:space="0" w:color="auto"/>
              <w:left w:val="single" w:sz="6" w:space="0" w:color="auto"/>
              <w:bottom w:val="single" w:sz="6" w:space="0" w:color="auto"/>
              <w:right w:val="double" w:sz="4"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r>
      <w:tr w:rsidR="00D80751" w:rsidRPr="00D80751" w:rsidTr="00D80751">
        <w:trPr>
          <w:jc w:val="center"/>
        </w:trPr>
        <w:tc>
          <w:tcPr>
            <w:tcW w:w="1101" w:type="dxa"/>
            <w:tcBorders>
              <w:top w:val="single" w:sz="6" w:space="0" w:color="auto"/>
              <w:left w:val="double" w:sz="4"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rFonts w:asciiTheme="majorHAnsi" w:hAnsiTheme="majorHAnsi"/>
                <w:bCs/>
                <w:sz w:val="20"/>
                <w:szCs w:val="22"/>
                <w:lang w:val="en-US" w:eastAsia="en-US" w:bidi="en-US"/>
              </w:rPr>
              <w:t>A</w:t>
            </w:r>
            <w:r w:rsidRPr="00D80751">
              <w:rPr>
                <w:rFonts w:asciiTheme="majorHAnsi" w:hAnsiTheme="majorHAnsi"/>
                <w:bCs/>
                <w:sz w:val="20"/>
                <w:szCs w:val="22"/>
                <w:vertAlign w:val="subscript"/>
                <w:lang w:val="en-US" w:eastAsia="en-US" w:bidi="en-US"/>
              </w:rPr>
              <w:t>n</w:t>
            </w:r>
          </w:p>
        </w:tc>
        <w:tc>
          <w:tcPr>
            <w:tcW w:w="841"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n</w:t>
            </w: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1</w:t>
            </w:r>
          </w:p>
        </w:tc>
        <w:tc>
          <w:tcPr>
            <w:tcW w:w="841"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480"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w:t>
            </w:r>
          </w:p>
        </w:tc>
        <w:tc>
          <w:tcPr>
            <w:tcW w:w="841"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lang w:val="en-US" w:eastAsia="en-US" w:bidi="en-US"/>
              </w:rPr>
            </w:pPr>
            <w:r w:rsidRPr="00D80751">
              <w:rPr>
                <w:rFonts w:asciiTheme="majorHAnsi" w:hAnsiTheme="majorHAnsi"/>
                <w:bCs/>
                <w:sz w:val="20"/>
                <w:szCs w:val="22"/>
                <w:lang w:val="en-US" w:eastAsia="en-US" w:bidi="en-US"/>
              </w:rPr>
              <w:t>1</w:t>
            </w:r>
          </w:p>
        </w:tc>
        <w:tc>
          <w:tcPr>
            <w:tcW w:w="3122" w:type="dxa"/>
            <w:tcBorders>
              <w:top w:val="single" w:sz="6" w:space="0" w:color="auto"/>
              <w:left w:val="single" w:sz="6" w:space="0" w:color="auto"/>
              <w:bottom w:val="single" w:sz="6" w:space="0" w:color="auto"/>
              <w:right w:val="single" w:sz="6" w:space="0" w:color="auto"/>
            </w:tcBorders>
            <w:hideMark/>
          </w:tcPr>
          <w:p w:rsidR="00D80751" w:rsidRPr="00D80751" w:rsidRDefault="00D80751" w:rsidP="00D80751">
            <w:pPr>
              <w:snapToGrid w:val="0"/>
              <w:spacing w:line="276" w:lineRule="auto"/>
              <w:jc w:val="both"/>
              <w:rPr>
                <w:bCs/>
                <w:vertAlign w:val="superscript"/>
                <w:lang w:val="en-US" w:eastAsia="en-US" w:bidi="en-US"/>
              </w:rPr>
            </w:pPr>
            <w:r w:rsidRPr="00D80751">
              <w:rPr>
                <w:rFonts w:asciiTheme="majorHAnsi" w:hAnsiTheme="majorHAnsi"/>
                <w:bCs/>
                <w:sz w:val="20"/>
                <w:szCs w:val="22"/>
                <w:lang w:val="en-US" w:eastAsia="en-US" w:bidi="en-US"/>
              </w:rPr>
              <w:t>X</w:t>
            </w:r>
            <w:r w:rsidRPr="00D80751">
              <w:rPr>
                <w:rFonts w:asciiTheme="majorHAnsi" w:hAnsiTheme="majorHAnsi"/>
                <w:bCs/>
                <w:sz w:val="20"/>
                <w:szCs w:val="22"/>
                <w:vertAlign w:val="subscript"/>
                <w:lang w:val="en-US" w:eastAsia="en-US" w:bidi="en-US"/>
              </w:rPr>
              <w:t>n</w:t>
            </w:r>
            <w:r w:rsidRPr="00D80751">
              <w:rPr>
                <w:rFonts w:asciiTheme="majorHAnsi" w:hAnsiTheme="majorHAnsi"/>
                <w:bCs/>
                <w:sz w:val="20"/>
                <w:szCs w:val="22"/>
                <w:lang w:val="en-US" w:eastAsia="en-US" w:bidi="en-US"/>
              </w:rPr>
              <w:t xml:space="preserve"> = ((W</w:t>
            </w:r>
            <w:r w:rsidRPr="00D80751">
              <w:rPr>
                <w:rFonts w:asciiTheme="majorHAnsi" w:hAnsiTheme="majorHAnsi"/>
                <w:bCs/>
                <w:sz w:val="20"/>
                <w:szCs w:val="22"/>
                <w:vertAlign w:val="subscript"/>
                <w:lang w:val="en-US" w:eastAsia="en-US" w:bidi="en-US"/>
              </w:rPr>
              <w:t>n</w:t>
            </w: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1</w:t>
            </w: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n</w:t>
            </w:r>
            <w:r w:rsidRPr="00D80751">
              <w:rPr>
                <w:rFonts w:asciiTheme="majorHAnsi" w:hAnsiTheme="majorHAnsi"/>
                <w:bCs/>
                <w:sz w:val="20"/>
                <w:szCs w:val="22"/>
                <w:lang w:val="en-US" w:eastAsia="en-US" w:bidi="en-US"/>
              </w:rPr>
              <w:t>/W</w:t>
            </w:r>
            <w:r w:rsidRPr="00D80751">
              <w:rPr>
                <w:rFonts w:asciiTheme="majorHAnsi" w:hAnsiTheme="majorHAnsi"/>
                <w:bCs/>
                <w:sz w:val="20"/>
                <w:szCs w:val="22"/>
                <w:vertAlign w:val="subscript"/>
                <w:lang w:val="en-US" w:eastAsia="en-US" w:bidi="en-US"/>
              </w:rPr>
              <w:t>n-1</w:t>
            </w:r>
            <w:r w:rsidRPr="00D80751">
              <w:rPr>
                <w:rFonts w:asciiTheme="majorHAnsi" w:hAnsiTheme="majorHAnsi"/>
                <w:bCs/>
                <w:sz w:val="20"/>
                <w:szCs w:val="22"/>
                <w:lang w:val="en-US" w:eastAsia="en-US" w:bidi="en-US"/>
              </w:rPr>
              <w:t>)*1)</w:t>
            </w:r>
            <w:r w:rsidRPr="00D80751">
              <w:rPr>
                <w:rFonts w:asciiTheme="majorHAnsi" w:hAnsiTheme="majorHAnsi"/>
                <w:bCs/>
                <w:sz w:val="20"/>
                <w:szCs w:val="22"/>
                <w:vertAlign w:val="superscript"/>
                <w:lang w:val="en-US" w:eastAsia="en-US" w:bidi="en-US"/>
              </w:rPr>
              <w:t>1/n</w:t>
            </w:r>
          </w:p>
        </w:tc>
        <w:tc>
          <w:tcPr>
            <w:tcW w:w="2097" w:type="dxa"/>
            <w:tcBorders>
              <w:top w:val="single" w:sz="6" w:space="0" w:color="auto"/>
              <w:left w:val="single" w:sz="6" w:space="0" w:color="auto"/>
              <w:bottom w:val="single" w:sz="6" w:space="0" w:color="auto"/>
              <w:right w:val="double" w:sz="4"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position w:val="-1"/>
                <w:sz w:val="22"/>
                <w:szCs w:val="22"/>
                <w:lang w:val="en-US" w:eastAsia="en-US" w:bidi="en-US"/>
              </w:rPr>
              <w:object w:dxaOrig="285" w:dyaOrig="210">
                <v:shape id="_x0000_i1027" type="#_x0000_t75" style="width:14.25pt;height:9.2pt" o:ole="" filled="t">
                  <v:fill color2="black"/>
                  <v:imagedata r:id="rId128" o:title=""/>
                </v:shape>
                <o:OLEObject Type="Embed" ProgID="Equation.3" ShapeID="_x0000_i1027" DrawAspect="Content" ObjectID="_1572430818" r:id="rId132"/>
              </w:object>
            </w:r>
            <w:r w:rsidRPr="00D80751">
              <w:rPr>
                <w:rFonts w:asciiTheme="majorHAnsi" w:hAnsiTheme="majorHAnsi"/>
                <w:bCs/>
                <w:sz w:val="20"/>
                <w:szCs w:val="22"/>
                <w:lang w:val="en-US" w:eastAsia="en-US" w:bidi="en-US"/>
              </w:rPr>
              <w:t xml:space="preserve">  BEC (An) = X</w:t>
            </w:r>
            <w:r w:rsidRPr="00D80751">
              <w:rPr>
                <w:rFonts w:asciiTheme="majorHAnsi" w:hAnsiTheme="majorHAnsi"/>
                <w:bCs/>
                <w:sz w:val="20"/>
                <w:szCs w:val="22"/>
                <w:vertAlign w:val="subscript"/>
                <w:lang w:val="en-US" w:eastAsia="en-US" w:bidi="en-US"/>
              </w:rPr>
              <w:t>n</w:t>
            </w:r>
            <w:r w:rsidRPr="00D80751">
              <w:rPr>
                <w:rFonts w:asciiTheme="majorHAnsi" w:hAnsiTheme="majorHAnsi"/>
                <w:bCs/>
                <w:sz w:val="20"/>
                <w:szCs w:val="22"/>
                <w:lang w:val="en-US" w:eastAsia="en-US" w:bidi="en-US"/>
              </w:rPr>
              <w:t xml:space="preserve"> / </w:t>
            </w:r>
            <w:r w:rsidRPr="00D80751">
              <w:rPr>
                <w:position w:val="-9"/>
                <w:sz w:val="22"/>
                <w:szCs w:val="22"/>
                <w:lang w:val="en-US" w:eastAsia="en-US" w:bidi="en-US"/>
              </w:rPr>
              <w:object w:dxaOrig="375" w:dyaOrig="375">
                <v:shape id="_x0000_i1028" type="#_x0000_t75" style="width:20.1pt;height:20.1pt" o:ole="" filled="t">
                  <v:fill color2="black"/>
                  <v:imagedata r:id="rId130" o:title=""/>
                </v:shape>
                <o:OLEObject Type="Embed" ProgID="Equation.3" ShapeID="_x0000_i1028" DrawAspect="Content" ObjectID="_1572430819" r:id="rId133"/>
              </w:object>
            </w:r>
            <w:r w:rsidRPr="00D80751">
              <w:rPr>
                <w:rFonts w:asciiTheme="majorHAnsi" w:hAnsiTheme="majorHAnsi"/>
                <w:bCs/>
                <w:sz w:val="20"/>
                <w:szCs w:val="22"/>
                <w:lang w:val="en-US" w:eastAsia="en-US" w:bidi="en-US"/>
              </w:rPr>
              <w:t>X</w:t>
            </w:r>
            <w:r w:rsidRPr="00D80751">
              <w:rPr>
                <w:rFonts w:asciiTheme="majorHAnsi" w:hAnsiTheme="majorHAnsi"/>
                <w:bCs/>
                <w:sz w:val="20"/>
                <w:szCs w:val="22"/>
                <w:vertAlign w:val="subscript"/>
                <w:lang w:val="en-US" w:eastAsia="en-US" w:bidi="en-US"/>
              </w:rPr>
              <w:t>i</w:t>
            </w:r>
          </w:p>
        </w:tc>
      </w:tr>
      <w:tr w:rsidR="00D80751" w:rsidRPr="00D80751" w:rsidTr="00D80751">
        <w:trPr>
          <w:jc w:val="center"/>
        </w:trPr>
        <w:tc>
          <w:tcPr>
            <w:tcW w:w="1101" w:type="dxa"/>
            <w:tcBorders>
              <w:top w:val="single" w:sz="6" w:space="0" w:color="auto"/>
              <w:left w:val="double" w:sz="4" w:space="0" w:color="auto"/>
              <w:bottom w:val="double" w:sz="4" w:space="0" w:color="auto"/>
              <w:right w:val="single" w:sz="6" w:space="0" w:color="auto"/>
            </w:tcBorders>
          </w:tcPr>
          <w:p w:rsidR="00D80751" w:rsidRPr="00D80751" w:rsidRDefault="00D80751" w:rsidP="00D80751">
            <w:pPr>
              <w:snapToGrid w:val="0"/>
              <w:spacing w:line="276" w:lineRule="auto"/>
              <w:jc w:val="both"/>
              <w:rPr>
                <w:bCs/>
                <w:lang w:val="en-US" w:eastAsia="en-US" w:bidi="en-US"/>
              </w:rPr>
            </w:pPr>
          </w:p>
        </w:tc>
        <w:tc>
          <w:tcPr>
            <w:tcW w:w="841" w:type="dxa"/>
            <w:tcBorders>
              <w:top w:val="single" w:sz="6" w:space="0" w:color="auto"/>
              <w:left w:val="single" w:sz="6" w:space="0" w:color="auto"/>
              <w:bottom w:val="double" w:sz="4" w:space="0" w:color="auto"/>
              <w:right w:val="single" w:sz="6" w:space="0" w:color="auto"/>
            </w:tcBorders>
          </w:tcPr>
          <w:p w:rsidR="00D80751" w:rsidRPr="00D80751" w:rsidRDefault="00D80751" w:rsidP="00D80751">
            <w:pPr>
              <w:snapToGrid w:val="0"/>
              <w:spacing w:line="276" w:lineRule="auto"/>
              <w:jc w:val="both"/>
              <w:rPr>
                <w:bCs/>
                <w:lang w:val="en-US" w:eastAsia="en-US" w:bidi="en-US"/>
              </w:rPr>
            </w:pPr>
          </w:p>
        </w:tc>
        <w:tc>
          <w:tcPr>
            <w:tcW w:w="841" w:type="dxa"/>
            <w:tcBorders>
              <w:top w:val="single" w:sz="6" w:space="0" w:color="auto"/>
              <w:left w:val="single" w:sz="6" w:space="0" w:color="auto"/>
              <w:bottom w:val="double" w:sz="4" w:space="0" w:color="auto"/>
              <w:right w:val="single" w:sz="6" w:space="0" w:color="auto"/>
            </w:tcBorders>
          </w:tcPr>
          <w:p w:rsidR="00D80751" w:rsidRPr="00D80751" w:rsidRDefault="00D80751" w:rsidP="00D80751">
            <w:pPr>
              <w:snapToGrid w:val="0"/>
              <w:spacing w:line="276" w:lineRule="auto"/>
              <w:jc w:val="both"/>
              <w:rPr>
                <w:bCs/>
                <w:lang w:val="en-US" w:eastAsia="en-US" w:bidi="en-US"/>
              </w:rPr>
            </w:pPr>
          </w:p>
        </w:tc>
        <w:tc>
          <w:tcPr>
            <w:tcW w:w="480" w:type="dxa"/>
            <w:tcBorders>
              <w:top w:val="single" w:sz="6" w:space="0" w:color="auto"/>
              <w:left w:val="single" w:sz="6" w:space="0" w:color="auto"/>
              <w:bottom w:val="double" w:sz="4" w:space="0" w:color="auto"/>
              <w:right w:val="single" w:sz="6" w:space="0" w:color="auto"/>
            </w:tcBorders>
          </w:tcPr>
          <w:p w:rsidR="00D80751" w:rsidRPr="00D80751" w:rsidRDefault="00D80751" w:rsidP="00D80751">
            <w:pPr>
              <w:snapToGrid w:val="0"/>
              <w:spacing w:line="276" w:lineRule="auto"/>
              <w:jc w:val="both"/>
              <w:rPr>
                <w:bCs/>
                <w:lang w:val="en-US" w:eastAsia="en-US" w:bidi="en-US"/>
              </w:rPr>
            </w:pPr>
          </w:p>
        </w:tc>
        <w:tc>
          <w:tcPr>
            <w:tcW w:w="841" w:type="dxa"/>
            <w:tcBorders>
              <w:top w:val="single" w:sz="6" w:space="0" w:color="auto"/>
              <w:left w:val="single" w:sz="6" w:space="0" w:color="auto"/>
              <w:bottom w:val="double" w:sz="4" w:space="0" w:color="auto"/>
              <w:right w:val="single" w:sz="6" w:space="0" w:color="auto"/>
            </w:tcBorders>
          </w:tcPr>
          <w:p w:rsidR="00D80751" w:rsidRPr="00D80751" w:rsidRDefault="00D80751" w:rsidP="00D80751">
            <w:pPr>
              <w:snapToGrid w:val="0"/>
              <w:spacing w:line="276" w:lineRule="auto"/>
              <w:jc w:val="both"/>
              <w:rPr>
                <w:bCs/>
                <w:lang w:val="en-US" w:eastAsia="en-US" w:bidi="en-US"/>
              </w:rPr>
            </w:pPr>
          </w:p>
        </w:tc>
        <w:tc>
          <w:tcPr>
            <w:tcW w:w="3122" w:type="dxa"/>
            <w:tcBorders>
              <w:top w:val="single" w:sz="6" w:space="0" w:color="auto"/>
              <w:left w:val="single" w:sz="6" w:space="0" w:color="auto"/>
              <w:bottom w:val="double" w:sz="4" w:space="0" w:color="auto"/>
              <w:right w:val="single" w:sz="6" w:space="0" w:color="auto"/>
            </w:tcBorders>
            <w:hideMark/>
          </w:tcPr>
          <w:p w:rsidR="00D80751" w:rsidRPr="00D80751" w:rsidRDefault="00D80751" w:rsidP="00D80751">
            <w:pPr>
              <w:snapToGrid w:val="0"/>
              <w:spacing w:line="276" w:lineRule="auto"/>
              <w:jc w:val="both"/>
              <w:rPr>
                <w:bCs/>
                <w:vertAlign w:val="subscript"/>
                <w:lang w:val="en-US" w:eastAsia="en-US" w:bidi="en-US"/>
              </w:rPr>
            </w:pPr>
            <w:r w:rsidRPr="00D80751">
              <w:rPr>
                <w:position w:val="-9"/>
                <w:sz w:val="22"/>
                <w:szCs w:val="22"/>
                <w:lang w:val="en-US" w:eastAsia="en-US" w:bidi="en-US"/>
              </w:rPr>
              <w:object w:dxaOrig="375" w:dyaOrig="375">
                <v:shape id="_x0000_i1029" type="#_x0000_t75" style="width:20.1pt;height:20.1pt" o:ole="" filled="t">
                  <v:fill color2="black"/>
                  <v:imagedata r:id="rId130" o:title=""/>
                </v:shape>
                <o:OLEObject Type="Embed" ProgID="Equation.3" ShapeID="_x0000_i1029" DrawAspect="Content" ObjectID="_1572430820" r:id="rId134"/>
              </w:object>
            </w:r>
            <w:r w:rsidRPr="00D80751">
              <w:rPr>
                <w:rFonts w:asciiTheme="majorHAnsi" w:hAnsiTheme="majorHAnsi"/>
                <w:bCs/>
                <w:sz w:val="20"/>
                <w:szCs w:val="22"/>
                <w:lang w:val="en-US" w:eastAsia="en-US" w:bidi="en-US"/>
              </w:rPr>
              <w:t>X</w:t>
            </w:r>
            <w:r w:rsidRPr="00D80751">
              <w:rPr>
                <w:rFonts w:asciiTheme="majorHAnsi" w:hAnsiTheme="majorHAnsi"/>
                <w:bCs/>
                <w:sz w:val="20"/>
                <w:szCs w:val="22"/>
                <w:vertAlign w:val="subscript"/>
                <w:lang w:val="en-US" w:eastAsia="en-US" w:bidi="en-US"/>
              </w:rPr>
              <w:t>i</w:t>
            </w:r>
          </w:p>
        </w:tc>
        <w:tc>
          <w:tcPr>
            <w:tcW w:w="2097" w:type="dxa"/>
            <w:tcBorders>
              <w:top w:val="single" w:sz="6" w:space="0" w:color="auto"/>
              <w:left w:val="single" w:sz="6" w:space="0" w:color="auto"/>
              <w:bottom w:val="double" w:sz="4" w:space="0" w:color="auto"/>
              <w:right w:val="double" w:sz="4" w:space="0" w:color="auto"/>
            </w:tcBorders>
          </w:tcPr>
          <w:p w:rsidR="00D80751" w:rsidRPr="00D80751" w:rsidRDefault="00D80751" w:rsidP="00D80751">
            <w:pPr>
              <w:snapToGrid w:val="0"/>
              <w:spacing w:line="276" w:lineRule="auto"/>
              <w:jc w:val="both"/>
              <w:rPr>
                <w:bCs/>
                <w:lang w:val="en-US" w:eastAsia="en-US" w:bidi="en-US"/>
              </w:rPr>
            </w:pPr>
          </w:p>
        </w:tc>
      </w:tr>
    </w:tbl>
    <w:p w:rsidR="00D80751" w:rsidRPr="00D80751" w:rsidRDefault="00D80751" w:rsidP="00D80751">
      <w:pPr>
        <w:spacing w:before="120"/>
        <w:ind w:firstLine="720"/>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lastRenderedPageBreak/>
        <w:t>Приоритеты синтезируются начиная со второго уровня вниз. Локальные приоритеты перемножаются на приоритет соответствующего критерия на вышестоящем уровне и суммируются по каждому элементу в соответствии с критериями, на которые воздействует элемент.</w:t>
      </w:r>
    </w:p>
    <w:p w:rsidR="00D80751" w:rsidRPr="00D80751" w:rsidRDefault="00D80751" w:rsidP="00BB10BF">
      <w:pPr>
        <w:ind w:firstLine="709"/>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В качестве критериев сравнения оцениваемого объекта и аналогов выделим следующие параметры:</w:t>
      </w:r>
    </w:p>
    <w:p w:rsidR="00D80751" w:rsidRPr="00D80751" w:rsidRDefault="00D80751" w:rsidP="00BB10BF">
      <w:pPr>
        <w:ind w:firstLine="709"/>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А. возможность отразить действительные намерения продавца;</w:t>
      </w:r>
    </w:p>
    <w:p w:rsidR="00D80751" w:rsidRPr="00D80751" w:rsidRDefault="00D80751" w:rsidP="00BB10BF">
      <w:pPr>
        <w:ind w:firstLine="709"/>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Б. тип, качество, обширность данных, на основе которых проводится анализ;</w:t>
      </w:r>
    </w:p>
    <w:p w:rsidR="00D80751" w:rsidRPr="00D80751" w:rsidRDefault="00D80751" w:rsidP="00BB10BF">
      <w:pPr>
        <w:ind w:firstLine="709"/>
        <w:jc w:val="both"/>
        <w:rPr>
          <w:rFonts w:asciiTheme="majorHAnsi" w:hAnsiTheme="majorHAnsi"/>
          <w:bCs/>
          <w:sz w:val="20"/>
          <w:szCs w:val="22"/>
          <w:lang w:eastAsia="en-US" w:bidi="en-US"/>
        </w:rPr>
      </w:pPr>
      <w:r w:rsidRPr="00D80751">
        <w:rPr>
          <w:rFonts w:asciiTheme="majorHAnsi" w:hAnsiTheme="majorHAnsi"/>
          <w:bCs/>
          <w:sz w:val="20"/>
          <w:szCs w:val="22"/>
          <w:lang w:eastAsia="en-US" w:bidi="en-US"/>
        </w:rPr>
        <w:t>В. способность параметров используемых методов учитывать конъюнктурные колебания;</w:t>
      </w:r>
    </w:p>
    <w:p w:rsidR="00D80751" w:rsidRDefault="00D80751" w:rsidP="00BB10BF">
      <w:pPr>
        <w:ind w:firstLine="709"/>
        <w:jc w:val="both"/>
        <w:rPr>
          <w:rFonts w:asciiTheme="majorHAnsi" w:hAnsiTheme="majorHAnsi"/>
          <w:bCs/>
          <w:lang w:eastAsia="en-US" w:bidi="en-US"/>
        </w:rPr>
      </w:pPr>
      <w:r w:rsidRPr="00D80751">
        <w:rPr>
          <w:rFonts w:asciiTheme="majorHAnsi" w:hAnsiTheme="majorHAnsi"/>
          <w:bCs/>
          <w:sz w:val="20"/>
          <w:szCs w:val="22"/>
          <w:lang w:eastAsia="en-US" w:bidi="en-US"/>
        </w:rPr>
        <w:t>Г. способность учитывать специфические особенности объекта, влияющие на его стоимость (местонахождение, размер, потенциальная доходность</w:t>
      </w:r>
      <w:r w:rsidRPr="00D80751">
        <w:rPr>
          <w:rFonts w:asciiTheme="majorHAnsi" w:hAnsiTheme="majorHAnsi"/>
          <w:bCs/>
          <w:lang w:eastAsia="en-US" w:bidi="en-US"/>
        </w:rPr>
        <w:t>).</w:t>
      </w:r>
    </w:p>
    <w:p w:rsidR="00BB10BF" w:rsidRDefault="00BB10BF" w:rsidP="00BB10BF">
      <w:pPr>
        <w:ind w:firstLine="709"/>
        <w:jc w:val="both"/>
        <w:rPr>
          <w:rFonts w:asciiTheme="majorHAnsi" w:hAnsiTheme="majorHAnsi"/>
          <w:bCs/>
          <w:lang w:eastAsia="en-US" w:bidi="en-US"/>
        </w:rPr>
      </w:pPr>
    </w:p>
    <w:tbl>
      <w:tblPr>
        <w:tblW w:w="10029" w:type="dxa"/>
        <w:jc w:val="center"/>
        <w:tblLook w:val="04A0" w:firstRow="1" w:lastRow="0" w:firstColumn="1" w:lastColumn="0" w:noHBand="0" w:noVBand="1"/>
      </w:tblPr>
      <w:tblGrid>
        <w:gridCol w:w="592"/>
        <w:gridCol w:w="509"/>
        <w:gridCol w:w="736"/>
        <w:gridCol w:w="2566"/>
        <w:gridCol w:w="1862"/>
        <w:gridCol w:w="2250"/>
        <w:gridCol w:w="1622"/>
      </w:tblGrid>
      <w:tr w:rsidR="00D80751" w:rsidRPr="00D80751" w:rsidTr="00D80751">
        <w:trPr>
          <w:trHeight w:val="20"/>
          <w:jc w:val="center"/>
        </w:trPr>
        <w:tc>
          <w:tcPr>
            <w:tcW w:w="10029" w:type="dxa"/>
            <w:gridSpan w:val="7"/>
            <w:tcBorders>
              <w:top w:val="nil"/>
              <w:left w:val="single" w:sz="8" w:space="0" w:color="auto"/>
              <w:bottom w:val="single" w:sz="8" w:space="0" w:color="auto"/>
              <w:right w:val="nil"/>
            </w:tcBorders>
            <w:shd w:val="clear" w:color="000000" w:fill="CCFFF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1. Выявляются приоритеты в критериях</w:t>
            </w:r>
          </w:p>
        </w:tc>
      </w:tr>
      <w:tr w:rsidR="00D80751" w:rsidRPr="00D80751" w:rsidTr="00D80751">
        <w:trPr>
          <w:trHeight w:val="20"/>
          <w:jc w:val="center"/>
        </w:trPr>
        <w:tc>
          <w:tcPr>
            <w:tcW w:w="599" w:type="dxa"/>
            <w:tcBorders>
              <w:top w:val="nil"/>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236" w:type="dxa"/>
            <w:tcBorders>
              <w:top w:val="nil"/>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А</w:t>
            </w:r>
          </w:p>
        </w:tc>
        <w:tc>
          <w:tcPr>
            <w:tcW w:w="746" w:type="dxa"/>
            <w:tcBorders>
              <w:top w:val="nil"/>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Б</w:t>
            </w:r>
          </w:p>
        </w:tc>
        <w:tc>
          <w:tcPr>
            <w:tcW w:w="2613" w:type="dxa"/>
            <w:tcBorders>
              <w:top w:val="nil"/>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В</w:t>
            </w:r>
          </w:p>
        </w:tc>
        <w:tc>
          <w:tcPr>
            <w:tcW w:w="1895" w:type="dxa"/>
            <w:tcBorders>
              <w:top w:val="nil"/>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Г</w:t>
            </w:r>
          </w:p>
        </w:tc>
        <w:tc>
          <w:tcPr>
            <w:tcW w:w="2290" w:type="dxa"/>
            <w:tcBorders>
              <w:top w:val="nil"/>
              <w:left w:val="nil"/>
              <w:bottom w:val="nil"/>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 </w:t>
            </w:r>
          </w:p>
        </w:tc>
        <w:tc>
          <w:tcPr>
            <w:tcW w:w="1650" w:type="dxa"/>
            <w:tcBorders>
              <w:top w:val="nil"/>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Вес критерия</w:t>
            </w:r>
          </w:p>
        </w:tc>
      </w:tr>
      <w:tr w:rsidR="00D80751" w:rsidRPr="00D80751" w:rsidTr="00D80751">
        <w:trPr>
          <w:trHeight w:val="20"/>
          <w:jc w:val="center"/>
        </w:trPr>
        <w:tc>
          <w:tcPr>
            <w:tcW w:w="599" w:type="dxa"/>
            <w:tcBorders>
              <w:top w:val="nil"/>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А</w:t>
            </w:r>
          </w:p>
        </w:tc>
        <w:tc>
          <w:tcPr>
            <w:tcW w:w="23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74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2</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3</w:t>
            </w:r>
          </w:p>
        </w:tc>
        <w:tc>
          <w:tcPr>
            <w:tcW w:w="1895"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3</w:t>
            </w:r>
          </w:p>
        </w:tc>
        <w:tc>
          <w:tcPr>
            <w:tcW w:w="2290" w:type="dxa"/>
            <w:tcBorders>
              <w:top w:val="single" w:sz="8" w:space="0" w:color="auto"/>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2,06</w:t>
            </w:r>
          </w:p>
        </w:tc>
        <w:tc>
          <w:tcPr>
            <w:tcW w:w="1650" w:type="dxa"/>
            <w:tcBorders>
              <w:top w:val="nil"/>
              <w:left w:val="nil"/>
              <w:bottom w:val="nil"/>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0,46</w:t>
            </w:r>
          </w:p>
        </w:tc>
      </w:tr>
      <w:tr w:rsidR="00D80751" w:rsidRPr="00D80751" w:rsidTr="00D80751">
        <w:trPr>
          <w:trHeight w:val="20"/>
          <w:jc w:val="center"/>
        </w:trPr>
        <w:tc>
          <w:tcPr>
            <w:tcW w:w="599" w:type="dxa"/>
            <w:tcBorders>
              <w:top w:val="nil"/>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Б</w:t>
            </w:r>
          </w:p>
        </w:tc>
        <w:tc>
          <w:tcPr>
            <w:tcW w:w="23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0,5</w:t>
            </w:r>
          </w:p>
        </w:tc>
        <w:tc>
          <w:tcPr>
            <w:tcW w:w="74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1,5</w:t>
            </w:r>
          </w:p>
        </w:tc>
        <w:tc>
          <w:tcPr>
            <w:tcW w:w="1895"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1,5</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1,03</w:t>
            </w:r>
          </w:p>
        </w:tc>
        <w:tc>
          <w:tcPr>
            <w:tcW w:w="1650" w:type="dxa"/>
            <w:tcBorders>
              <w:top w:val="single" w:sz="8" w:space="0" w:color="auto"/>
              <w:left w:val="nil"/>
              <w:bottom w:val="nil"/>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0,23</w:t>
            </w:r>
          </w:p>
        </w:tc>
      </w:tr>
      <w:tr w:rsidR="00D80751" w:rsidRPr="00D80751" w:rsidTr="00D80751">
        <w:trPr>
          <w:trHeight w:val="20"/>
          <w:jc w:val="center"/>
        </w:trPr>
        <w:tc>
          <w:tcPr>
            <w:tcW w:w="599" w:type="dxa"/>
            <w:tcBorders>
              <w:top w:val="nil"/>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В</w:t>
            </w:r>
          </w:p>
        </w:tc>
        <w:tc>
          <w:tcPr>
            <w:tcW w:w="23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0,33</w:t>
            </w:r>
          </w:p>
        </w:tc>
        <w:tc>
          <w:tcPr>
            <w:tcW w:w="74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0,67</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1895"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0,69</w:t>
            </w:r>
          </w:p>
        </w:tc>
        <w:tc>
          <w:tcPr>
            <w:tcW w:w="1650" w:type="dxa"/>
            <w:tcBorders>
              <w:top w:val="single" w:sz="8" w:space="0" w:color="auto"/>
              <w:left w:val="nil"/>
              <w:bottom w:val="nil"/>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0,15</w:t>
            </w:r>
          </w:p>
        </w:tc>
      </w:tr>
      <w:tr w:rsidR="00D80751" w:rsidRPr="00D80751" w:rsidTr="00D80751">
        <w:trPr>
          <w:trHeight w:val="20"/>
          <w:jc w:val="center"/>
        </w:trPr>
        <w:tc>
          <w:tcPr>
            <w:tcW w:w="599" w:type="dxa"/>
            <w:tcBorders>
              <w:top w:val="nil"/>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Г</w:t>
            </w:r>
          </w:p>
        </w:tc>
        <w:tc>
          <w:tcPr>
            <w:tcW w:w="23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0,33</w:t>
            </w:r>
          </w:p>
        </w:tc>
        <w:tc>
          <w:tcPr>
            <w:tcW w:w="74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0,67</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1895"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0,69</w:t>
            </w:r>
          </w:p>
        </w:tc>
        <w:tc>
          <w:tcPr>
            <w:tcW w:w="1650" w:type="dxa"/>
            <w:tcBorders>
              <w:top w:val="single" w:sz="8" w:space="0" w:color="auto"/>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0,15</w:t>
            </w:r>
          </w:p>
        </w:tc>
      </w:tr>
      <w:tr w:rsidR="00D80751" w:rsidRPr="00D80751" w:rsidTr="00D80751">
        <w:trPr>
          <w:trHeight w:val="20"/>
          <w:jc w:val="center"/>
        </w:trPr>
        <w:tc>
          <w:tcPr>
            <w:tcW w:w="6089"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Сумма</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4,46</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1</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color w:val="000000"/>
                <w:sz w:val="16"/>
                <w:szCs w:val="16"/>
              </w:rPr>
            </w:pPr>
          </w:p>
        </w:tc>
        <w:tc>
          <w:tcPr>
            <w:tcW w:w="9430" w:type="dxa"/>
            <w:gridSpan w:val="6"/>
            <w:tcBorders>
              <w:top w:val="single" w:sz="8" w:space="0" w:color="auto"/>
              <w:left w:val="single" w:sz="8" w:space="0" w:color="auto"/>
              <w:bottom w:val="nil"/>
              <w:right w:val="nil"/>
            </w:tcBorders>
            <w:shd w:val="clear" w:color="000000" w:fill="CCFFF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2. Сравниваются результаты, полученные тремя подходами, по каждому критерию.</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color w:val="000000"/>
                <w:sz w:val="16"/>
                <w:szCs w:val="16"/>
              </w:rPr>
            </w:pPr>
          </w:p>
        </w:tc>
        <w:tc>
          <w:tcPr>
            <w:tcW w:w="9430" w:type="dxa"/>
            <w:gridSpan w:val="6"/>
            <w:tcBorders>
              <w:top w:val="nil"/>
              <w:left w:val="single" w:sz="8" w:space="0" w:color="auto"/>
              <w:bottom w:val="nil"/>
              <w:right w:val="nil"/>
            </w:tcBorders>
            <w:shd w:val="clear" w:color="auto" w:fill="auto"/>
            <w:vAlign w:val="center"/>
            <w:hideMark/>
          </w:tcPr>
          <w:p w:rsidR="00D80751" w:rsidRPr="00D80751" w:rsidRDefault="00D80751" w:rsidP="00D80751">
            <w:pPr>
              <w:jc w:val="center"/>
              <w:rPr>
                <w:rFonts w:asciiTheme="majorHAnsi" w:hAnsiTheme="majorHAnsi"/>
                <w:b/>
                <w:bCs/>
                <w:i/>
                <w:iCs/>
                <w:color w:val="000000"/>
                <w:sz w:val="16"/>
                <w:szCs w:val="16"/>
              </w:rPr>
            </w:pPr>
            <w:r w:rsidRPr="00D80751">
              <w:rPr>
                <w:rFonts w:asciiTheme="majorHAnsi" w:hAnsiTheme="majorHAnsi"/>
                <w:b/>
                <w:bCs/>
                <w:i/>
                <w:iCs/>
                <w:color w:val="000000"/>
                <w:sz w:val="16"/>
                <w:szCs w:val="16"/>
              </w:rPr>
              <w:t>2.1. Возможность отразить    действительные    намерения      потенциального инвестора и продавца           ( А )</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i/>
                <w:iCs/>
                <w:color w:val="000000"/>
                <w:sz w:val="16"/>
                <w:szCs w:val="16"/>
              </w:rPr>
            </w:pPr>
          </w:p>
        </w:tc>
        <w:tc>
          <w:tcPr>
            <w:tcW w:w="236" w:type="dxa"/>
            <w:tcBorders>
              <w:top w:val="single" w:sz="8" w:space="0" w:color="000000"/>
              <w:left w:val="single" w:sz="8" w:space="0" w:color="000000"/>
              <w:bottom w:val="nil"/>
              <w:right w:val="single" w:sz="8" w:space="0" w:color="auto"/>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746" w:type="dxa"/>
            <w:tcBorders>
              <w:top w:val="single" w:sz="8" w:space="0" w:color="auto"/>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З</w:t>
            </w:r>
          </w:p>
        </w:tc>
        <w:tc>
          <w:tcPr>
            <w:tcW w:w="2613" w:type="dxa"/>
            <w:tcBorders>
              <w:top w:val="single" w:sz="8" w:space="0" w:color="auto"/>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С</w:t>
            </w:r>
          </w:p>
        </w:tc>
        <w:tc>
          <w:tcPr>
            <w:tcW w:w="1895" w:type="dxa"/>
            <w:tcBorders>
              <w:top w:val="single" w:sz="8" w:space="0" w:color="auto"/>
              <w:left w:val="nil"/>
              <w:bottom w:val="nil"/>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Д</w:t>
            </w:r>
          </w:p>
        </w:tc>
        <w:tc>
          <w:tcPr>
            <w:tcW w:w="2290" w:type="dxa"/>
            <w:tcBorders>
              <w:top w:val="single" w:sz="8" w:space="0" w:color="000000"/>
              <w:left w:val="nil"/>
              <w:bottom w:val="single" w:sz="8" w:space="0" w:color="auto"/>
              <w:right w:val="single" w:sz="8" w:space="0" w:color="000000"/>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1650" w:type="dxa"/>
            <w:tcBorders>
              <w:top w:val="single" w:sz="8" w:space="0" w:color="000000"/>
              <w:left w:val="nil"/>
              <w:bottom w:val="single" w:sz="8" w:space="0" w:color="auto"/>
              <w:right w:val="single" w:sz="8" w:space="0" w:color="000000"/>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Вес критерия</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color w:val="000000"/>
                <w:sz w:val="16"/>
                <w:szCs w:val="16"/>
              </w:rPr>
            </w:pPr>
          </w:p>
        </w:tc>
        <w:tc>
          <w:tcPr>
            <w:tcW w:w="236" w:type="dxa"/>
            <w:tcBorders>
              <w:top w:val="single" w:sz="8" w:space="0" w:color="auto"/>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З</w:t>
            </w:r>
          </w:p>
        </w:tc>
        <w:tc>
          <w:tcPr>
            <w:tcW w:w="74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2</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0,5</w:t>
            </w:r>
          </w:p>
        </w:tc>
        <w:tc>
          <w:tcPr>
            <w:tcW w:w="1895" w:type="dxa"/>
            <w:tcBorders>
              <w:top w:val="single" w:sz="8" w:space="0" w:color="auto"/>
              <w:left w:val="nil"/>
              <w:bottom w:val="nil"/>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0,67</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0,87</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0,22</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color w:val="000000"/>
                <w:sz w:val="16"/>
                <w:szCs w:val="16"/>
              </w:rPr>
            </w:pPr>
          </w:p>
        </w:tc>
        <w:tc>
          <w:tcPr>
            <w:tcW w:w="236" w:type="dxa"/>
            <w:tcBorders>
              <w:top w:val="nil"/>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С</w:t>
            </w:r>
          </w:p>
        </w:tc>
        <w:tc>
          <w:tcPr>
            <w:tcW w:w="74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4</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1895" w:type="dxa"/>
            <w:tcBorders>
              <w:top w:val="single" w:sz="8" w:space="0" w:color="auto"/>
              <w:left w:val="nil"/>
              <w:bottom w:val="nil"/>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1,33</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1,75</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0,44</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color w:val="000000"/>
                <w:sz w:val="16"/>
                <w:szCs w:val="16"/>
              </w:rPr>
            </w:pPr>
          </w:p>
        </w:tc>
        <w:tc>
          <w:tcPr>
            <w:tcW w:w="236" w:type="dxa"/>
            <w:tcBorders>
              <w:top w:val="nil"/>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Д</w:t>
            </w:r>
          </w:p>
        </w:tc>
        <w:tc>
          <w:tcPr>
            <w:tcW w:w="74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3</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0,75</w:t>
            </w:r>
          </w:p>
        </w:tc>
        <w:tc>
          <w:tcPr>
            <w:tcW w:w="1895" w:type="dxa"/>
            <w:tcBorders>
              <w:top w:val="single" w:sz="8" w:space="0" w:color="auto"/>
              <w:left w:val="nil"/>
              <w:bottom w:val="nil"/>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1,31</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0,33</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color w:val="000000"/>
                <w:sz w:val="16"/>
                <w:szCs w:val="16"/>
              </w:rPr>
            </w:pPr>
          </w:p>
        </w:tc>
        <w:tc>
          <w:tcPr>
            <w:tcW w:w="236" w:type="dxa"/>
            <w:tcBorders>
              <w:top w:val="nil"/>
              <w:left w:val="single" w:sz="8" w:space="0" w:color="000000"/>
              <w:bottom w:val="single" w:sz="8" w:space="0" w:color="000000"/>
              <w:right w:val="single" w:sz="8" w:space="0" w:color="auto"/>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746" w:type="dxa"/>
            <w:tcBorders>
              <w:top w:val="nil"/>
              <w:left w:val="nil"/>
              <w:bottom w:val="single" w:sz="8" w:space="0" w:color="auto"/>
              <w:right w:val="single" w:sz="8" w:space="0" w:color="000000"/>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Сумма</w:t>
            </w:r>
          </w:p>
        </w:tc>
        <w:tc>
          <w:tcPr>
            <w:tcW w:w="2613" w:type="dxa"/>
            <w:tcBorders>
              <w:top w:val="nil"/>
              <w:left w:val="nil"/>
              <w:bottom w:val="single" w:sz="8" w:space="0" w:color="auto"/>
              <w:right w:val="single" w:sz="8" w:space="0" w:color="000000"/>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1895" w:type="dxa"/>
            <w:tcBorders>
              <w:top w:val="single" w:sz="8" w:space="0" w:color="auto"/>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3,93</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1</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color w:val="000000"/>
                <w:sz w:val="16"/>
                <w:szCs w:val="16"/>
              </w:rPr>
            </w:pPr>
          </w:p>
        </w:tc>
        <w:tc>
          <w:tcPr>
            <w:tcW w:w="236"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746"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2613"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1895"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2290"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1650"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9430" w:type="dxa"/>
            <w:gridSpan w:val="6"/>
            <w:tcBorders>
              <w:top w:val="nil"/>
              <w:left w:val="single" w:sz="8" w:space="0" w:color="auto"/>
              <w:bottom w:val="nil"/>
              <w:right w:val="single" w:sz="8" w:space="0" w:color="000000"/>
            </w:tcBorders>
            <w:shd w:val="clear" w:color="auto" w:fill="auto"/>
            <w:vAlign w:val="center"/>
            <w:hideMark/>
          </w:tcPr>
          <w:p w:rsidR="00D80751" w:rsidRPr="00D80751" w:rsidRDefault="00D80751" w:rsidP="00D80751">
            <w:pPr>
              <w:jc w:val="center"/>
              <w:rPr>
                <w:rFonts w:asciiTheme="majorHAnsi" w:hAnsiTheme="majorHAnsi"/>
                <w:b/>
                <w:bCs/>
                <w:i/>
                <w:iCs/>
                <w:color w:val="000000"/>
                <w:sz w:val="16"/>
                <w:szCs w:val="16"/>
              </w:rPr>
            </w:pPr>
            <w:r w:rsidRPr="00D80751">
              <w:rPr>
                <w:rFonts w:asciiTheme="majorHAnsi" w:hAnsiTheme="majorHAnsi"/>
                <w:b/>
                <w:bCs/>
                <w:i/>
                <w:iCs/>
                <w:color w:val="000000"/>
                <w:sz w:val="16"/>
                <w:szCs w:val="16"/>
              </w:rPr>
              <w:t>2.2. Тип, качество, обширность данных, на основе которых проводится анализ ( Б )</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i/>
                <w:iCs/>
                <w:color w:val="000000"/>
                <w:sz w:val="16"/>
                <w:szCs w:val="16"/>
              </w:rPr>
            </w:pPr>
          </w:p>
        </w:tc>
        <w:tc>
          <w:tcPr>
            <w:tcW w:w="236" w:type="dxa"/>
            <w:tcBorders>
              <w:top w:val="single" w:sz="8" w:space="0" w:color="000000"/>
              <w:left w:val="single" w:sz="8" w:space="0" w:color="000000"/>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746" w:type="dxa"/>
            <w:tcBorders>
              <w:top w:val="single" w:sz="8" w:space="0" w:color="auto"/>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З</w:t>
            </w:r>
          </w:p>
        </w:tc>
        <w:tc>
          <w:tcPr>
            <w:tcW w:w="2613" w:type="dxa"/>
            <w:tcBorders>
              <w:top w:val="single" w:sz="8" w:space="0" w:color="auto"/>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С</w:t>
            </w:r>
          </w:p>
        </w:tc>
        <w:tc>
          <w:tcPr>
            <w:tcW w:w="1895" w:type="dxa"/>
            <w:tcBorders>
              <w:top w:val="single" w:sz="8" w:space="0" w:color="auto"/>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Д</w:t>
            </w:r>
          </w:p>
        </w:tc>
        <w:tc>
          <w:tcPr>
            <w:tcW w:w="2290" w:type="dxa"/>
            <w:tcBorders>
              <w:top w:val="single" w:sz="8" w:space="0" w:color="000000"/>
              <w:left w:val="nil"/>
              <w:bottom w:val="single" w:sz="8" w:space="0" w:color="auto"/>
              <w:right w:val="single" w:sz="8" w:space="0" w:color="000000"/>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1650" w:type="dxa"/>
            <w:tcBorders>
              <w:top w:val="single" w:sz="8" w:space="0" w:color="000000"/>
              <w:left w:val="nil"/>
              <w:bottom w:val="single" w:sz="8" w:space="0" w:color="auto"/>
              <w:right w:val="single" w:sz="8" w:space="0" w:color="000000"/>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Вес критерия</w:t>
            </w:r>
          </w:p>
        </w:tc>
      </w:tr>
      <w:tr w:rsidR="00D80751" w:rsidRPr="00D80751" w:rsidTr="00D80751">
        <w:trPr>
          <w:trHeight w:val="20"/>
          <w:jc w:val="center"/>
        </w:trPr>
        <w:tc>
          <w:tcPr>
            <w:tcW w:w="599" w:type="dxa"/>
            <w:tcBorders>
              <w:top w:val="nil"/>
              <w:left w:val="nil"/>
              <w:bottom w:val="nil"/>
              <w:right w:val="single" w:sz="8" w:space="0" w:color="auto"/>
            </w:tcBorders>
            <w:shd w:val="clear" w:color="auto" w:fill="auto"/>
            <w:noWrap/>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236" w:type="dxa"/>
            <w:tcBorders>
              <w:top w:val="nil"/>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З</w:t>
            </w:r>
          </w:p>
        </w:tc>
        <w:tc>
          <w:tcPr>
            <w:tcW w:w="74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0,33</w:t>
            </w:r>
          </w:p>
        </w:tc>
        <w:tc>
          <w:tcPr>
            <w:tcW w:w="1895"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0,69</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0,2</w:t>
            </w:r>
          </w:p>
        </w:tc>
      </w:tr>
      <w:tr w:rsidR="00D80751" w:rsidRPr="00D80751" w:rsidTr="00D80751">
        <w:trPr>
          <w:trHeight w:val="20"/>
          <w:jc w:val="center"/>
        </w:trPr>
        <w:tc>
          <w:tcPr>
            <w:tcW w:w="599" w:type="dxa"/>
            <w:tcBorders>
              <w:top w:val="nil"/>
              <w:left w:val="nil"/>
              <w:bottom w:val="nil"/>
              <w:right w:val="single" w:sz="8" w:space="0" w:color="auto"/>
            </w:tcBorders>
            <w:shd w:val="clear" w:color="auto" w:fill="auto"/>
            <w:noWrap/>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236" w:type="dxa"/>
            <w:tcBorders>
              <w:top w:val="nil"/>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С</w:t>
            </w:r>
          </w:p>
        </w:tc>
        <w:tc>
          <w:tcPr>
            <w:tcW w:w="74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3</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1895"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3</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2,08</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0,6</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color w:val="000000"/>
                <w:sz w:val="16"/>
                <w:szCs w:val="16"/>
              </w:rPr>
            </w:pPr>
          </w:p>
        </w:tc>
        <w:tc>
          <w:tcPr>
            <w:tcW w:w="236" w:type="dxa"/>
            <w:tcBorders>
              <w:top w:val="nil"/>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Д</w:t>
            </w:r>
          </w:p>
        </w:tc>
        <w:tc>
          <w:tcPr>
            <w:tcW w:w="74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0,33</w:t>
            </w:r>
          </w:p>
        </w:tc>
        <w:tc>
          <w:tcPr>
            <w:tcW w:w="1895"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0,69</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0,2</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color w:val="000000"/>
                <w:sz w:val="16"/>
                <w:szCs w:val="16"/>
              </w:rPr>
            </w:pPr>
          </w:p>
        </w:tc>
        <w:tc>
          <w:tcPr>
            <w:tcW w:w="236" w:type="dxa"/>
            <w:tcBorders>
              <w:top w:val="nil"/>
              <w:left w:val="single" w:sz="8" w:space="0" w:color="000000"/>
              <w:bottom w:val="single" w:sz="8" w:space="0" w:color="000000"/>
              <w:right w:val="single" w:sz="8" w:space="0" w:color="auto"/>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746" w:type="dxa"/>
            <w:tcBorders>
              <w:top w:val="nil"/>
              <w:left w:val="nil"/>
              <w:bottom w:val="single" w:sz="8" w:space="0" w:color="auto"/>
              <w:right w:val="single" w:sz="8" w:space="0" w:color="000000"/>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Сумма</w:t>
            </w:r>
          </w:p>
        </w:tc>
        <w:tc>
          <w:tcPr>
            <w:tcW w:w="2613" w:type="dxa"/>
            <w:tcBorders>
              <w:top w:val="nil"/>
              <w:left w:val="nil"/>
              <w:bottom w:val="single" w:sz="8" w:space="0" w:color="auto"/>
              <w:right w:val="single" w:sz="8" w:space="0" w:color="000000"/>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1895"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3,47</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1</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color w:val="000000"/>
                <w:sz w:val="16"/>
                <w:szCs w:val="16"/>
              </w:rPr>
            </w:pPr>
          </w:p>
        </w:tc>
        <w:tc>
          <w:tcPr>
            <w:tcW w:w="236"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746"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2613"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1895"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2290"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1650"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9430" w:type="dxa"/>
            <w:gridSpan w:val="6"/>
            <w:tcBorders>
              <w:top w:val="nil"/>
              <w:left w:val="single" w:sz="8" w:space="0" w:color="auto"/>
              <w:bottom w:val="nil"/>
              <w:right w:val="single" w:sz="8" w:space="0" w:color="000000"/>
            </w:tcBorders>
            <w:shd w:val="clear" w:color="auto" w:fill="auto"/>
            <w:vAlign w:val="center"/>
            <w:hideMark/>
          </w:tcPr>
          <w:p w:rsidR="00D80751" w:rsidRPr="00D80751" w:rsidRDefault="00D80751" w:rsidP="00D80751">
            <w:pPr>
              <w:jc w:val="center"/>
              <w:rPr>
                <w:rFonts w:asciiTheme="majorHAnsi" w:hAnsiTheme="majorHAnsi"/>
                <w:b/>
                <w:bCs/>
                <w:i/>
                <w:iCs/>
                <w:color w:val="000000"/>
                <w:sz w:val="16"/>
                <w:szCs w:val="16"/>
              </w:rPr>
            </w:pPr>
            <w:r w:rsidRPr="00D80751">
              <w:rPr>
                <w:rFonts w:asciiTheme="majorHAnsi" w:hAnsiTheme="majorHAnsi"/>
                <w:b/>
                <w:bCs/>
                <w:i/>
                <w:iCs/>
                <w:color w:val="000000"/>
                <w:sz w:val="16"/>
                <w:szCs w:val="16"/>
              </w:rPr>
              <w:t>2.3. Способность параметров используемых методов учитывать коньюктурные колебания ( В )</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i/>
                <w:iCs/>
                <w:color w:val="000000"/>
                <w:sz w:val="16"/>
                <w:szCs w:val="16"/>
              </w:rPr>
            </w:pPr>
          </w:p>
        </w:tc>
        <w:tc>
          <w:tcPr>
            <w:tcW w:w="236" w:type="dxa"/>
            <w:tcBorders>
              <w:top w:val="single" w:sz="8" w:space="0" w:color="000000"/>
              <w:left w:val="single" w:sz="8" w:space="0" w:color="000000"/>
              <w:bottom w:val="nil"/>
              <w:right w:val="single" w:sz="8" w:space="0" w:color="auto"/>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746" w:type="dxa"/>
            <w:tcBorders>
              <w:top w:val="single" w:sz="8" w:space="0" w:color="auto"/>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З</w:t>
            </w:r>
          </w:p>
        </w:tc>
        <w:tc>
          <w:tcPr>
            <w:tcW w:w="2613" w:type="dxa"/>
            <w:tcBorders>
              <w:top w:val="single" w:sz="8" w:space="0" w:color="auto"/>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С</w:t>
            </w:r>
          </w:p>
        </w:tc>
        <w:tc>
          <w:tcPr>
            <w:tcW w:w="1895" w:type="dxa"/>
            <w:tcBorders>
              <w:top w:val="single" w:sz="8" w:space="0" w:color="auto"/>
              <w:left w:val="nil"/>
              <w:bottom w:val="nil"/>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Д</w:t>
            </w:r>
          </w:p>
        </w:tc>
        <w:tc>
          <w:tcPr>
            <w:tcW w:w="2290" w:type="dxa"/>
            <w:tcBorders>
              <w:top w:val="single" w:sz="8" w:space="0" w:color="000000"/>
              <w:left w:val="nil"/>
              <w:bottom w:val="single" w:sz="8" w:space="0" w:color="auto"/>
              <w:right w:val="single" w:sz="8" w:space="0" w:color="000000"/>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1650" w:type="dxa"/>
            <w:tcBorders>
              <w:top w:val="single" w:sz="8" w:space="0" w:color="000000"/>
              <w:left w:val="nil"/>
              <w:bottom w:val="single" w:sz="8" w:space="0" w:color="auto"/>
              <w:right w:val="single" w:sz="8" w:space="0" w:color="000000"/>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Вес критерия</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color w:val="000000"/>
                <w:sz w:val="16"/>
                <w:szCs w:val="16"/>
              </w:rPr>
            </w:pPr>
          </w:p>
        </w:tc>
        <w:tc>
          <w:tcPr>
            <w:tcW w:w="236" w:type="dxa"/>
            <w:tcBorders>
              <w:top w:val="single" w:sz="8" w:space="0" w:color="auto"/>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З</w:t>
            </w:r>
          </w:p>
        </w:tc>
        <w:tc>
          <w:tcPr>
            <w:tcW w:w="74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0,25</w:t>
            </w:r>
          </w:p>
        </w:tc>
        <w:tc>
          <w:tcPr>
            <w:tcW w:w="1895" w:type="dxa"/>
            <w:tcBorders>
              <w:top w:val="single" w:sz="8" w:space="0" w:color="auto"/>
              <w:left w:val="nil"/>
              <w:bottom w:val="nil"/>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0,5</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0,5</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0,14</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color w:val="000000"/>
                <w:sz w:val="16"/>
                <w:szCs w:val="16"/>
              </w:rPr>
            </w:pPr>
          </w:p>
        </w:tc>
        <w:tc>
          <w:tcPr>
            <w:tcW w:w="236" w:type="dxa"/>
            <w:tcBorders>
              <w:top w:val="nil"/>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С</w:t>
            </w:r>
          </w:p>
        </w:tc>
        <w:tc>
          <w:tcPr>
            <w:tcW w:w="74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4</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1895" w:type="dxa"/>
            <w:tcBorders>
              <w:top w:val="single" w:sz="8" w:space="0" w:color="auto"/>
              <w:left w:val="nil"/>
              <w:bottom w:val="nil"/>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2</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2</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0,57</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color w:val="000000"/>
                <w:sz w:val="16"/>
                <w:szCs w:val="16"/>
              </w:rPr>
            </w:pPr>
          </w:p>
        </w:tc>
        <w:tc>
          <w:tcPr>
            <w:tcW w:w="236" w:type="dxa"/>
            <w:tcBorders>
              <w:top w:val="nil"/>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Д</w:t>
            </w:r>
          </w:p>
        </w:tc>
        <w:tc>
          <w:tcPr>
            <w:tcW w:w="74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2</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0,5</w:t>
            </w:r>
          </w:p>
        </w:tc>
        <w:tc>
          <w:tcPr>
            <w:tcW w:w="1895" w:type="dxa"/>
            <w:tcBorders>
              <w:top w:val="single" w:sz="8" w:space="0" w:color="auto"/>
              <w:left w:val="nil"/>
              <w:bottom w:val="nil"/>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0,29</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color w:val="000000"/>
                <w:sz w:val="16"/>
                <w:szCs w:val="16"/>
              </w:rPr>
            </w:pPr>
          </w:p>
        </w:tc>
        <w:tc>
          <w:tcPr>
            <w:tcW w:w="236" w:type="dxa"/>
            <w:tcBorders>
              <w:top w:val="nil"/>
              <w:left w:val="single" w:sz="8" w:space="0" w:color="000000"/>
              <w:bottom w:val="single" w:sz="8" w:space="0" w:color="000000"/>
              <w:right w:val="single" w:sz="8" w:space="0" w:color="auto"/>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746" w:type="dxa"/>
            <w:tcBorders>
              <w:top w:val="nil"/>
              <w:left w:val="nil"/>
              <w:bottom w:val="single" w:sz="8" w:space="0" w:color="auto"/>
              <w:right w:val="single" w:sz="8" w:space="0" w:color="000000"/>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Сумма</w:t>
            </w:r>
          </w:p>
        </w:tc>
        <w:tc>
          <w:tcPr>
            <w:tcW w:w="2613" w:type="dxa"/>
            <w:tcBorders>
              <w:top w:val="nil"/>
              <w:left w:val="nil"/>
              <w:bottom w:val="single" w:sz="8" w:space="0" w:color="auto"/>
              <w:right w:val="single" w:sz="8" w:space="0" w:color="000000"/>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1895" w:type="dxa"/>
            <w:tcBorders>
              <w:top w:val="single" w:sz="8" w:space="0" w:color="auto"/>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3,5</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1</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color w:val="000000"/>
                <w:sz w:val="16"/>
                <w:szCs w:val="16"/>
              </w:rPr>
            </w:pPr>
          </w:p>
        </w:tc>
        <w:tc>
          <w:tcPr>
            <w:tcW w:w="236"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746"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2613"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1895"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2290"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1650"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9430" w:type="dxa"/>
            <w:gridSpan w:val="6"/>
            <w:tcBorders>
              <w:top w:val="nil"/>
              <w:left w:val="single" w:sz="8" w:space="0" w:color="auto"/>
              <w:bottom w:val="nil"/>
              <w:right w:val="single" w:sz="8" w:space="0" w:color="000000"/>
            </w:tcBorders>
            <w:shd w:val="clear" w:color="auto" w:fill="auto"/>
            <w:vAlign w:val="center"/>
            <w:hideMark/>
          </w:tcPr>
          <w:p w:rsidR="00D80751" w:rsidRPr="00D80751" w:rsidRDefault="00D80751" w:rsidP="00D80751">
            <w:pPr>
              <w:jc w:val="center"/>
              <w:rPr>
                <w:rFonts w:asciiTheme="majorHAnsi" w:hAnsiTheme="majorHAnsi"/>
                <w:b/>
                <w:bCs/>
                <w:i/>
                <w:iCs/>
                <w:color w:val="000000"/>
                <w:sz w:val="16"/>
                <w:szCs w:val="16"/>
              </w:rPr>
            </w:pPr>
            <w:r w:rsidRPr="00D80751">
              <w:rPr>
                <w:rFonts w:asciiTheme="majorHAnsi" w:hAnsiTheme="majorHAnsi"/>
                <w:b/>
                <w:bCs/>
                <w:i/>
                <w:iCs/>
                <w:color w:val="000000"/>
                <w:sz w:val="16"/>
                <w:szCs w:val="16"/>
              </w:rPr>
              <w:t>2.4. Способность  учитывать специфические особенности объекта, влияющие на его стоимость (местонахождение, размер, потенциальная доходность) ( Г )</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i/>
                <w:iCs/>
                <w:color w:val="000000"/>
                <w:sz w:val="16"/>
                <w:szCs w:val="16"/>
              </w:rPr>
            </w:pPr>
          </w:p>
        </w:tc>
        <w:tc>
          <w:tcPr>
            <w:tcW w:w="236" w:type="dxa"/>
            <w:tcBorders>
              <w:top w:val="single" w:sz="8" w:space="0" w:color="000000"/>
              <w:left w:val="single" w:sz="8" w:space="0" w:color="000000"/>
              <w:bottom w:val="nil"/>
              <w:right w:val="single" w:sz="8" w:space="0" w:color="auto"/>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746" w:type="dxa"/>
            <w:tcBorders>
              <w:top w:val="single" w:sz="8" w:space="0" w:color="auto"/>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З</w:t>
            </w:r>
          </w:p>
        </w:tc>
        <w:tc>
          <w:tcPr>
            <w:tcW w:w="2613" w:type="dxa"/>
            <w:tcBorders>
              <w:top w:val="single" w:sz="8" w:space="0" w:color="auto"/>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С</w:t>
            </w:r>
          </w:p>
        </w:tc>
        <w:tc>
          <w:tcPr>
            <w:tcW w:w="1895" w:type="dxa"/>
            <w:tcBorders>
              <w:top w:val="single" w:sz="8" w:space="0" w:color="auto"/>
              <w:left w:val="nil"/>
              <w:bottom w:val="nil"/>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Д</w:t>
            </w:r>
          </w:p>
        </w:tc>
        <w:tc>
          <w:tcPr>
            <w:tcW w:w="2290" w:type="dxa"/>
            <w:tcBorders>
              <w:top w:val="single" w:sz="8" w:space="0" w:color="000000"/>
              <w:left w:val="nil"/>
              <w:bottom w:val="single" w:sz="8" w:space="0" w:color="auto"/>
              <w:right w:val="single" w:sz="8" w:space="0" w:color="000000"/>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1650" w:type="dxa"/>
            <w:tcBorders>
              <w:top w:val="single" w:sz="8" w:space="0" w:color="000000"/>
              <w:left w:val="nil"/>
              <w:bottom w:val="single" w:sz="8" w:space="0" w:color="auto"/>
              <w:right w:val="single" w:sz="8" w:space="0" w:color="000000"/>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Вес критерия</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color w:val="000000"/>
                <w:sz w:val="16"/>
                <w:szCs w:val="16"/>
              </w:rPr>
            </w:pPr>
          </w:p>
        </w:tc>
        <w:tc>
          <w:tcPr>
            <w:tcW w:w="236" w:type="dxa"/>
            <w:tcBorders>
              <w:top w:val="single" w:sz="8" w:space="0" w:color="auto"/>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З</w:t>
            </w:r>
          </w:p>
        </w:tc>
        <w:tc>
          <w:tcPr>
            <w:tcW w:w="74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0,5</w:t>
            </w:r>
          </w:p>
        </w:tc>
        <w:tc>
          <w:tcPr>
            <w:tcW w:w="1895" w:type="dxa"/>
            <w:tcBorders>
              <w:top w:val="single" w:sz="8" w:space="0" w:color="auto"/>
              <w:left w:val="nil"/>
              <w:bottom w:val="nil"/>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0,5</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0,63</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0,2</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color w:val="000000"/>
                <w:sz w:val="16"/>
                <w:szCs w:val="16"/>
              </w:rPr>
            </w:pPr>
          </w:p>
        </w:tc>
        <w:tc>
          <w:tcPr>
            <w:tcW w:w="236" w:type="dxa"/>
            <w:tcBorders>
              <w:top w:val="nil"/>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С</w:t>
            </w:r>
          </w:p>
        </w:tc>
        <w:tc>
          <w:tcPr>
            <w:tcW w:w="74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2</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1895" w:type="dxa"/>
            <w:tcBorders>
              <w:top w:val="single" w:sz="8" w:space="0" w:color="auto"/>
              <w:left w:val="nil"/>
              <w:bottom w:val="nil"/>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1,26</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0,4</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color w:val="000000"/>
                <w:sz w:val="16"/>
                <w:szCs w:val="16"/>
              </w:rPr>
            </w:pPr>
          </w:p>
        </w:tc>
        <w:tc>
          <w:tcPr>
            <w:tcW w:w="236" w:type="dxa"/>
            <w:tcBorders>
              <w:top w:val="nil"/>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Д</w:t>
            </w:r>
          </w:p>
        </w:tc>
        <w:tc>
          <w:tcPr>
            <w:tcW w:w="746"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2</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1895" w:type="dxa"/>
            <w:tcBorders>
              <w:top w:val="single" w:sz="8" w:space="0" w:color="auto"/>
              <w:left w:val="nil"/>
              <w:bottom w:val="nil"/>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1,26</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0,4</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color w:val="000000"/>
                <w:sz w:val="16"/>
                <w:szCs w:val="16"/>
              </w:rPr>
            </w:pPr>
          </w:p>
        </w:tc>
        <w:tc>
          <w:tcPr>
            <w:tcW w:w="236" w:type="dxa"/>
            <w:tcBorders>
              <w:top w:val="nil"/>
              <w:left w:val="single" w:sz="8" w:space="0" w:color="000000"/>
              <w:bottom w:val="single" w:sz="8" w:space="0" w:color="000000"/>
              <w:right w:val="single" w:sz="8" w:space="0" w:color="auto"/>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746" w:type="dxa"/>
            <w:tcBorders>
              <w:top w:val="nil"/>
              <w:left w:val="nil"/>
              <w:bottom w:val="single" w:sz="8" w:space="0" w:color="auto"/>
              <w:right w:val="single" w:sz="8" w:space="0" w:color="000000"/>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Сумма</w:t>
            </w:r>
          </w:p>
        </w:tc>
        <w:tc>
          <w:tcPr>
            <w:tcW w:w="2613" w:type="dxa"/>
            <w:tcBorders>
              <w:top w:val="nil"/>
              <w:left w:val="nil"/>
              <w:bottom w:val="single" w:sz="8" w:space="0" w:color="auto"/>
              <w:right w:val="single" w:sz="8" w:space="0" w:color="000000"/>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1895" w:type="dxa"/>
            <w:tcBorders>
              <w:top w:val="single" w:sz="8" w:space="0" w:color="auto"/>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3,15</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1</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color w:val="000000"/>
                <w:sz w:val="16"/>
                <w:szCs w:val="16"/>
              </w:rPr>
            </w:pPr>
          </w:p>
        </w:tc>
        <w:tc>
          <w:tcPr>
            <w:tcW w:w="236"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746"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2613"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1895"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2290"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1650"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sz w:val="16"/>
                <w:szCs w:val="16"/>
              </w:rPr>
            </w:pPr>
          </w:p>
        </w:tc>
        <w:tc>
          <w:tcPr>
            <w:tcW w:w="9430" w:type="dxa"/>
            <w:gridSpan w:val="6"/>
            <w:tcBorders>
              <w:top w:val="nil"/>
              <w:left w:val="single" w:sz="8" w:space="0" w:color="auto"/>
              <w:bottom w:val="nil"/>
              <w:right w:val="single" w:sz="8" w:space="0" w:color="000000"/>
            </w:tcBorders>
            <w:shd w:val="clear" w:color="000000" w:fill="CCFFF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3. Рассчитывается итоговое значение весов каждого подхода</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color w:val="000000"/>
                <w:sz w:val="16"/>
                <w:szCs w:val="16"/>
              </w:rPr>
            </w:pPr>
          </w:p>
        </w:tc>
        <w:tc>
          <w:tcPr>
            <w:tcW w:w="236" w:type="dxa"/>
            <w:tcBorders>
              <w:top w:val="single" w:sz="8" w:space="0" w:color="000000"/>
              <w:left w:val="single" w:sz="8" w:space="0" w:color="000000"/>
              <w:bottom w:val="nil"/>
              <w:right w:val="single" w:sz="8" w:space="0" w:color="auto"/>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746" w:type="dxa"/>
            <w:tcBorders>
              <w:top w:val="single" w:sz="8" w:space="0" w:color="auto"/>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А</w:t>
            </w:r>
          </w:p>
        </w:tc>
        <w:tc>
          <w:tcPr>
            <w:tcW w:w="2613" w:type="dxa"/>
            <w:tcBorders>
              <w:top w:val="single" w:sz="8" w:space="0" w:color="auto"/>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Б</w:t>
            </w:r>
          </w:p>
        </w:tc>
        <w:tc>
          <w:tcPr>
            <w:tcW w:w="1895" w:type="dxa"/>
            <w:tcBorders>
              <w:top w:val="single" w:sz="8" w:space="0" w:color="auto"/>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В</w:t>
            </w:r>
          </w:p>
        </w:tc>
        <w:tc>
          <w:tcPr>
            <w:tcW w:w="2290" w:type="dxa"/>
            <w:tcBorders>
              <w:top w:val="single" w:sz="8" w:space="0" w:color="auto"/>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Г</w:t>
            </w:r>
          </w:p>
        </w:tc>
        <w:tc>
          <w:tcPr>
            <w:tcW w:w="1650" w:type="dxa"/>
            <w:tcBorders>
              <w:top w:val="single" w:sz="8" w:space="0" w:color="auto"/>
              <w:left w:val="nil"/>
              <w:bottom w:val="nil"/>
              <w:right w:val="single" w:sz="8" w:space="0" w:color="auto"/>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Вес</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color w:val="000000"/>
                <w:sz w:val="16"/>
                <w:szCs w:val="16"/>
              </w:rPr>
            </w:pPr>
          </w:p>
        </w:tc>
        <w:tc>
          <w:tcPr>
            <w:tcW w:w="236" w:type="dxa"/>
            <w:tcBorders>
              <w:top w:val="nil"/>
              <w:left w:val="single" w:sz="8" w:space="0" w:color="000000"/>
              <w:bottom w:val="single" w:sz="8" w:space="0" w:color="000000"/>
              <w:right w:val="single" w:sz="8" w:space="0" w:color="auto"/>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746" w:type="dxa"/>
            <w:tcBorders>
              <w:top w:val="nil"/>
              <w:left w:val="nil"/>
              <w:bottom w:val="single" w:sz="8" w:space="0" w:color="auto"/>
              <w:right w:val="single" w:sz="8" w:space="0" w:color="auto"/>
            </w:tcBorders>
            <w:shd w:val="clear" w:color="000000" w:fill="FFFFF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0,46</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0,24</w:t>
            </w:r>
          </w:p>
        </w:tc>
        <w:tc>
          <w:tcPr>
            <w:tcW w:w="1895"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0,15</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0,15</w:t>
            </w:r>
          </w:p>
        </w:tc>
        <w:tc>
          <w:tcPr>
            <w:tcW w:w="1650" w:type="dxa"/>
            <w:tcBorders>
              <w:top w:val="nil"/>
              <w:left w:val="nil"/>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метода</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color w:val="000000"/>
                <w:sz w:val="16"/>
                <w:szCs w:val="16"/>
              </w:rPr>
            </w:pPr>
          </w:p>
        </w:tc>
        <w:tc>
          <w:tcPr>
            <w:tcW w:w="236" w:type="dxa"/>
            <w:tcBorders>
              <w:top w:val="nil"/>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З</w:t>
            </w:r>
          </w:p>
        </w:tc>
        <w:tc>
          <w:tcPr>
            <w:tcW w:w="746" w:type="dxa"/>
            <w:tcBorders>
              <w:top w:val="nil"/>
              <w:left w:val="nil"/>
              <w:bottom w:val="single" w:sz="8" w:space="0" w:color="auto"/>
              <w:right w:val="single" w:sz="8" w:space="0" w:color="auto"/>
            </w:tcBorders>
            <w:shd w:val="clear" w:color="000000" w:fill="FFFFF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0,22</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0,2</w:t>
            </w:r>
          </w:p>
        </w:tc>
        <w:tc>
          <w:tcPr>
            <w:tcW w:w="1895"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0,14</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0,2</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0,2</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color w:val="000000"/>
                <w:sz w:val="16"/>
                <w:szCs w:val="16"/>
              </w:rPr>
            </w:pPr>
          </w:p>
        </w:tc>
        <w:tc>
          <w:tcPr>
            <w:tcW w:w="236" w:type="dxa"/>
            <w:tcBorders>
              <w:top w:val="nil"/>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С</w:t>
            </w:r>
          </w:p>
        </w:tc>
        <w:tc>
          <w:tcPr>
            <w:tcW w:w="746" w:type="dxa"/>
            <w:tcBorders>
              <w:top w:val="nil"/>
              <w:left w:val="nil"/>
              <w:bottom w:val="single" w:sz="8" w:space="0" w:color="auto"/>
              <w:right w:val="single" w:sz="8" w:space="0" w:color="auto"/>
            </w:tcBorders>
            <w:shd w:val="clear" w:color="000000" w:fill="FFFFF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0,44</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0,6</w:t>
            </w:r>
          </w:p>
        </w:tc>
        <w:tc>
          <w:tcPr>
            <w:tcW w:w="1895"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0,57</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0,4</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0,5</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color w:val="000000"/>
                <w:sz w:val="16"/>
                <w:szCs w:val="16"/>
              </w:rPr>
            </w:pPr>
          </w:p>
        </w:tc>
        <w:tc>
          <w:tcPr>
            <w:tcW w:w="236" w:type="dxa"/>
            <w:tcBorders>
              <w:top w:val="nil"/>
              <w:left w:val="single" w:sz="8" w:space="0" w:color="auto"/>
              <w:bottom w:val="single" w:sz="8" w:space="0" w:color="auto"/>
              <w:right w:val="single" w:sz="8" w:space="0" w:color="auto"/>
            </w:tcBorders>
            <w:shd w:val="pct25" w:color="000000" w:fill="BFBFBF"/>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Д</w:t>
            </w:r>
          </w:p>
        </w:tc>
        <w:tc>
          <w:tcPr>
            <w:tcW w:w="746" w:type="dxa"/>
            <w:tcBorders>
              <w:top w:val="nil"/>
              <w:left w:val="nil"/>
              <w:bottom w:val="single" w:sz="8" w:space="0" w:color="auto"/>
              <w:right w:val="single" w:sz="8" w:space="0" w:color="auto"/>
            </w:tcBorders>
            <w:shd w:val="clear" w:color="000000" w:fill="FFFFF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0,33</w:t>
            </w:r>
          </w:p>
        </w:tc>
        <w:tc>
          <w:tcPr>
            <w:tcW w:w="2613"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0,2</w:t>
            </w:r>
          </w:p>
        </w:tc>
        <w:tc>
          <w:tcPr>
            <w:tcW w:w="1895"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0,29</w:t>
            </w:r>
          </w:p>
        </w:tc>
        <w:tc>
          <w:tcPr>
            <w:tcW w:w="229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0,4</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0,3</w:t>
            </w:r>
          </w:p>
        </w:tc>
      </w:tr>
      <w:tr w:rsidR="00D80751" w:rsidRPr="00D80751" w:rsidTr="00D80751">
        <w:trPr>
          <w:trHeight w:val="20"/>
          <w:jc w:val="center"/>
        </w:trPr>
        <w:tc>
          <w:tcPr>
            <w:tcW w:w="599" w:type="dxa"/>
            <w:tcBorders>
              <w:top w:val="nil"/>
              <w:left w:val="nil"/>
              <w:bottom w:val="nil"/>
              <w:right w:val="nil"/>
            </w:tcBorders>
            <w:shd w:val="clear" w:color="auto" w:fill="auto"/>
            <w:noWrap/>
            <w:vAlign w:val="center"/>
            <w:hideMark/>
          </w:tcPr>
          <w:p w:rsidR="00D80751" w:rsidRPr="00D80751" w:rsidRDefault="00D80751" w:rsidP="00D80751">
            <w:pPr>
              <w:jc w:val="center"/>
              <w:rPr>
                <w:rFonts w:asciiTheme="majorHAnsi" w:hAnsiTheme="majorHAnsi"/>
                <w:b/>
                <w:bCs/>
                <w:color w:val="000000"/>
                <w:sz w:val="16"/>
                <w:szCs w:val="16"/>
              </w:rPr>
            </w:pPr>
          </w:p>
        </w:tc>
        <w:tc>
          <w:tcPr>
            <w:tcW w:w="236" w:type="dxa"/>
            <w:tcBorders>
              <w:top w:val="nil"/>
              <w:left w:val="single" w:sz="8" w:space="0" w:color="000000"/>
              <w:bottom w:val="single" w:sz="8" w:space="0" w:color="000000"/>
              <w:right w:val="single" w:sz="8" w:space="0" w:color="000000"/>
            </w:tcBorders>
            <w:shd w:val="pct25" w:color="000000" w:fill="BFBFBF"/>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746" w:type="dxa"/>
            <w:tcBorders>
              <w:top w:val="nil"/>
              <w:left w:val="nil"/>
              <w:bottom w:val="single" w:sz="8" w:space="0" w:color="000000"/>
              <w:right w:val="single" w:sz="8" w:space="0" w:color="000000"/>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Сумма</w:t>
            </w:r>
          </w:p>
        </w:tc>
        <w:tc>
          <w:tcPr>
            <w:tcW w:w="2613" w:type="dxa"/>
            <w:tcBorders>
              <w:top w:val="nil"/>
              <w:left w:val="nil"/>
              <w:bottom w:val="single" w:sz="8" w:space="0" w:color="000000"/>
              <w:right w:val="single" w:sz="8" w:space="0" w:color="000000"/>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1895" w:type="dxa"/>
            <w:tcBorders>
              <w:top w:val="nil"/>
              <w:left w:val="nil"/>
              <w:bottom w:val="single" w:sz="8" w:space="0" w:color="000000"/>
              <w:right w:val="single" w:sz="8" w:space="0" w:color="000000"/>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2290" w:type="dxa"/>
            <w:tcBorders>
              <w:top w:val="nil"/>
              <w:left w:val="nil"/>
              <w:bottom w:val="single" w:sz="8" w:space="0" w:color="000000"/>
              <w:right w:val="single" w:sz="8" w:space="0" w:color="000000"/>
            </w:tcBorders>
            <w:shd w:val="clear" w:color="auto" w:fill="auto"/>
            <w:vAlign w:val="center"/>
            <w:hideMark/>
          </w:tcPr>
          <w:p w:rsidR="00D80751" w:rsidRPr="00D80751" w:rsidRDefault="00D80751" w:rsidP="00D80751">
            <w:pPr>
              <w:jc w:val="center"/>
              <w:rPr>
                <w:rFonts w:asciiTheme="majorHAnsi" w:hAnsiTheme="majorHAnsi"/>
                <w:color w:val="000000"/>
                <w:sz w:val="16"/>
                <w:szCs w:val="16"/>
              </w:rPr>
            </w:pPr>
            <w:r w:rsidRPr="00D80751">
              <w:rPr>
                <w:rFonts w:asciiTheme="majorHAnsi" w:hAnsiTheme="majorHAnsi"/>
                <w:color w:val="000000"/>
                <w:sz w:val="16"/>
                <w:szCs w:val="16"/>
              </w:rPr>
              <w:t> </w:t>
            </w:r>
          </w:p>
        </w:tc>
        <w:tc>
          <w:tcPr>
            <w:tcW w:w="1650" w:type="dxa"/>
            <w:tcBorders>
              <w:top w:val="nil"/>
              <w:left w:val="nil"/>
              <w:bottom w:val="single" w:sz="8" w:space="0" w:color="auto"/>
              <w:right w:val="single" w:sz="8" w:space="0" w:color="auto"/>
            </w:tcBorders>
            <w:shd w:val="clear" w:color="auto" w:fill="auto"/>
            <w:vAlign w:val="center"/>
            <w:hideMark/>
          </w:tcPr>
          <w:p w:rsidR="00D80751" w:rsidRPr="00D80751" w:rsidRDefault="00D80751" w:rsidP="00D80751">
            <w:pPr>
              <w:jc w:val="center"/>
              <w:rPr>
                <w:rFonts w:asciiTheme="majorHAnsi" w:hAnsiTheme="majorHAnsi"/>
                <w:b/>
                <w:bCs/>
                <w:color w:val="000000"/>
                <w:sz w:val="16"/>
                <w:szCs w:val="16"/>
              </w:rPr>
            </w:pPr>
            <w:r w:rsidRPr="00D80751">
              <w:rPr>
                <w:rFonts w:asciiTheme="majorHAnsi" w:hAnsiTheme="majorHAnsi"/>
                <w:b/>
                <w:bCs/>
                <w:color w:val="000000"/>
                <w:sz w:val="16"/>
                <w:szCs w:val="16"/>
              </w:rPr>
              <w:t>1</w:t>
            </w:r>
          </w:p>
        </w:tc>
      </w:tr>
    </w:tbl>
    <w:p w:rsidR="00D80751" w:rsidRDefault="00D80751" w:rsidP="00BB10BF">
      <w:pPr>
        <w:jc w:val="both"/>
        <w:rPr>
          <w:rFonts w:asciiTheme="majorHAnsi" w:hAnsiTheme="majorHAnsi"/>
          <w:bCs/>
          <w:lang w:eastAsia="en-US" w:bidi="en-US"/>
        </w:rPr>
      </w:pPr>
    </w:p>
    <w:tbl>
      <w:tblPr>
        <w:tblW w:w="9649"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1486"/>
        <w:gridCol w:w="1485"/>
        <w:gridCol w:w="890"/>
        <w:gridCol w:w="1535"/>
        <w:gridCol w:w="840"/>
        <w:gridCol w:w="1336"/>
        <w:gridCol w:w="890"/>
        <w:gridCol w:w="1187"/>
      </w:tblGrid>
      <w:tr w:rsidR="00E86FA0" w:rsidRPr="00D80751" w:rsidTr="00E86FA0">
        <w:trPr>
          <w:trHeight w:val="20"/>
          <w:jc w:val="center"/>
        </w:trPr>
        <w:tc>
          <w:tcPr>
            <w:tcW w:w="1486" w:type="dxa"/>
            <w:shd w:val="clear" w:color="000000" w:fill="F2F2F2"/>
            <w:vAlign w:val="center"/>
            <w:hideMark/>
          </w:tcPr>
          <w:p w:rsidR="00E86FA0" w:rsidRPr="00D80751" w:rsidRDefault="00E86FA0" w:rsidP="00BB10BF">
            <w:pPr>
              <w:ind w:left="-107" w:right="-109"/>
              <w:jc w:val="center"/>
              <w:rPr>
                <w:rFonts w:asciiTheme="majorHAnsi" w:hAnsiTheme="majorHAnsi"/>
                <w:b/>
                <w:bCs/>
                <w:sz w:val="18"/>
                <w:szCs w:val="18"/>
              </w:rPr>
            </w:pPr>
            <w:r w:rsidRPr="00D80751">
              <w:rPr>
                <w:rFonts w:asciiTheme="majorHAnsi" w:hAnsiTheme="majorHAnsi"/>
                <w:b/>
                <w:bCs/>
                <w:sz w:val="18"/>
                <w:szCs w:val="18"/>
              </w:rPr>
              <w:t>Наименование объектов  оценки</w:t>
            </w:r>
          </w:p>
        </w:tc>
        <w:tc>
          <w:tcPr>
            <w:tcW w:w="1485" w:type="dxa"/>
            <w:shd w:val="clear" w:color="000000" w:fill="F2F2F2"/>
            <w:vAlign w:val="center"/>
            <w:hideMark/>
          </w:tcPr>
          <w:p w:rsidR="00E86FA0" w:rsidRPr="00D80751" w:rsidRDefault="00E86FA0" w:rsidP="00BB10BF">
            <w:pPr>
              <w:ind w:left="-107" w:right="-109"/>
              <w:jc w:val="center"/>
              <w:rPr>
                <w:rFonts w:asciiTheme="majorHAnsi" w:hAnsiTheme="majorHAnsi"/>
                <w:b/>
                <w:bCs/>
                <w:sz w:val="18"/>
                <w:szCs w:val="18"/>
              </w:rPr>
            </w:pPr>
            <w:r w:rsidRPr="00D80751">
              <w:rPr>
                <w:rFonts w:asciiTheme="majorHAnsi" w:hAnsiTheme="majorHAnsi"/>
                <w:b/>
                <w:bCs/>
                <w:sz w:val="18"/>
                <w:szCs w:val="18"/>
              </w:rPr>
              <w:t>Рыночная стоимость, рассчитанная затратным подходом, руб.</w:t>
            </w:r>
          </w:p>
        </w:tc>
        <w:tc>
          <w:tcPr>
            <w:tcW w:w="890" w:type="dxa"/>
            <w:shd w:val="clear" w:color="000000" w:fill="F2F2F2"/>
            <w:vAlign w:val="center"/>
            <w:hideMark/>
          </w:tcPr>
          <w:p w:rsidR="00E86FA0" w:rsidRPr="00D80751" w:rsidRDefault="00E86FA0" w:rsidP="00BB10BF">
            <w:pPr>
              <w:ind w:left="-107" w:right="-109"/>
              <w:jc w:val="center"/>
              <w:rPr>
                <w:rFonts w:asciiTheme="majorHAnsi" w:hAnsiTheme="majorHAnsi"/>
                <w:b/>
                <w:bCs/>
                <w:sz w:val="18"/>
                <w:szCs w:val="18"/>
              </w:rPr>
            </w:pPr>
            <w:r w:rsidRPr="00D80751">
              <w:rPr>
                <w:rFonts w:asciiTheme="majorHAnsi" w:hAnsiTheme="majorHAnsi"/>
                <w:b/>
                <w:bCs/>
                <w:sz w:val="18"/>
                <w:szCs w:val="18"/>
              </w:rPr>
              <w:t>Вес подхода</w:t>
            </w:r>
          </w:p>
        </w:tc>
        <w:tc>
          <w:tcPr>
            <w:tcW w:w="1535" w:type="dxa"/>
            <w:shd w:val="clear" w:color="000000" w:fill="F2F2F2"/>
            <w:vAlign w:val="center"/>
            <w:hideMark/>
          </w:tcPr>
          <w:p w:rsidR="00E86FA0" w:rsidRPr="00D80751" w:rsidRDefault="00E86FA0" w:rsidP="00BB10BF">
            <w:pPr>
              <w:ind w:left="-107" w:right="-109"/>
              <w:jc w:val="center"/>
              <w:rPr>
                <w:rFonts w:asciiTheme="majorHAnsi" w:hAnsiTheme="majorHAnsi"/>
                <w:b/>
                <w:bCs/>
                <w:sz w:val="18"/>
                <w:szCs w:val="18"/>
              </w:rPr>
            </w:pPr>
            <w:r w:rsidRPr="00D80751">
              <w:rPr>
                <w:rFonts w:asciiTheme="majorHAnsi" w:hAnsiTheme="majorHAnsi"/>
                <w:b/>
                <w:bCs/>
                <w:sz w:val="18"/>
                <w:szCs w:val="18"/>
              </w:rPr>
              <w:t>Рыночная стоимость, рассчитанная сравнительным подходом, руб.</w:t>
            </w:r>
          </w:p>
        </w:tc>
        <w:tc>
          <w:tcPr>
            <w:tcW w:w="840" w:type="dxa"/>
            <w:shd w:val="clear" w:color="000000" w:fill="F2F2F2"/>
            <w:vAlign w:val="center"/>
            <w:hideMark/>
          </w:tcPr>
          <w:p w:rsidR="00E86FA0" w:rsidRPr="00D80751" w:rsidRDefault="00E86FA0" w:rsidP="00BB10BF">
            <w:pPr>
              <w:ind w:left="-107" w:right="-109"/>
              <w:jc w:val="center"/>
              <w:rPr>
                <w:rFonts w:asciiTheme="majorHAnsi" w:hAnsiTheme="majorHAnsi"/>
                <w:b/>
                <w:bCs/>
                <w:sz w:val="18"/>
                <w:szCs w:val="18"/>
              </w:rPr>
            </w:pPr>
            <w:r w:rsidRPr="00D80751">
              <w:rPr>
                <w:rFonts w:asciiTheme="majorHAnsi" w:hAnsiTheme="majorHAnsi"/>
                <w:b/>
                <w:bCs/>
                <w:sz w:val="18"/>
                <w:szCs w:val="18"/>
              </w:rPr>
              <w:t>Вес подхода</w:t>
            </w:r>
          </w:p>
        </w:tc>
        <w:tc>
          <w:tcPr>
            <w:tcW w:w="1336" w:type="dxa"/>
            <w:shd w:val="clear" w:color="000000" w:fill="F2F2F2"/>
            <w:vAlign w:val="center"/>
            <w:hideMark/>
          </w:tcPr>
          <w:p w:rsidR="00E86FA0" w:rsidRPr="00D80751" w:rsidRDefault="00E86FA0" w:rsidP="00BB10BF">
            <w:pPr>
              <w:ind w:left="-107" w:right="-109"/>
              <w:jc w:val="center"/>
              <w:rPr>
                <w:rFonts w:asciiTheme="majorHAnsi" w:hAnsiTheme="majorHAnsi"/>
                <w:b/>
                <w:bCs/>
                <w:sz w:val="18"/>
                <w:szCs w:val="18"/>
              </w:rPr>
            </w:pPr>
            <w:r w:rsidRPr="00D80751">
              <w:rPr>
                <w:rFonts w:asciiTheme="majorHAnsi" w:hAnsiTheme="majorHAnsi"/>
                <w:b/>
                <w:bCs/>
                <w:sz w:val="18"/>
                <w:szCs w:val="18"/>
              </w:rPr>
              <w:t>Рыночная стоимость, рассчитанная доходным подходом, руб.</w:t>
            </w:r>
          </w:p>
        </w:tc>
        <w:tc>
          <w:tcPr>
            <w:tcW w:w="890" w:type="dxa"/>
            <w:shd w:val="clear" w:color="000000" w:fill="F2F2F2"/>
            <w:vAlign w:val="center"/>
            <w:hideMark/>
          </w:tcPr>
          <w:p w:rsidR="00E86FA0" w:rsidRPr="00D80751" w:rsidRDefault="00E86FA0" w:rsidP="00BB10BF">
            <w:pPr>
              <w:ind w:left="-107" w:right="-109"/>
              <w:jc w:val="center"/>
              <w:rPr>
                <w:rFonts w:asciiTheme="majorHAnsi" w:hAnsiTheme="majorHAnsi"/>
                <w:b/>
                <w:bCs/>
                <w:sz w:val="18"/>
                <w:szCs w:val="18"/>
              </w:rPr>
            </w:pPr>
            <w:r w:rsidRPr="00D80751">
              <w:rPr>
                <w:rFonts w:asciiTheme="majorHAnsi" w:hAnsiTheme="majorHAnsi"/>
                <w:b/>
                <w:bCs/>
                <w:sz w:val="18"/>
                <w:szCs w:val="18"/>
              </w:rPr>
              <w:t xml:space="preserve">Вес подхода </w:t>
            </w:r>
          </w:p>
        </w:tc>
        <w:tc>
          <w:tcPr>
            <w:tcW w:w="1187" w:type="dxa"/>
            <w:shd w:val="clear" w:color="000000" w:fill="F2F2F2"/>
            <w:vAlign w:val="center"/>
            <w:hideMark/>
          </w:tcPr>
          <w:p w:rsidR="00E86FA0" w:rsidRPr="00D80751" w:rsidRDefault="00E86FA0" w:rsidP="00BB10BF">
            <w:pPr>
              <w:ind w:left="-107" w:right="-109"/>
              <w:jc w:val="center"/>
              <w:rPr>
                <w:rFonts w:asciiTheme="majorHAnsi" w:hAnsiTheme="majorHAnsi"/>
                <w:b/>
                <w:bCs/>
                <w:sz w:val="18"/>
                <w:szCs w:val="18"/>
              </w:rPr>
            </w:pPr>
            <w:r w:rsidRPr="00D80751">
              <w:rPr>
                <w:rFonts w:asciiTheme="majorHAnsi" w:hAnsiTheme="majorHAnsi"/>
                <w:b/>
                <w:bCs/>
                <w:sz w:val="18"/>
                <w:szCs w:val="18"/>
              </w:rPr>
              <w:t>Итоговая стоимость, с учетом НДС руб.</w:t>
            </w:r>
            <w:r>
              <w:rPr>
                <w:rFonts w:asciiTheme="majorHAnsi" w:hAnsiTheme="majorHAnsi"/>
                <w:b/>
                <w:bCs/>
                <w:sz w:val="18"/>
                <w:szCs w:val="18"/>
              </w:rPr>
              <w:t xml:space="preserve"> (з.уч. НДС не облагается)</w:t>
            </w:r>
          </w:p>
        </w:tc>
      </w:tr>
      <w:tr w:rsidR="00E86FA0" w:rsidRPr="00D80751" w:rsidTr="00E86FA0">
        <w:trPr>
          <w:trHeight w:val="20"/>
          <w:jc w:val="center"/>
        </w:trPr>
        <w:tc>
          <w:tcPr>
            <w:tcW w:w="1486" w:type="dxa"/>
            <w:shd w:val="clear" w:color="auto" w:fill="auto"/>
            <w:vAlign w:val="center"/>
            <w:hideMark/>
          </w:tcPr>
          <w:p w:rsidR="00E86FA0" w:rsidRPr="00305BC3" w:rsidRDefault="00E86FA0" w:rsidP="00305BC3">
            <w:pPr>
              <w:jc w:val="center"/>
              <w:rPr>
                <w:rFonts w:asciiTheme="majorHAnsi" w:hAnsiTheme="majorHAnsi"/>
                <w:sz w:val="18"/>
                <w:szCs w:val="18"/>
              </w:rPr>
            </w:pPr>
            <w:r w:rsidRPr="00305BC3">
              <w:rPr>
                <w:rFonts w:asciiTheme="majorHAnsi" w:hAnsiTheme="majorHAnsi"/>
                <w:sz w:val="18"/>
                <w:szCs w:val="18"/>
              </w:rPr>
              <w:t>Нежилое строение (Производственный корпус)</w:t>
            </w:r>
          </w:p>
        </w:tc>
        <w:tc>
          <w:tcPr>
            <w:tcW w:w="1485" w:type="dxa"/>
            <w:shd w:val="clear" w:color="auto" w:fill="auto"/>
            <w:vAlign w:val="center"/>
            <w:hideMark/>
          </w:tcPr>
          <w:p w:rsidR="00E86FA0" w:rsidRPr="00305BC3" w:rsidRDefault="00E86FA0" w:rsidP="00305BC3">
            <w:pPr>
              <w:jc w:val="center"/>
              <w:rPr>
                <w:rFonts w:asciiTheme="majorHAnsi" w:hAnsiTheme="majorHAnsi"/>
                <w:sz w:val="18"/>
                <w:szCs w:val="18"/>
              </w:rPr>
            </w:pPr>
            <w:r w:rsidRPr="00305BC3">
              <w:rPr>
                <w:rFonts w:asciiTheme="majorHAnsi" w:hAnsiTheme="majorHAnsi"/>
                <w:sz w:val="18"/>
                <w:szCs w:val="18"/>
              </w:rPr>
              <w:t>98 151 779</w:t>
            </w:r>
          </w:p>
        </w:tc>
        <w:tc>
          <w:tcPr>
            <w:tcW w:w="890" w:type="dxa"/>
            <w:shd w:val="clear" w:color="auto" w:fill="auto"/>
            <w:vAlign w:val="center"/>
            <w:hideMark/>
          </w:tcPr>
          <w:p w:rsidR="00E86FA0" w:rsidRPr="00305BC3" w:rsidRDefault="00E86FA0" w:rsidP="00305BC3">
            <w:pPr>
              <w:jc w:val="center"/>
              <w:rPr>
                <w:rFonts w:asciiTheme="majorHAnsi" w:hAnsiTheme="majorHAnsi"/>
                <w:sz w:val="18"/>
                <w:szCs w:val="18"/>
              </w:rPr>
            </w:pPr>
            <w:r w:rsidRPr="00305BC3">
              <w:rPr>
                <w:rFonts w:asciiTheme="majorHAnsi" w:hAnsiTheme="majorHAnsi"/>
                <w:sz w:val="18"/>
                <w:szCs w:val="18"/>
              </w:rPr>
              <w:t>0,20</w:t>
            </w:r>
          </w:p>
        </w:tc>
        <w:tc>
          <w:tcPr>
            <w:tcW w:w="1535" w:type="dxa"/>
            <w:shd w:val="clear" w:color="auto" w:fill="auto"/>
            <w:vAlign w:val="center"/>
            <w:hideMark/>
          </w:tcPr>
          <w:p w:rsidR="00E86FA0" w:rsidRPr="00305BC3" w:rsidRDefault="00E86FA0" w:rsidP="00305BC3">
            <w:pPr>
              <w:jc w:val="center"/>
              <w:rPr>
                <w:rFonts w:asciiTheme="majorHAnsi" w:hAnsiTheme="majorHAnsi"/>
                <w:sz w:val="18"/>
                <w:szCs w:val="18"/>
              </w:rPr>
            </w:pPr>
            <w:r w:rsidRPr="00305BC3">
              <w:rPr>
                <w:rFonts w:asciiTheme="majorHAnsi" w:hAnsiTheme="majorHAnsi"/>
                <w:sz w:val="18"/>
                <w:szCs w:val="18"/>
              </w:rPr>
              <w:t>97 529 754</w:t>
            </w:r>
          </w:p>
        </w:tc>
        <w:tc>
          <w:tcPr>
            <w:tcW w:w="840" w:type="dxa"/>
            <w:shd w:val="clear" w:color="auto" w:fill="auto"/>
            <w:vAlign w:val="center"/>
            <w:hideMark/>
          </w:tcPr>
          <w:p w:rsidR="00E86FA0" w:rsidRPr="00305BC3" w:rsidRDefault="00E86FA0" w:rsidP="00305BC3">
            <w:pPr>
              <w:jc w:val="center"/>
              <w:rPr>
                <w:rFonts w:asciiTheme="majorHAnsi" w:hAnsiTheme="majorHAnsi"/>
                <w:sz w:val="18"/>
                <w:szCs w:val="18"/>
              </w:rPr>
            </w:pPr>
            <w:r w:rsidRPr="00305BC3">
              <w:rPr>
                <w:rFonts w:asciiTheme="majorHAnsi" w:hAnsiTheme="majorHAnsi"/>
                <w:sz w:val="18"/>
                <w:szCs w:val="18"/>
              </w:rPr>
              <w:t>0,50</w:t>
            </w:r>
          </w:p>
        </w:tc>
        <w:tc>
          <w:tcPr>
            <w:tcW w:w="1336" w:type="dxa"/>
            <w:shd w:val="clear" w:color="auto" w:fill="auto"/>
            <w:vAlign w:val="center"/>
            <w:hideMark/>
          </w:tcPr>
          <w:p w:rsidR="00E86FA0" w:rsidRPr="00305BC3" w:rsidRDefault="00E86FA0" w:rsidP="00305BC3">
            <w:pPr>
              <w:jc w:val="center"/>
              <w:rPr>
                <w:rFonts w:asciiTheme="majorHAnsi" w:hAnsiTheme="majorHAnsi"/>
                <w:sz w:val="18"/>
                <w:szCs w:val="18"/>
              </w:rPr>
            </w:pPr>
            <w:r w:rsidRPr="00305BC3">
              <w:rPr>
                <w:rFonts w:asciiTheme="majorHAnsi" w:hAnsiTheme="majorHAnsi"/>
                <w:sz w:val="18"/>
                <w:szCs w:val="18"/>
              </w:rPr>
              <w:t>86 307 001</w:t>
            </w:r>
          </w:p>
        </w:tc>
        <w:tc>
          <w:tcPr>
            <w:tcW w:w="890" w:type="dxa"/>
            <w:shd w:val="clear" w:color="auto" w:fill="auto"/>
            <w:vAlign w:val="center"/>
            <w:hideMark/>
          </w:tcPr>
          <w:p w:rsidR="00E86FA0" w:rsidRPr="00305BC3" w:rsidRDefault="00E86FA0" w:rsidP="00305BC3">
            <w:pPr>
              <w:jc w:val="center"/>
              <w:rPr>
                <w:rFonts w:asciiTheme="majorHAnsi" w:hAnsiTheme="majorHAnsi"/>
                <w:sz w:val="18"/>
                <w:szCs w:val="18"/>
              </w:rPr>
            </w:pPr>
            <w:r w:rsidRPr="00305BC3">
              <w:rPr>
                <w:rFonts w:asciiTheme="majorHAnsi" w:hAnsiTheme="majorHAnsi"/>
                <w:sz w:val="18"/>
                <w:szCs w:val="18"/>
              </w:rPr>
              <w:t>0,30</w:t>
            </w:r>
          </w:p>
        </w:tc>
        <w:tc>
          <w:tcPr>
            <w:tcW w:w="1187" w:type="dxa"/>
            <w:shd w:val="clear" w:color="auto" w:fill="auto"/>
            <w:noWrap/>
            <w:vAlign w:val="center"/>
            <w:hideMark/>
          </w:tcPr>
          <w:p w:rsidR="00E86FA0" w:rsidRPr="00E86FA0" w:rsidRDefault="00E86FA0" w:rsidP="00BB10BF">
            <w:pPr>
              <w:ind w:left="-107" w:right="-109"/>
              <w:jc w:val="center"/>
              <w:rPr>
                <w:rFonts w:asciiTheme="majorHAnsi" w:hAnsiTheme="majorHAnsi"/>
                <w:bCs/>
                <w:color w:val="000000"/>
                <w:sz w:val="18"/>
                <w:szCs w:val="18"/>
              </w:rPr>
            </w:pPr>
            <w:r w:rsidRPr="00E86FA0">
              <w:rPr>
                <w:rFonts w:asciiTheme="majorHAnsi" w:hAnsiTheme="majorHAnsi"/>
                <w:bCs/>
                <w:color w:val="000000"/>
                <w:sz w:val="18"/>
                <w:szCs w:val="18"/>
              </w:rPr>
              <w:t xml:space="preserve">94 287 333  </w:t>
            </w:r>
          </w:p>
        </w:tc>
      </w:tr>
      <w:tr w:rsidR="00E86FA0" w:rsidRPr="00D80751" w:rsidTr="00E86FA0">
        <w:trPr>
          <w:trHeight w:val="20"/>
          <w:jc w:val="center"/>
        </w:trPr>
        <w:tc>
          <w:tcPr>
            <w:tcW w:w="1486" w:type="dxa"/>
            <w:shd w:val="clear" w:color="auto" w:fill="auto"/>
            <w:vAlign w:val="center"/>
            <w:hideMark/>
          </w:tcPr>
          <w:p w:rsidR="00E86FA0" w:rsidRPr="00D80751" w:rsidRDefault="00E86FA0" w:rsidP="00BB10BF">
            <w:pPr>
              <w:ind w:left="-107" w:right="-109"/>
              <w:jc w:val="center"/>
              <w:rPr>
                <w:rFonts w:asciiTheme="majorHAnsi" w:hAnsiTheme="majorHAnsi"/>
                <w:sz w:val="18"/>
                <w:szCs w:val="18"/>
              </w:rPr>
            </w:pPr>
            <w:r w:rsidRPr="00D80751">
              <w:rPr>
                <w:rFonts w:asciiTheme="majorHAnsi" w:hAnsiTheme="majorHAnsi"/>
                <w:sz w:val="18"/>
                <w:szCs w:val="18"/>
              </w:rPr>
              <w:t>В том числе Земельный участок</w:t>
            </w:r>
          </w:p>
        </w:tc>
        <w:tc>
          <w:tcPr>
            <w:tcW w:w="1485" w:type="dxa"/>
            <w:shd w:val="clear" w:color="auto" w:fill="auto"/>
            <w:vAlign w:val="center"/>
            <w:hideMark/>
          </w:tcPr>
          <w:p w:rsidR="00E86FA0" w:rsidRPr="00D80751" w:rsidRDefault="00E86FA0" w:rsidP="00BB10BF">
            <w:pPr>
              <w:ind w:left="-107" w:right="-109"/>
              <w:jc w:val="center"/>
              <w:rPr>
                <w:rFonts w:asciiTheme="majorHAnsi" w:hAnsiTheme="majorHAnsi"/>
                <w:sz w:val="18"/>
                <w:szCs w:val="18"/>
              </w:rPr>
            </w:pPr>
            <w:r>
              <w:rPr>
                <w:rFonts w:asciiTheme="majorHAnsi" w:hAnsiTheme="majorHAnsi"/>
                <w:sz w:val="18"/>
                <w:szCs w:val="18"/>
              </w:rPr>
              <w:t>Не применялся</w:t>
            </w:r>
          </w:p>
        </w:tc>
        <w:tc>
          <w:tcPr>
            <w:tcW w:w="890" w:type="dxa"/>
            <w:shd w:val="clear" w:color="auto" w:fill="auto"/>
            <w:noWrap/>
            <w:vAlign w:val="center"/>
            <w:hideMark/>
          </w:tcPr>
          <w:p w:rsidR="00E86FA0" w:rsidRPr="00D80751" w:rsidRDefault="00E86FA0" w:rsidP="00BB10BF">
            <w:pPr>
              <w:ind w:left="-107" w:right="-109"/>
              <w:jc w:val="center"/>
              <w:rPr>
                <w:rFonts w:asciiTheme="majorHAnsi" w:hAnsiTheme="majorHAnsi"/>
                <w:color w:val="000000"/>
                <w:sz w:val="18"/>
                <w:szCs w:val="18"/>
              </w:rPr>
            </w:pPr>
            <w:r>
              <w:rPr>
                <w:rFonts w:asciiTheme="majorHAnsi" w:hAnsiTheme="majorHAnsi"/>
                <w:color w:val="000000"/>
                <w:sz w:val="18"/>
                <w:szCs w:val="18"/>
              </w:rPr>
              <w:t>0</w:t>
            </w:r>
          </w:p>
        </w:tc>
        <w:tc>
          <w:tcPr>
            <w:tcW w:w="1535" w:type="dxa"/>
            <w:shd w:val="clear" w:color="auto" w:fill="auto"/>
            <w:noWrap/>
            <w:vAlign w:val="center"/>
            <w:hideMark/>
          </w:tcPr>
          <w:p w:rsidR="00E86FA0" w:rsidRPr="00D80751" w:rsidRDefault="00E86FA0" w:rsidP="00BB10BF">
            <w:pPr>
              <w:ind w:left="-107" w:right="-109"/>
              <w:jc w:val="center"/>
              <w:rPr>
                <w:rFonts w:asciiTheme="majorHAnsi" w:hAnsiTheme="majorHAnsi"/>
                <w:color w:val="000000"/>
                <w:sz w:val="18"/>
                <w:szCs w:val="18"/>
              </w:rPr>
            </w:pPr>
            <w:r>
              <w:rPr>
                <w:rFonts w:asciiTheme="majorHAnsi" w:hAnsiTheme="majorHAnsi"/>
                <w:color w:val="000000"/>
                <w:sz w:val="18"/>
                <w:szCs w:val="18"/>
              </w:rPr>
              <w:t>15 495 165</w:t>
            </w:r>
          </w:p>
        </w:tc>
        <w:tc>
          <w:tcPr>
            <w:tcW w:w="840" w:type="dxa"/>
            <w:shd w:val="clear" w:color="auto" w:fill="auto"/>
            <w:noWrap/>
            <w:vAlign w:val="center"/>
            <w:hideMark/>
          </w:tcPr>
          <w:p w:rsidR="00E86FA0" w:rsidRPr="00D80751" w:rsidRDefault="00E86FA0" w:rsidP="00BB10BF">
            <w:pPr>
              <w:ind w:left="-107" w:right="-109"/>
              <w:jc w:val="center"/>
              <w:rPr>
                <w:rFonts w:asciiTheme="majorHAnsi" w:hAnsiTheme="majorHAnsi"/>
                <w:color w:val="000000"/>
                <w:sz w:val="18"/>
                <w:szCs w:val="18"/>
              </w:rPr>
            </w:pPr>
            <w:r>
              <w:rPr>
                <w:rFonts w:asciiTheme="majorHAnsi" w:hAnsiTheme="majorHAnsi"/>
                <w:color w:val="000000"/>
                <w:sz w:val="18"/>
                <w:szCs w:val="18"/>
              </w:rPr>
              <w:t>1</w:t>
            </w:r>
          </w:p>
        </w:tc>
        <w:tc>
          <w:tcPr>
            <w:tcW w:w="1336" w:type="dxa"/>
            <w:shd w:val="clear" w:color="auto" w:fill="auto"/>
            <w:noWrap/>
            <w:vAlign w:val="center"/>
            <w:hideMark/>
          </w:tcPr>
          <w:p w:rsidR="00E86FA0" w:rsidRPr="00D80751" w:rsidRDefault="00E86FA0" w:rsidP="00BB10BF">
            <w:pPr>
              <w:ind w:left="-107" w:right="-109"/>
              <w:jc w:val="center"/>
              <w:rPr>
                <w:rFonts w:asciiTheme="majorHAnsi" w:hAnsiTheme="majorHAnsi"/>
                <w:color w:val="000000"/>
                <w:sz w:val="18"/>
                <w:szCs w:val="18"/>
              </w:rPr>
            </w:pPr>
            <w:r w:rsidRPr="00E86FA0">
              <w:rPr>
                <w:rFonts w:asciiTheme="majorHAnsi" w:hAnsiTheme="majorHAnsi"/>
                <w:color w:val="000000"/>
                <w:sz w:val="18"/>
                <w:szCs w:val="18"/>
              </w:rPr>
              <w:t>Не применялся</w:t>
            </w:r>
          </w:p>
        </w:tc>
        <w:tc>
          <w:tcPr>
            <w:tcW w:w="890" w:type="dxa"/>
            <w:shd w:val="clear" w:color="auto" w:fill="auto"/>
            <w:noWrap/>
            <w:vAlign w:val="center"/>
            <w:hideMark/>
          </w:tcPr>
          <w:p w:rsidR="00E86FA0" w:rsidRPr="00D80751" w:rsidRDefault="00E86FA0" w:rsidP="00BB10BF">
            <w:pPr>
              <w:ind w:left="-107" w:right="-109"/>
              <w:jc w:val="center"/>
              <w:rPr>
                <w:rFonts w:asciiTheme="majorHAnsi" w:hAnsiTheme="majorHAnsi"/>
                <w:color w:val="000000"/>
                <w:sz w:val="18"/>
                <w:szCs w:val="18"/>
              </w:rPr>
            </w:pPr>
            <w:r>
              <w:rPr>
                <w:rFonts w:asciiTheme="majorHAnsi" w:hAnsiTheme="majorHAnsi"/>
                <w:color w:val="000000"/>
                <w:sz w:val="18"/>
                <w:szCs w:val="18"/>
              </w:rPr>
              <w:t>0</w:t>
            </w:r>
          </w:p>
        </w:tc>
        <w:tc>
          <w:tcPr>
            <w:tcW w:w="1187" w:type="dxa"/>
            <w:shd w:val="clear" w:color="auto" w:fill="auto"/>
            <w:noWrap/>
            <w:vAlign w:val="center"/>
            <w:hideMark/>
          </w:tcPr>
          <w:p w:rsidR="00E86FA0" w:rsidRPr="00C35B38" w:rsidRDefault="00E86FA0" w:rsidP="00BB10BF">
            <w:pPr>
              <w:ind w:left="-107" w:right="-109"/>
              <w:jc w:val="center"/>
              <w:rPr>
                <w:rFonts w:asciiTheme="majorHAnsi" w:hAnsiTheme="majorHAnsi"/>
                <w:bCs/>
                <w:color w:val="000000"/>
                <w:sz w:val="18"/>
                <w:szCs w:val="18"/>
              </w:rPr>
            </w:pPr>
            <w:r w:rsidRPr="00E86FA0">
              <w:rPr>
                <w:rFonts w:asciiTheme="majorHAnsi" w:hAnsiTheme="majorHAnsi"/>
                <w:bCs/>
                <w:color w:val="000000"/>
                <w:sz w:val="18"/>
                <w:szCs w:val="18"/>
              </w:rPr>
              <w:t>15 495 165</w:t>
            </w:r>
          </w:p>
        </w:tc>
      </w:tr>
      <w:tr w:rsidR="00E86FA0" w:rsidRPr="00D80751" w:rsidTr="00E86FA0">
        <w:trPr>
          <w:trHeight w:val="20"/>
          <w:jc w:val="center"/>
        </w:trPr>
        <w:tc>
          <w:tcPr>
            <w:tcW w:w="1486" w:type="dxa"/>
            <w:shd w:val="clear" w:color="auto" w:fill="auto"/>
            <w:noWrap/>
            <w:vAlign w:val="center"/>
            <w:hideMark/>
          </w:tcPr>
          <w:p w:rsidR="00E86FA0" w:rsidRPr="00D80751" w:rsidRDefault="00E86FA0" w:rsidP="00BB10BF">
            <w:pPr>
              <w:ind w:left="-107" w:right="-109"/>
              <w:jc w:val="center"/>
              <w:rPr>
                <w:rFonts w:asciiTheme="majorHAnsi" w:hAnsiTheme="majorHAnsi"/>
                <w:color w:val="000000"/>
                <w:sz w:val="18"/>
                <w:szCs w:val="18"/>
              </w:rPr>
            </w:pPr>
            <w:r w:rsidRPr="00D80751">
              <w:rPr>
                <w:rFonts w:asciiTheme="majorHAnsi" w:hAnsiTheme="majorHAnsi"/>
                <w:color w:val="000000"/>
                <w:sz w:val="18"/>
                <w:szCs w:val="18"/>
              </w:rPr>
              <w:t>ОКС</w:t>
            </w:r>
          </w:p>
        </w:tc>
        <w:tc>
          <w:tcPr>
            <w:tcW w:w="1485" w:type="dxa"/>
            <w:shd w:val="clear" w:color="auto" w:fill="auto"/>
            <w:noWrap/>
            <w:vAlign w:val="center"/>
          </w:tcPr>
          <w:p w:rsidR="00E86FA0" w:rsidRPr="00D80751" w:rsidRDefault="00E86FA0" w:rsidP="00BB10BF">
            <w:pPr>
              <w:ind w:left="-107" w:right="-109"/>
              <w:jc w:val="center"/>
              <w:rPr>
                <w:rFonts w:asciiTheme="majorHAnsi" w:hAnsiTheme="majorHAnsi"/>
                <w:color w:val="000000"/>
                <w:sz w:val="18"/>
                <w:szCs w:val="18"/>
              </w:rPr>
            </w:pPr>
          </w:p>
        </w:tc>
        <w:tc>
          <w:tcPr>
            <w:tcW w:w="890" w:type="dxa"/>
            <w:shd w:val="clear" w:color="auto" w:fill="auto"/>
            <w:noWrap/>
            <w:vAlign w:val="center"/>
          </w:tcPr>
          <w:p w:rsidR="00E86FA0" w:rsidRPr="00D80751" w:rsidRDefault="00E86FA0" w:rsidP="00BB10BF">
            <w:pPr>
              <w:ind w:left="-107" w:right="-109"/>
              <w:jc w:val="center"/>
              <w:rPr>
                <w:rFonts w:asciiTheme="majorHAnsi" w:hAnsiTheme="majorHAnsi"/>
                <w:color w:val="000000"/>
                <w:sz w:val="18"/>
                <w:szCs w:val="18"/>
              </w:rPr>
            </w:pPr>
          </w:p>
        </w:tc>
        <w:tc>
          <w:tcPr>
            <w:tcW w:w="1535" w:type="dxa"/>
            <w:shd w:val="clear" w:color="auto" w:fill="auto"/>
            <w:noWrap/>
            <w:vAlign w:val="center"/>
          </w:tcPr>
          <w:p w:rsidR="00E86FA0" w:rsidRPr="00D80751" w:rsidRDefault="00E86FA0" w:rsidP="00BB10BF">
            <w:pPr>
              <w:ind w:left="-107" w:right="-109"/>
              <w:jc w:val="center"/>
              <w:rPr>
                <w:rFonts w:asciiTheme="majorHAnsi" w:hAnsiTheme="majorHAnsi"/>
                <w:color w:val="000000"/>
                <w:sz w:val="18"/>
                <w:szCs w:val="18"/>
              </w:rPr>
            </w:pPr>
          </w:p>
        </w:tc>
        <w:tc>
          <w:tcPr>
            <w:tcW w:w="840" w:type="dxa"/>
            <w:shd w:val="clear" w:color="auto" w:fill="auto"/>
            <w:noWrap/>
            <w:vAlign w:val="center"/>
          </w:tcPr>
          <w:p w:rsidR="00E86FA0" w:rsidRPr="00D80751" w:rsidRDefault="00E86FA0" w:rsidP="00BB10BF">
            <w:pPr>
              <w:ind w:left="-107" w:right="-109"/>
              <w:jc w:val="center"/>
              <w:rPr>
                <w:rFonts w:asciiTheme="majorHAnsi" w:hAnsiTheme="majorHAnsi"/>
                <w:color w:val="000000"/>
                <w:sz w:val="18"/>
                <w:szCs w:val="18"/>
              </w:rPr>
            </w:pPr>
          </w:p>
        </w:tc>
        <w:tc>
          <w:tcPr>
            <w:tcW w:w="1336" w:type="dxa"/>
            <w:shd w:val="clear" w:color="auto" w:fill="auto"/>
            <w:noWrap/>
            <w:vAlign w:val="center"/>
          </w:tcPr>
          <w:p w:rsidR="00E86FA0" w:rsidRPr="00D80751" w:rsidRDefault="00E86FA0" w:rsidP="00BB10BF">
            <w:pPr>
              <w:ind w:left="-107" w:right="-109"/>
              <w:jc w:val="center"/>
              <w:rPr>
                <w:rFonts w:asciiTheme="majorHAnsi" w:hAnsiTheme="majorHAnsi"/>
                <w:color w:val="000000"/>
                <w:sz w:val="18"/>
                <w:szCs w:val="18"/>
              </w:rPr>
            </w:pPr>
          </w:p>
        </w:tc>
        <w:tc>
          <w:tcPr>
            <w:tcW w:w="890" w:type="dxa"/>
            <w:shd w:val="clear" w:color="auto" w:fill="auto"/>
            <w:noWrap/>
            <w:vAlign w:val="center"/>
            <w:hideMark/>
          </w:tcPr>
          <w:p w:rsidR="00E86FA0" w:rsidRPr="00D80751" w:rsidRDefault="00E86FA0" w:rsidP="00BB10BF">
            <w:pPr>
              <w:ind w:left="-107" w:right="-109"/>
              <w:jc w:val="center"/>
              <w:rPr>
                <w:rFonts w:asciiTheme="majorHAnsi" w:hAnsiTheme="majorHAnsi"/>
                <w:color w:val="000000"/>
                <w:sz w:val="18"/>
                <w:szCs w:val="18"/>
              </w:rPr>
            </w:pPr>
          </w:p>
        </w:tc>
        <w:tc>
          <w:tcPr>
            <w:tcW w:w="1187" w:type="dxa"/>
            <w:shd w:val="clear" w:color="auto" w:fill="auto"/>
            <w:noWrap/>
            <w:vAlign w:val="center"/>
            <w:hideMark/>
          </w:tcPr>
          <w:p w:rsidR="00E86FA0" w:rsidRPr="00E86FA0" w:rsidRDefault="00E86FA0" w:rsidP="00BB10BF">
            <w:pPr>
              <w:ind w:left="-107" w:right="-109"/>
              <w:jc w:val="center"/>
              <w:rPr>
                <w:rFonts w:asciiTheme="majorHAnsi" w:hAnsiTheme="majorHAnsi"/>
                <w:b/>
                <w:bCs/>
                <w:color w:val="000000"/>
                <w:sz w:val="18"/>
                <w:szCs w:val="18"/>
              </w:rPr>
            </w:pPr>
            <w:r w:rsidRPr="00E86FA0">
              <w:rPr>
                <w:rFonts w:asciiTheme="majorHAnsi" w:hAnsiTheme="majorHAnsi"/>
                <w:b/>
                <w:bCs/>
                <w:color w:val="000000"/>
                <w:sz w:val="18"/>
                <w:szCs w:val="18"/>
              </w:rPr>
              <w:t xml:space="preserve">78 792 168  </w:t>
            </w:r>
          </w:p>
        </w:tc>
      </w:tr>
    </w:tbl>
    <w:p w:rsidR="00D80751" w:rsidRDefault="00D80751" w:rsidP="00D80751">
      <w:pPr>
        <w:spacing w:before="120" w:after="100" w:afterAutospacing="1"/>
        <w:ind w:firstLine="709"/>
        <w:jc w:val="both"/>
        <w:rPr>
          <w:rFonts w:asciiTheme="majorHAnsi" w:hAnsiTheme="majorHAnsi"/>
          <w:bCs/>
          <w:lang w:eastAsia="en-US" w:bidi="en-US"/>
        </w:rPr>
      </w:pPr>
    </w:p>
    <w:tbl>
      <w:tblPr>
        <w:tblW w:w="9649"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1486"/>
        <w:gridCol w:w="1485"/>
        <w:gridCol w:w="890"/>
        <w:gridCol w:w="1535"/>
        <w:gridCol w:w="840"/>
        <w:gridCol w:w="1336"/>
        <w:gridCol w:w="890"/>
        <w:gridCol w:w="1187"/>
      </w:tblGrid>
      <w:tr w:rsidR="00E86FA0" w:rsidRPr="00E86FA0" w:rsidTr="00946077">
        <w:trPr>
          <w:trHeight w:val="20"/>
          <w:jc w:val="center"/>
        </w:trPr>
        <w:tc>
          <w:tcPr>
            <w:tcW w:w="1486" w:type="dxa"/>
            <w:shd w:val="clear" w:color="000000" w:fill="F2F2F2"/>
            <w:vAlign w:val="center"/>
            <w:hideMark/>
          </w:tcPr>
          <w:p w:rsidR="00E86FA0" w:rsidRPr="00E86FA0" w:rsidRDefault="00E86FA0" w:rsidP="00E86FA0">
            <w:pPr>
              <w:ind w:left="-107" w:right="-109"/>
              <w:jc w:val="center"/>
              <w:rPr>
                <w:rFonts w:asciiTheme="majorHAnsi" w:hAnsiTheme="majorHAnsi"/>
                <w:b/>
                <w:bCs/>
                <w:sz w:val="18"/>
                <w:szCs w:val="18"/>
              </w:rPr>
            </w:pPr>
            <w:r w:rsidRPr="00E86FA0">
              <w:rPr>
                <w:rFonts w:asciiTheme="majorHAnsi" w:hAnsiTheme="majorHAnsi"/>
                <w:b/>
                <w:bCs/>
                <w:sz w:val="18"/>
                <w:szCs w:val="18"/>
              </w:rPr>
              <w:t>Наименование объектов  оценки</w:t>
            </w:r>
          </w:p>
        </w:tc>
        <w:tc>
          <w:tcPr>
            <w:tcW w:w="1485" w:type="dxa"/>
            <w:shd w:val="clear" w:color="000000" w:fill="F2F2F2"/>
            <w:vAlign w:val="center"/>
            <w:hideMark/>
          </w:tcPr>
          <w:p w:rsidR="00E86FA0" w:rsidRPr="00E86FA0" w:rsidRDefault="00E86FA0" w:rsidP="00E86FA0">
            <w:pPr>
              <w:ind w:left="-107" w:right="-109"/>
              <w:jc w:val="center"/>
              <w:rPr>
                <w:rFonts w:asciiTheme="majorHAnsi" w:hAnsiTheme="majorHAnsi"/>
                <w:b/>
                <w:bCs/>
                <w:sz w:val="18"/>
                <w:szCs w:val="18"/>
              </w:rPr>
            </w:pPr>
            <w:r w:rsidRPr="00E86FA0">
              <w:rPr>
                <w:rFonts w:asciiTheme="majorHAnsi" w:hAnsiTheme="majorHAnsi"/>
                <w:b/>
                <w:bCs/>
                <w:sz w:val="18"/>
                <w:szCs w:val="18"/>
              </w:rPr>
              <w:t>Рыночная стоимость, рассчитанная затратным подходом, руб.</w:t>
            </w:r>
          </w:p>
        </w:tc>
        <w:tc>
          <w:tcPr>
            <w:tcW w:w="890" w:type="dxa"/>
            <w:shd w:val="clear" w:color="000000" w:fill="F2F2F2"/>
            <w:vAlign w:val="center"/>
            <w:hideMark/>
          </w:tcPr>
          <w:p w:rsidR="00E86FA0" w:rsidRPr="00E86FA0" w:rsidRDefault="00E86FA0" w:rsidP="00E86FA0">
            <w:pPr>
              <w:ind w:left="-107" w:right="-109"/>
              <w:jc w:val="center"/>
              <w:rPr>
                <w:rFonts w:asciiTheme="majorHAnsi" w:hAnsiTheme="majorHAnsi"/>
                <w:b/>
                <w:bCs/>
                <w:sz w:val="18"/>
                <w:szCs w:val="18"/>
              </w:rPr>
            </w:pPr>
            <w:r w:rsidRPr="00E86FA0">
              <w:rPr>
                <w:rFonts w:asciiTheme="majorHAnsi" w:hAnsiTheme="majorHAnsi"/>
                <w:b/>
                <w:bCs/>
                <w:sz w:val="18"/>
                <w:szCs w:val="18"/>
              </w:rPr>
              <w:t>Вес подхода</w:t>
            </w:r>
          </w:p>
        </w:tc>
        <w:tc>
          <w:tcPr>
            <w:tcW w:w="1535" w:type="dxa"/>
            <w:shd w:val="clear" w:color="000000" w:fill="F2F2F2"/>
            <w:vAlign w:val="center"/>
            <w:hideMark/>
          </w:tcPr>
          <w:p w:rsidR="00E86FA0" w:rsidRPr="00E86FA0" w:rsidRDefault="00E86FA0" w:rsidP="00E86FA0">
            <w:pPr>
              <w:ind w:left="-107" w:right="-109"/>
              <w:jc w:val="center"/>
              <w:rPr>
                <w:rFonts w:asciiTheme="majorHAnsi" w:hAnsiTheme="majorHAnsi"/>
                <w:b/>
                <w:bCs/>
                <w:sz w:val="18"/>
                <w:szCs w:val="18"/>
              </w:rPr>
            </w:pPr>
            <w:r w:rsidRPr="00E86FA0">
              <w:rPr>
                <w:rFonts w:asciiTheme="majorHAnsi" w:hAnsiTheme="majorHAnsi"/>
                <w:b/>
                <w:bCs/>
                <w:sz w:val="18"/>
                <w:szCs w:val="18"/>
              </w:rPr>
              <w:t>Рыночная стоимость, рассчитанная сравнительным подходом, руб.</w:t>
            </w:r>
          </w:p>
        </w:tc>
        <w:tc>
          <w:tcPr>
            <w:tcW w:w="840" w:type="dxa"/>
            <w:shd w:val="clear" w:color="000000" w:fill="F2F2F2"/>
            <w:vAlign w:val="center"/>
            <w:hideMark/>
          </w:tcPr>
          <w:p w:rsidR="00E86FA0" w:rsidRPr="00E86FA0" w:rsidRDefault="00E86FA0" w:rsidP="00E86FA0">
            <w:pPr>
              <w:ind w:left="-107" w:right="-109"/>
              <w:jc w:val="center"/>
              <w:rPr>
                <w:rFonts w:asciiTheme="majorHAnsi" w:hAnsiTheme="majorHAnsi"/>
                <w:b/>
                <w:bCs/>
                <w:sz w:val="18"/>
                <w:szCs w:val="18"/>
              </w:rPr>
            </w:pPr>
            <w:r w:rsidRPr="00E86FA0">
              <w:rPr>
                <w:rFonts w:asciiTheme="majorHAnsi" w:hAnsiTheme="majorHAnsi"/>
                <w:b/>
                <w:bCs/>
                <w:sz w:val="18"/>
                <w:szCs w:val="18"/>
              </w:rPr>
              <w:t>Вес подхода</w:t>
            </w:r>
          </w:p>
        </w:tc>
        <w:tc>
          <w:tcPr>
            <w:tcW w:w="1336" w:type="dxa"/>
            <w:shd w:val="clear" w:color="000000" w:fill="F2F2F2"/>
            <w:vAlign w:val="center"/>
            <w:hideMark/>
          </w:tcPr>
          <w:p w:rsidR="00E86FA0" w:rsidRPr="00E86FA0" w:rsidRDefault="00E86FA0" w:rsidP="00E86FA0">
            <w:pPr>
              <w:ind w:left="-107" w:right="-109"/>
              <w:jc w:val="center"/>
              <w:rPr>
                <w:rFonts w:asciiTheme="majorHAnsi" w:hAnsiTheme="majorHAnsi"/>
                <w:b/>
                <w:bCs/>
                <w:sz w:val="18"/>
                <w:szCs w:val="18"/>
              </w:rPr>
            </w:pPr>
            <w:r w:rsidRPr="00E86FA0">
              <w:rPr>
                <w:rFonts w:asciiTheme="majorHAnsi" w:hAnsiTheme="majorHAnsi"/>
                <w:b/>
                <w:bCs/>
                <w:sz w:val="18"/>
                <w:szCs w:val="18"/>
              </w:rPr>
              <w:t>Рыночная стоимость, рассчитанная доходным подходом, руб.</w:t>
            </w:r>
          </w:p>
        </w:tc>
        <w:tc>
          <w:tcPr>
            <w:tcW w:w="890" w:type="dxa"/>
            <w:shd w:val="clear" w:color="000000" w:fill="F2F2F2"/>
            <w:vAlign w:val="center"/>
            <w:hideMark/>
          </w:tcPr>
          <w:p w:rsidR="00E86FA0" w:rsidRPr="00E86FA0" w:rsidRDefault="00E86FA0" w:rsidP="00E86FA0">
            <w:pPr>
              <w:ind w:left="-107" w:right="-109"/>
              <w:jc w:val="center"/>
              <w:rPr>
                <w:rFonts w:asciiTheme="majorHAnsi" w:hAnsiTheme="majorHAnsi"/>
                <w:b/>
                <w:bCs/>
                <w:sz w:val="18"/>
                <w:szCs w:val="18"/>
              </w:rPr>
            </w:pPr>
            <w:r w:rsidRPr="00E86FA0">
              <w:rPr>
                <w:rFonts w:asciiTheme="majorHAnsi" w:hAnsiTheme="majorHAnsi"/>
                <w:b/>
                <w:bCs/>
                <w:sz w:val="18"/>
                <w:szCs w:val="18"/>
              </w:rPr>
              <w:t xml:space="preserve">Вес подхода </w:t>
            </w:r>
          </w:p>
        </w:tc>
        <w:tc>
          <w:tcPr>
            <w:tcW w:w="1187" w:type="dxa"/>
            <w:shd w:val="clear" w:color="000000" w:fill="F2F2F2"/>
            <w:vAlign w:val="center"/>
            <w:hideMark/>
          </w:tcPr>
          <w:p w:rsidR="00E86FA0" w:rsidRPr="00E86FA0" w:rsidRDefault="00E86FA0" w:rsidP="00E86FA0">
            <w:pPr>
              <w:ind w:left="-107" w:right="-109"/>
              <w:jc w:val="center"/>
              <w:rPr>
                <w:rFonts w:asciiTheme="majorHAnsi" w:hAnsiTheme="majorHAnsi"/>
                <w:b/>
                <w:bCs/>
                <w:sz w:val="18"/>
                <w:szCs w:val="18"/>
              </w:rPr>
            </w:pPr>
            <w:r w:rsidRPr="00E86FA0">
              <w:rPr>
                <w:rFonts w:asciiTheme="majorHAnsi" w:hAnsiTheme="majorHAnsi"/>
                <w:b/>
                <w:bCs/>
                <w:sz w:val="18"/>
                <w:szCs w:val="18"/>
              </w:rPr>
              <w:t>Итоговая стоимость, с учетом НДС руб. (з.уч. НДС не облагается)</w:t>
            </w:r>
          </w:p>
        </w:tc>
      </w:tr>
      <w:tr w:rsidR="00E86FA0" w:rsidRPr="00E86FA0" w:rsidTr="00946077">
        <w:trPr>
          <w:trHeight w:val="20"/>
          <w:jc w:val="center"/>
        </w:trPr>
        <w:tc>
          <w:tcPr>
            <w:tcW w:w="1486" w:type="dxa"/>
            <w:shd w:val="clear" w:color="auto" w:fill="auto"/>
            <w:vAlign w:val="center"/>
            <w:hideMark/>
          </w:tcPr>
          <w:p w:rsidR="00E86FA0" w:rsidRPr="00E86FA0" w:rsidRDefault="00E86FA0" w:rsidP="00E86FA0">
            <w:pPr>
              <w:jc w:val="center"/>
              <w:rPr>
                <w:rFonts w:asciiTheme="majorHAnsi" w:hAnsiTheme="majorHAnsi"/>
                <w:sz w:val="18"/>
                <w:szCs w:val="18"/>
              </w:rPr>
            </w:pPr>
            <w:r w:rsidRPr="00E86FA0">
              <w:rPr>
                <w:rFonts w:asciiTheme="majorHAnsi" w:hAnsiTheme="majorHAnsi"/>
                <w:sz w:val="18"/>
                <w:szCs w:val="18"/>
              </w:rPr>
              <w:t>Административно-бытовой корпус</w:t>
            </w:r>
          </w:p>
        </w:tc>
        <w:tc>
          <w:tcPr>
            <w:tcW w:w="1485" w:type="dxa"/>
            <w:shd w:val="clear" w:color="auto" w:fill="auto"/>
            <w:vAlign w:val="center"/>
            <w:hideMark/>
          </w:tcPr>
          <w:p w:rsidR="00E86FA0" w:rsidRPr="00E86FA0" w:rsidRDefault="00E86FA0" w:rsidP="00E86FA0">
            <w:pPr>
              <w:jc w:val="center"/>
              <w:rPr>
                <w:rFonts w:asciiTheme="majorHAnsi" w:hAnsiTheme="majorHAnsi"/>
                <w:sz w:val="18"/>
                <w:szCs w:val="18"/>
              </w:rPr>
            </w:pPr>
            <w:r w:rsidRPr="00E86FA0">
              <w:rPr>
                <w:rFonts w:asciiTheme="majorHAnsi" w:hAnsiTheme="majorHAnsi"/>
                <w:sz w:val="18"/>
                <w:szCs w:val="18"/>
              </w:rPr>
              <w:t>67 556 297</w:t>
            </w:r>
          </w:p>
        </w:tc>
        <w:tc>
          <w:tcPr>
            <w:tcW w:w="890" w:type="dxa"/>
            <w:shd w:val="clear" w:color="auto" w:fill="auto"/>
            <w:vAlign w:val="center"/>
            <w:hideMark/>
          </w:tcPr>
          <w:p w:rsidR="00E86FA0" w:rsidRPr="00E86FA0" w:rsidRDefault="00E86FA0" w:rsidP="00E86FA0">
            <w:pPr>
              <w:jc w:val="center"/>
              <w:rPr>
                <w:rFonts w:asciiTheme="majorHAnsi" w:hAnsiTheme="majorHAnsi"/>
                <w:sz w:val="18"/>
                <w:szCs w:val="18"/>
              </w:rPr>
            </w:pPr>
            <w:r w:rsidRPr="00E86FA0">
              <w:rPr>
                <w:rFonts w:asciiTheme="majorHAnsi" w:hAnsiTheme="majorHAnsi"/>
                <w:sz w:val="18"/>
                <w:szCs w:val="18"/>
              </w:rPr>
              <w:t>0,20</w:t>
            </w:r>
          </w:p>
        </w:tc>
        <w:tc>
          <w:tcPr>
            <w:tcW w:w="1535" w:type="dxa"/>
            <w:shd w:val="clear" w:color="auto" w:fill="auto"/>
            <w:vAlign w:val="center"/>
            <w:hideMark/>
          </w:tcPr>
          <w:p w:rsidR="00E86FA0" w:rsidRPr="00E86FA0" w:rsidRDefault="00E86FA0" w:rsidP="00E86FA0">
            <w:pPr>
              <w:jc w:val="center"/>
              <w:rPr>
                <w:rFonts w:asciiTheme="majorHAnsi" w:hAnsiTheme="majorHAnsi"/>
                <w:sz w:val="18"/>
                <w:szCs w:val="18"/>
              </w:rPr>
            </w:pPr>
            <w:r w:rsidRPr="00E86FA0">
              <w:rPr>
                <w:rFonts w:asciiTheme="majorHAnsi" w:hAnsiTheme="majorHAnsi"/>
                <w:sz w:val="18"/>
                <w:szCs w:val="18"/>
              </w:rPr>
              <w:t>64 603 545</w:t>
            </w:r>
          </w:p>
        </w:tc>
        <w:tc>
          <w:tcPr>
            <w:tcW w:w="840" w:type="dxa"/>
            <w:shd w:val="clear" w:color="auto" w:fill="auto"/>
            <w:vAlign w:val="center"/>
            <w:hideMark/>
          </w:tcPr>
          <w:p w:rsidR="00E86FA0" w:rsidRPr="00E86FA0" w:rsidRDefault="00E86FA0" w:rsidP="00E86FA0">
            <w:pPr>
              <w:jc w:val="center"/>
              <w:rPr>
                <w:rFonts w:asciiTheme="majorHAnsi" w:hAnsiTheme="majorHAnsi"/>
                <w:sz w:val="18"/>
                <w:szCs w:val="18"/>
              </w:rPr>
            </w:pPr>
            <w:r w:rsidRPr="00E86FA0">
              <w:rPr>
                <w:rFonts w:asciiTheme="majorHAnsi" w:hAnsiTheme="majorHAnsi"/>
                <w:sz w:val="18"/>
                <w:szCs w:val="18"/>
              </w:rPr>
              <w:t>0,50</w:t>
            </w:r>
          </w:p>
        </w:tc>
        <w:tc>
          <w:tcPr>
            <w:tcW w:w="1336" w:type="dxa"/>
            <w:shd w:val="clear" w:color="auto" w:fill="auto"/>
            <w:vAlign w:val="center"/>
            <w:hideMark/>
          </w:tcPr>
          <w:p w:rsidR="00E86FA0" w:rsidRPr="00E86FA0" w:rsidRDefault="00E86FA0" w:rsidP="00E86FA0">
            <w:pPr>
              <w:jc w:val="center"/>
              <w:rPr>
                <w:rFonts w:asciiTheme="majorHAnsi" w:hAnsiTheme="majorHAnsi"/>
                <w:sz w:val="18"/>
                <w:szCs w:val="18"/>
              </w:rPr>
            </w:pPr>
            <w:r w:rsidRPr="00E86FA0">
              <w:rPr>
                <w:rFonts w:asciiTheme="majorHAnsi" w:hAnsiTheme="majorHAnsi"/>
                <w:sz w:val="18"/>
                <w:szCs w:val="18"/>
              </w:rPr>
              <w:t>55 734 922</w:t>
            </w:r>
          </w:p>
        </w:tc>
        <w:tc>
          <w:tcPr>
            <w:tcW w:w="890" w:type="dxa"/>
            <w:shd w:val="clear" w:color="auto" w:fill="auto"/>
            <w:vAlign w:val="center"/>
            <w:hideMark/>
          </w:tcPr>
          <w:p w:rsidR="00E86FA0" w:rsidRPr="00E86FA0" w:rsidRDefault="00E86FA0" w:rsidP="00E86FA0">
            <w:pPr>
              <w:jc w:val="center"/>
              <w:rPr>
                <w:rFonts w:asciiTheme="majorHAnsi" w:hAnsiTheme="majorHAnsi"/>
                <w:sz w:val="18"/>
                <w:szCs w:val="18"/>
              </w:rPr>
            </w:pPr>
            <w:r w:rsidRPr="00E86FA0">
              <w:rPr>
                <w:rFonts w:asciiTheme="majorHAnsi" w:hAnsiTheme="majorHAnsi"/>
                <w:sz w:val="18"/>
                <w:szCs w:val="18"/>
              </w:rPr>
              <w:t>0,30</w:t>
            </w:r>
          </w:p>
        </w:tc>
        <w:tc>
          <w:tcPr>
            <w:tcW w:w="1187" w:type="dxa"/>
            <w:shd w:val="clear" w:color="auto" w:fill="auto"/>
            <w:noWrap/>
            <w:vAlign w:val="center"/>
            <w:hideMark/>
          </w:tcPr>
          <w:p w:rsidR="00E86FA0" w:rsidRPr="00E86FA0" w:rsidRDefault="00E86FA0">
            <w:pPr>
              <w:jc w:val="center"/>
              <w:rPr>
                <w:rFonts w:asciiTheme="majorHAnsi" w:hAnsiTheme="majorHAnsi"/>
                <w:bCs/>
                <w:color w:val="000000"/>
                <w:sz w:val="18"/>
                <w:szCs w:val="18"/>
              </w:rPr>
            </w:pPr>
            <w:r w:rsidRPr="00E86FA0">
              <w:rPr>
                <w:rFonts w:asciiTheme="majorHAnsi" w:hAnsiTheme="majorHAnsi"/>
                <w:bCs/>
                <w:color w:val="000000"/>
                <w:sz w:val="18"/>
                <w:szCs w:val="18"/>
              </w:rPr>
              <w:t xml:space="preserve">62 533 509  </w:t>
            </w:r>
          </w:p>
        </w:tc>
      </w:tr>
      <w:tr w:rsidR="00E86FA0" w:rsidRPr="00E86FA0" w:rsidTr="00946077">
        <w:trPr>
          <w:trHeight w:val="20"/>
          <w:jc w:val="center"/>
        </w:trPr>
        <w:tc>
          <w:tcPr>
            <w:tcW w:w="1486" w:type="dxa"/>
            <w:shd w:val="clear" w:color="auto" w:fill="auto"/>
            <w:vAlign w:val="center"/>
            <w:hideMark/>
          </w:tcPr>
          <w:p w:rsidR="00E86FA0" w:rsidRPr="00E86FA0" w:rsidRDefault="00E86FA0" w:rsidP="00E86FA0">
            <w:pPr>
              <w:ind w:left="-107" w:right="-109"/>
              <w:jc w:val="center"/>
              <w:rPr>
                <w:rFonts w:asciiTheme="majorHAnsi" w:hAnsiTheme="majorHAnsi"/>
                <w:sz w:val="18"/>
                <w:szCs w:val="18"/>
              </w:rPr>
            </w:pPr>
            <w:r w:rsidRPr="00E86FA0">
              <w:rPr>
                <w:rFonts w:asciiTheme="majorHAnsi" w:hAnsiTheme="majorHAnsi"/>
                <w:sz w:val="18"/>
                <w:szCs w:val="18"/>
              </w:rPr>
              <w:t>В том числе Земельный участок</w:t>
            </w:r>
          </w:p>
        </w:tc>
        <w:tc>
          <w:tcPr>
            <w:tcW w:w="1485" w:type="dxa"/>
            <w:shd w:val="clear" w:color="auto" w:fill="auto"/>
            <w:vAlign w:val="center"/>
            <w:hideMark/>
          </w:tcPr>
          <w:p w:rsidR="00E86FA0" w:rsidRPr="00E86FA0" w:rsidRDefault="00E86FA0" w:rsidP="00E86FA0">
            <w:pPr>
              <w:ind w:left="-107" w:right="-109"/>
              <w:jc w:val="center"/>
              <w:rPr>
                <w:rFonts w:asciiTheme="majorHAnsi" w:hAnsiTheme="majorHAnsi"/>
                <w:sz w:val="18"/>
                <w:szCs w:val="18"/>
              </w:rPr>
            </w:pPr>
            <w:r w:rsidRPr="00E86FA0">
              <w:rPr>
                <w:rFonts w:asciiTheme="majorHAnsi" w:hAnsiTheme="majorHAnsi"/>
                <w:sz w:val="18"/>
                <w:szCs w:val="18"/>
              </w:rPr>
              <w:t>Не применялся</w:t>
            </w:r>
          </w:p>
        </w:tc>
        <w:tc>
          <w:tcPr>
            <w:tcW w:w="890" w:type="dxa"/>
            <w:shd w:val="clear" w:color="auto" w:fill="auto"/>
            <w:noWrap/>
            <w:vAlign w:val="center"/>
            <w:hideMark/>
          </w:tcPr>
          <w:p w:rsidR="00E86FA0" w:rsidRPr="00E86FA0" w:rsidRDefault="00E86FA0" w:rsidP="00E86FA0">
            <w:pPr>
              <w:ind w:left="-107" w:right="-109"/>
              <w:jc w:val="center"/>
              <w:rPr>
                <w:rFonts w:asciiTheme="majorHAnsi" w:hAnsiTheme="majorHAnsi"/>
                <w:color w:val="000000"/>
                <w:sz w:val="18"/>
                <w:szCs w:val="18"/>
              </w:rPr>
            </w:pPr>
            <w:r w:rsidRPr="00E86FA0">
              <w:rPr>
                <w:rFonts w:asciiTheme="majorHAnsi" w:hAnsiTheme="majorHAnsi"/>
                <w:color w:val="000000"/>
                <w:sz w:val="18"/>
                <w:szCs w:val="18"/>
              </w:rPr>
              <w:t>0</w:t>
            </w:r>
          </w:p>
        </w:tc>
        <w:tc>
          <w:tcPr>
            <w:tcW w:w="1535" w:type="dxa"/>
            <w:shd w:val="clear" w:color="auto" w:fill="auto"/>
            <w:noWrap/>
            <w:vAlign w:val="center"/>
            <w:hideMark/>
          </w:tcPr>
          <w:p w:rsidR="00E86FA0" w:rsidRPr="00E86FA0" w:rsidRDefault="00E86FA0" w:rsidP="00E86FA0">
            <w:pPr>
              <w:ind w:left="-107" w:right="-109"/>
              <w:jc w:val="center"/>
              <w:rPr>
                <w:rFonts w:asciiTheme="majorHAnsi" w:hAnsiTheme="majorHAnsi"/>
                <w:color w:val="000000"/>
                <w:sz w:val="18"/>
                <w:szCs w:val="18"/>
              </w:rPr>
            </w:pPr>
            <w:r w:rsidRPr="00E86FA0">
              <w:rPr>
                <w:rFonts w:asciiTheme="majorHAnsi" w:hAnsiTheme="majorHAnsi"/>
                <w:color w:val="000000"/>
                <w:sz w:val="18"/>
                <w:szCs w:val="18"/>
              </w:rPr>
              <w:t xml:space="preserve">19 869 534 </w:t>
            </w:r>
          </w:p>
        </w:tc>
        <w:tc>
          <w:tcPr>
            <w:tcW w:w="840" w:type="dxa"/>
            <w:shd w:val="clear" w:color="auto" w:fill="auto"/>
            <w:noWrap/>
            <w:vAlign w:val="center"/>
            <w:hideMark/>
          </w:tcPr>
          <w:p w:rsidR="00E86FA0" w:rsidRPr="00E86FA0" w:rsidRDefault="00E86FA0" w:rsidP="00E86FA0">
            <w:pPr>
              <w:ind w:left="-107" w:right="-109"/>
              <w:jc w:val="center"/>
              <w:rPr>
                <w:rFonts w:asciiTheme="majorHAnsi" w:hAnsiTheme="majorHAnsi"/>
                <w:color w:val="000000"/>
                <w:sz w:val="18"/>
                <w:szCs w:val="18"/>
              </w:rPr>
            </w:pPr>
            <w:r>
              <w:rPr>
                <w:rFonts w:asciiTheme="majorHAnsi" w:hAnsiTheme="majorHAnsi"/>
                <w:color w:val="000000"/>
                <w:sz w:val="18"/>
                <w:szCs w:val="18"/>
              </w:rPr>
              <w:t>1</w:t>
            </w:r>
          </w:p>
        </w:tc>
        <w:tc>
          <w:tcPr>
            <w:tcW w:w="1336" w:type="dxa"/>
            <w:shd w:val="clear" w:color="auto" w:fill="auto"/>
            <w:noWrap/>
            <w:vAlign w:val="center"/>
            <w:hideMark/>
          </w:tcPr>
          <w:p w:rsidR="00E86FA0" w:rsidRPr="00E86FA0" w:rsidRDefault="00E86FA0" w:rsidP="00E86FA0">
            <w:pPr>
              <w:ind w:left="-107" w:right="-109"/>
              <w:jc w:val="center"/>
              <w:rPr>
                <w:rFonts w:asciiTheme="majorHAnsi" w:hAnsiTheme="majorHAnsi"/>
                <w:color w:val="000000"/>
                <w:sz w:val="18"/>
                <w:szCs w:val="18"/>
              </w:rPr>
            </w:pPr>
            <w:r w:rsidRPr="00E86FA0">
              <w:rPr>
                <w:rFonts w:asciiTheme="majorHAnsi" w:hAnsiTheme="majorHAnsi"/>
                <w:color w:val="000000"/>
                <w:sz w:val="18"/>
                <w:szCs w:val="18"/>
              </w:rPr>
              <w:t>Не применялся</w:t>
            </w:r>
          </w:p>
        </w:tc>
        <w:tc>
          <w:tcPr>
            <w:tcW w:w="890" w:type="dxa"/>
            <w:shd w:val="clear" w:color="auto" w:fill="auto"/>
            <w:noWrap/>
            <w:vAlign w:val="center"/>
            <w:hideMark/>
          </w:tcPr>
          <w:p w:rsidR="00E86FA0" w:rsidRPr="00E86FA0" w:rsidRDefault="00E86FA0" w:rsidP="00E86FA0">
            <w:pPr>
              <w:ind w:left="-107" w:right="-109"/>
              <w:jc w:val="center"/>
              <w:rPr>
                <w:rFonts w:asciiTheme="majorHAnsi" w:hAnsiTheme="majorHAnsi"/>
                <w:color w:val="000000"/>
                <w:sz w:val="18"/>
                <w:szCs w:val="18"/>
              </w:rPr>
            </w:pPr>
            <w:r w:rsidRPr="00E86FA0">
              <w:rPr>
                <w:rFonts w:asciiTheme="majorHAnsi" w:hAnsiTheme="majorHAnsi"/>
                <w:color w:val="000000"/>
                <w:sz w:val="18"/>
                <w:szCs w:val="18"/>
              </w:rPr>
              <w:t>0</w:t>
            </w:r>
          </w:p>
        </w:tc>
        <w:tc>
          <w:tcPr>
            <w:tcW w:w="1187" w:type="dxa"/>
            <w:shd w:val="clear" w:color="auto" w:fill="auto"/>
            <w:noWrap/>
            <w:vAlign w:val="center"/>
            <w:hideMark/>
          </w:tcPr>
          <w:p w:rsidR="00E86FA0" w:rsidRPr="00E86FA0" w:rsidRDefault="00E86FA0">
            <w:pPr>
              <w:jc w:val="center"/>
              <w:rPr>
                <w:rFonts w:asciiTheme="majorHAnsi" w:hAnsiTheme="majorHAnsi"/>
                <w:bCs/>
                <w:color w:val="000000"/>
                <w:sz w:val="18"/>
                <w:szCs w:val="18"/>
              </w:rPr>
            </w:pPr>
            <w:r w:rsidRPr="00E86FA0">
              <w:rPr>
                <w:rFonts w:asciiTheme="majorHAnsi" w:hAnsiTheme="majorHAnsi"/>
                <w:bCs/>
                <w:color w:val="000000"/>
                <w:sz w:val="18"/>
                <w:szCs w:val="18"/>
              </w:rPr>
              <w:t xml:space="preserve">19 869 534  </w:t>
            </w:r>
          </w:p>
        </w:tc>
      </w:tr>
      <w:tr w:rsidR="00E86FA0" w:rsidRPr="00E86FA0" w:rsidTr="00946077">
        <w:trPr>
          <w:trHeight w:val="20"/>
          <w:jc w:val="center"/>
        </w:trPr>
        <w:tc>
          <w:tcPr>
            <w:tcW w:w="1486" w:type="dxa"/>
            <w:shd w:val="clear" w:color="auto" w:fill="auto"/>
            <w:noWrap/>
            <w:vAlign w:val="center"/>
            <w:hideMark/>
          </w:tcPr>
          <w:p w:rsidR="00E86FA0" w:rsidRPr="00E86FA0" w:rsidRDefault="00E86FA0" w:rsidP="00E86FA0">
            <w:pPr>
              <w:ind w:left="-107" w:right="-109"/>
              <w:jc w:val="center"/>
              <w:rPr>
                <w:rFonts w:asciiTheme="majorHAnsi" w:hAnsiTheme="majorHAnsi"/>
                <w:color w:val="000000"/>
                <w:sz w:val="18"/>
                <w:szCs w:val="18"/>
              </w:rPr>
            </w:pPr>
            <w:r w:rsidRPr="00E86FA0">
              <w:rPr>
                <w:rFonts w:asciiTheme="majorHAnsi" w:hAnsiTheme="majorHAnsi"/>
                <w:color w:val="000000"/>
                <w:sz w:val="18"/>
                <w:szCs w:val="18"/>
              </w:rPr>
              <w:t>ОКС</w:t>
            </w:r>
          </w:p>
        </w:tc>
        <w:tc>
          <w:tcPr>
            <w:tcW w:w="1485" w:type="dxa"/>
            <w:shd w:val="clear" w:color="auto" w:fill="auto"/>
            <w:noWrap/>
            <w:vAlign w:val="center"/>
          </w:tcPr>
          <w:p w:rsidR="00E86FA0" w:rsidRPr="00E86FA0" w:rsidRDefault="00E86FA0" w:rsidP="00E86FA0">
            <w:pPr>
              <w:ind w:left="-107" w:right="-109"/>
              <w:jc w:val="center"/>
              <w:rPr>
                <w:rFonts w:asciiTheme="majorHAnsi" w:hAnsiTheme="majorHAnsi"/>
                <w:color w:val="000000"/>
                <w:sz w:val="18"/>
                <w:szCs w:val="18"/>
              </w:rPr>
            </w:pPr>
          </w:p>
        </w:tc>
        <w:tc>
          <w:tcPr>
            <w:tcW w:w="890" w:type="dxa"/>
            <w:shd w:val="clear" w:color="auto" w:fill="auto"/>
            <w:noWrap/>
            <w:vAlign w:val="center"/>
          </w:tcPr>
          <w:p w:rsidR="00E86FA0" w:rsidRPr="00E86FA0" w:rsidRDefault="00E86FA0" w:rsidP="00E86FA0">
            <w:pPr>
              <w:ind w:left="-107" w:right="-109"/>
              <w:jc w:val="center"/>
              <w:rPr>
                <w:rFonts w:asciiTheme="majorHAnsi" w:hAnsiTheme="majorHAnsi"/>
                <w:color w:val="000000"/>
                <w:sz w:val="18"/>
                <w:szCs w:val="18"/>
              </w:rPr>
            </w:pPr>
          </w:p>
        </w:tc>
        <w:tc>
          <w:tcPr>
            <w:tcW w:w="1535" w:type="dxa"/>
            <w:shd w:val="clear" w:color="auto" w:fill="auto"/>
            <w:noWrap/>
            <w:vAlign w:val="center"/>
          </w:tcPr>
          <w:p w:rsidR="00E86FA0" w:rsidRPr="00E86FA0" w:rsidRDefault="00E86FA0" w:rsidP="00E86FA0">
            <w:pPr>
              <w:ind w:left="-107" w:right="-109"/>
              <w:jc w:val="center"/>
              <w:rPr>
                <w:rFonts w:asciiTheme="majorHAnsi" w:hAnsiTheme="majorHAnsi"/>
                <w:color w:val="000000"/>
                <w:sz w:val="18"/>
                <w:szCs w:val="18"/>
              </w:rPr>
            </w:pPr>
          </w:p>
        </w:tc>
        <w:tc>
          <w:tcPr>
            <w:tcW w:w="840" w:type="dxa"/>
            <w:shd w:val="clear" w:color="auto" w:fill="auto"/>
            <w:noWrap/>
            <w:vAlign w:val="center"/>
          </w:tcPr>
          <w:p w:rsidR="00E86FA0" w:rsidRPr="00E86FA0" w:rsidRDefault="00E86FA0" w:rsidP="00E86FA0">
            <w:pPr>
              <w:ind w:left="-107" w:right="-109"/>
              <w:jc w:val="center"/>
              <w:rPr>
                <w:rFonts w:asciiTheme="majorHAnsi" w:hAnsiTheme="majorHAnsi"/>
                <w:color w:val="000000"/>
                <w:sz w:val="18"/>
                <w:szCs w:val="18"/>
              </w:rPr>
            </w:pPr>
          </w:p>
        </w:tc>
        <w:tc>
          <w:tcPr>
            <w:tcW w:w="1336" w:type="dxa"/>
            <w:shd w:val="clear" w:color="auto" w:fill="auto"/>
            <w:noWrap/>
            <w:vAlign w:val="center"/>
          </w:tcPr>
          <w:p w:rsidR="00E86FA0" w:rsidRPr="00E86FA0" w:rsidRDefault="00E86FA0" w:rsidP="00E86FA0">
            <w:pPr>
              <w:ind w:left="-107" w:right="-109"/>
              <w:jc w:val="center"/>
              <w:rPr>
                <w:rFonts w:asciiTheme="majorHAnsi" w:hAnsiTheme="majorHAnsi"/>
                <w:color w:val="000000"/>
                <w:sz w:val="18"/>
                <w:szCs w:val="18"/>
              </w:rPr>
            </w:pPr>
          </w:p>
        </w:tc>
        <w:tc>
          <w:tcPr>
            <w:tcW w:w="890" w:type="dxa"/>
            <w:shd w:val="clear" w:color="auto" w:fill="auto"/>
            <w:noWrap/>
            <w:vAlign w:val="center"/>
            <w:hideMark/>
          </w:tcPr>
          <w:p w:rsidR="00E86FA0" w:rsidRPr="00E86FA0" w:rsidRDefault="00E86FA0" w:rsidP="00E86FA0">
            <w:pPr>
              <w:ind w:left="-107" w:right="-109"/>
              <w:jc w:val="center"/>
              <w:rPr>
                <w:rFonts w:asciiTheme="majorHAnsi" w:hAnsiTheme="majorHAnsi"/>
                <w:color w:val="000000"/>
                <w:sz w:val="18"/>
                <w:szCs w:val="18"/>
              </w:rPr>
            </w:pPr>
          </w:p>
        </w:tc>
        <w:tc>
          <w:tcPr>
            <w:tcW w:w="1187" w:type="dxa"/>
            <w:shd w:val="clear" w:color="auto" w:fill="auto"/>
            <w:noWrap/>
            <w:vAlign w:val="center"/>
            <w:hideMark/>
          </w:tcPr>
          <w:p w:rsidR="00E86FA0" w:rsidRPr="00E86FA0" w:rsidRDefault="00E86FA0">
            <w:pPr>
              <w:jc w:val="center"/>
              <w:rPr>
                <w:rFonts w:asciiTheme="majorHAnsi" w:hAnsiTheme="majorHAnsi"/>
                <w:b/>
                <w:bCs/>
                <w:color w:val="000000"/>
                <w:sz w:val="18"/>
                <w:szCs w:val="18"/>
              </w:rPr>
            </w:pPr>
            <w:r w:rsidRPr="00E86FA0">
              <w:rPr>
                <w:rFonts w:asciiTheme="majorHAnsi" w:hAnsiTheme="majorHAnsi"/>
                <w:b/>
                <w:bCs/>
                <w:color w:val="000000"/>
                <w:sz w:val="18"/>
                <w:szCs w:val="18"/>
              </w:rPr>
              <w:t xml:space="preserve">42 663 975  </w:t>
            </w:r>
          </w:p>
        </w:tc>
      </w:tr>
    </w:tbl>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Default="00E86FA0" w:rsidP="00D80751">
      <w:pPr>
        <w:spacing w:before="120" w:after="100" w:afterAutospacing="1"/>
        <w:ind w:firstLine="709"/>
        <w:jc w:val="both"/>
        <w:rPr>
          <w:rFonts w:asciiTheme="majorHAnsi" w:hAnsiTheme="majorHAnsi"/>
          <w:bCs/>
          <w:lang w:eastAsia="en-US" w:bidi="en-US"/>
        </w:rPr>
      </w:pPr>
    </w:p>
    <w:p w:rsidR="00E86FA0" w:rsidRPr="00D80751" w:rsidRDefault="00E86FA0" w:rsidP="00D80751">
      <w:pPr>
        <w:spacing w:before="120" w:after="100" w:afterAutospacing="1"/>
        <w:ind w:firstLine="709"/>
        <w:jc w:val="both"/>
        <w:rPr>
          <w:rFonts w:asciiTheme="majorHAnsi" w:hAnsiTheme="majorHAnsi"/>
          <w:bCs/>
          <w:lang w:eastAsia="en-US" w:bidi="en-US"/>
        </w:rPr>
      </w:pPr>
    </w:p>
    <w:p w:rsidR="00F40B61" w:rsidRDefault="00F40B61" w:rsidP="00C35B38">
      <w:pPr>
        <w:keepNext/>
        <w:keepLines/>
        <w:outlineLvl w:val="0"/>
        <w:rPr>
          <w:rFonts w:eastAsiaTheme="majorEastAsia" w:cstheme="majorBidi"/>
          <w:b/>
          <w:bCs/>
          <w:sz w:val="28"/>
          <w:szCs w:val="28"/>
        </w:rPr>
      </w:pPr>
    </w:p>
    <w:p w:rsidR="001C0149" w:rsidRPr="001C0149" w:rsidRDefault="001C0149" w:rsidP="0090764B">
      <w:pPr>
        <w:pStyle w:val="af3"/>
        <w:numPr>
          <w:ilvl w:val="0"/>
          <w:numId w:val="9"/>
        </w:numPr>
        <w:spacing w:after="0"/>
        <w:ind w:left="0" w:firstLine="0"/>
        <w:jc w:val="center"/>
        <w:rPr>
          <w:rFonts w:eastAsiaTheme="majorEastAsia" w:cstheme="majorBidi"/>
          <w:b/>
          <w:bCs/>
          <w:sz w:val="28"/>
          <w:szCs w:val="28"/>
        </w:rPr>
      </w:pPr>
      <w:bookmarkStart w:id="107" w:name="_Toc464427153"/>
      <w:r w:rsidRPr="001C0149">
        <w:rPr>
          <w:rFonts w:eastAsiaTheme="majorEastAsia" w:cstheme="majorBidi"/>
          <w:b/>
          <w:bCs/>
          <w:sz w:val="28"/>
          <w:szCs w:val="28"/>
        </w:rPr>
        <w:t>Вывод по результатам оценки</w:t>
      </w:r>
      <w:bookmarkEnd w:id="107"/>
    </w:p>
    <w:p w:rsidR="00F40B61" w:rsidRPr="00F40B61" w:rsidRDefault="00F40B61" w:rsidP="00F40B61">
      <w:pPr>
        <w:pStyle w:val="af3"/>
        <w:keepNext/>
        <w:keepLines/>
        <w:spacing w:after="0"/>
        <w:ind w:left="420" w:firstLine="0"/>
        <w:outlineLvl w:val="0"/>
        <w:rPr>
          <w:rFonts w:asciiTheme="majorHAnsi" w:eastAsiaTheme="majorEastAsia" w:hAnsiTheme="majorHAnsi" w:cstheme="majorBidi"/>
          <w:b/>
          <w:bCs/>
          <w:sz w:val="28"/>
          <w:szCs w:val="28"/>
          <w:lang w:val="ru-RU"/>
        </w:rPr>
      </w:pPr>
    </w:p>
    <w:p w:rsidR="00C35B38" w:rsidRDefault="00C35B38" w:rsidP="00C35B38">
      <w:pPr>
        <w:widowControl w:val="0"/>
        <w:suppressAutoHyphens/>
        <w:overflowPunct w:val="0"/>
        <w:autoSpaceDE w:val="0"/>
        <w:ind w:firstLine="709"/>
        <w:jc w:val="both"/>
        <w:textAlignment w:val="baseline"/>
        <w:rPr>
          <w:b/>
          <w:lang w:eastAsia="ar-SA"/>
        </w:rPr>
      </w:pPr>
      <w:r w:rsidRPr="00BB10BF">
        <w:rPr>
          <w:rFonts w:ascii="Cambria" w:eastAsiaTheme="minorHAnsi" w:hAnsi="Cambria" w:cs="Cambria"/>
          <w:color w:val="000000"/>
          <w:sz w:val="20"/>
          <w:szCs w:val="20"/>
          <w:lang w:eastAsia="en-US"/>
        </w:rPr>
        <w:t>Рыночная стоимость объекта оценки, по состоянию на дату оценки, может составлять (</w:t>
      </w:r>
      <w:r>
        <w:rPr>
          <w:rFonts w:ascii="Cambria" w:eastAsiaTheme="minorHAnsi" w:hAnsi="Cambria" w:cs="Cambria"/>
          <w:color w:val="000000"/>
          <w:sz w:val="20"/>
          <w:szCs w:val="20"/>
          <w:lang w:eastAsia="en-US"/>
        </w:rPr>
        <w:t>с</w:t>
      </w:r>
      <w:r w:rsidRPr="00BB10BF">
        <w:rPr>
          <w:rFonts w:ascii="Cambria" w:eastAsiaTheme="minorHAnsi" w:hAnsi="Cambria" w:cs="Cambria"/>
          <w:color w:val="000000"/>
          <w:sz w:val="20"/>
          <w:szCs w:val="20"/>
          <w:lang w:eastAsia="en-US"/>
        </w:rPr>
        <w:t xml:space="preserve"> учет</w:t>
      </w:r>
      <w:r>
        <w:rPr>
          <w:rFonts w:ascii="Cambria" w:eastAsiaTheme="minorHAnsi" w:hAnsi="Cambria" w:cs="Cambria"/>
          <w:color w:val="000000"/>
          <w:sz w:val="20"/>
          <w:szCs w:val="20"/>
          <w:lang w:eastAsia="en-US"/>
        </w:rPr>
        <w:t>ом</w:t>
      </w:r>
      <w:r w:rsidRPr="00BB10BF">
        <w:rPr>
          <w:rFonts w:ascii="Cambria" w:eastAsiaTheme="minorHAnsi" w:hAnsi="Cambria" w:cs="Cambria"/>
          <w:color w:val="000000"/>
          <w:sz w:val="20"/>
          <w:szCs w:val="20"/>
          <w:lang w:eastAsia="en-US"/>
        </w:rPr>
        <w:t xml:space="preserve"> НДС) –</w:t>
      </w:r>
    </w:p>
    <w:p w:rsidR="00C35B38" w:rsidRDefault="00C35B38" w:rsidP="00C35B38">
      <w:pPr>
        <w:widowControl w:val="0"/>
        <w:suppressAutoHyphens/>
        <w:overflowPunct w:val="0"/>
        <w:autoSpaceDE w:val="0"/>
        <w:jc w:val="center"/>
        <w:textAlignment w:val="baseline"/>
        <w:rPr>
          <w:b/>
          <w:lang w:eastAsia="ar-SA"/>
        </w:rPr>
      </w:pPr>
    </w:p>
    <w:p w:rsidR="00A9505F" w:rsidRDefault="00A9505F" w:rsidP="00A9505F">
      <w:pPr>
        <w:jc w:val="center"/>
        <w:rPr>
          <w:rFonts w:asciiTheme="majorHAnsi" w:hAnsiTheme="majorHAnsi"/>
          <w:color w:val="000000"/>
          <w:sz w:val="20"/>
          <w:szCs w:val="20"/>
        </w:rPr>
      </w:pPr>
      <w:r>
        <w:rPr>
          <w:rFonts w:asciiTheme="majorHAnsi" w:hAnsiTheme="majorHAnsi"/>
          <w:b/>
          <w:i/>
          <w:color w:val="000000"/>
          <w:sz w:val="20"/>
          <w:szCs w:val="20"/>
        </w:rPr>
        <w:t>121 456 143  руб.</w:t>
      </w:r>
    </w:p>
    <w:p w:rsidR="00A9505F" w:rsidRDefault="00A9505F" w:rsidP="00A9505F">
      <w:pPr>
        <w:jc w:val="center"/>
        <w:rPr>
          <w:rFonts w:asciiTheme="majorHAnsi" w:eastAsia="Calibri" w:hAnsiTheme="majorHAnsi"/>
          <w:b/>
          <w:snapToGrid w:val="0"/>
          <w:sz w:val="20"/>
          <w:szCs w:val="22"/>
        </w:rPr>
      </w:pPr>
      <w:r>
        <w:rPr>
          <w:rFonts w:asciiTheme="majorHAnsi" w:hAnsiTheme="majorHAnsi"/>
          <w:b/>
          <w:i/>
          <w:color w:val="000000"/>
          <w:sz w:val="20"/>
          <w:szCs w:val="20"/>
        </w:rPr>
        <w:t>(Сто двадцать один миллион четыреста пятьдесят шесть тысяч сто сорок три рубля), в т.ч.:</w:t>
      </w:r>
      <w:r>
        <w:rPr>
          <w:rFonts w:asciiTheme="majorHAnsi" w:eastAsia="Calibri" w:hAnsiTheme="majorHAnsi"/>
          <w:b/>
          <w:snapToGrid w:val="0"/>
          <w:sz w:val="20"/>
          <w:szCs w:val="22"/>
        </w:rPr>
        <w:t xml:space="preserve"> </w:t>
      </w:r>
    </w:p>
    <w:p w:rsidR="00A9505F" w:rsidRDefault="00A9505F" w:rsidP="00A9505F">
      <w:pPr>
        <w:jc w:val="both"/>
        <w:rPr>
          <w:rFonts w:asciiTheme="majorHAnsi" w:eastAsia="Calibri" w:hAnsiTheme="majorHAnsi"/>
          <w:b/>
          <w:snapToGrid w:val="0"/>
          <w:sz w:val="20"/>
          <w:szCs w:val="22"/>
        </w:rPr>
      </w:pPr>
    </w:p>
    <w:tbl>
      <w:tblPr>
        <w:tblW w:w="9960"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566"/>
        <w:gridCol w:w="3138"/>
        <w:gridCol w:w="1561"/>
        <w:gridCol w:w="1365"/>
        <w:gridCol w:w="1666"/>
        <w:gridCol w:w="1664"/>
      </w:tblGrid>
      <w:tr w:rsidR="00A9505F" w:rsidTr="00A9505F">
        <w:trPr>
          <w:trHeight w:val="23"/>
          <w:jc w:val="center"/>
        </w:trPr>
        <w:tc>
          <w:tcPr>
            <w:tcW w:w="566" w:type="dxa"/>
            <w:tcBorders>
              <w:top w:val="double" w:sz="4" w:space="0" w:color="auto"/>
              <w:left w:val="double" w:sz="4" w:space="0" w:color="auto"/>
              <w:bottom w:val="single" w:sz="6" w:space="0" w:color="auto"/>
              <w:right w:val="single" w:sz="6" w:space="0" w:color="auto"/>
            </w:tcBorders>
            <w:shd w:val="clear" w:color="auto" w:fill="F2F2F2"/>
            <w:vAlign w:val="center"/>
            <w:hideMark/>
          </w:tcPr>
          <w:p w:rsidR="00A9505F" w:rsidRDefault="00A9505F" w:rsidP="00A9505F">
            <w:pPr>
              <w:ind w:left="-108" w:right="-59"/>
              <w:jc w:val="center"/>
              <w:rPr>
                <w:rFonts w:ascii="Cambria" w:hAnsi="Cambria"/>
                <w:b/>
                <w:bCs/>
                <w:sz w:val="20"/>
                <w:szCs w:val="20"/>
                <w:lang w:eastAsia="en-US"/>
              </w:rPr>
            </w:pPr>
            <w:r>
              <w:rPr>
                <w:rFonts w:ascii="Cambria" w:hAnsi="Cambria"/>
                <w:bCs/>
                <w:sz w:val="20"/>
                <w:szCs w:val="20"/>
                <w:lang w:eastAsia="en-US"/>
              </w:rPr>
              <w:tab/>
            </w:r>
            <w:r>
              <w:rPr>
                <w:rFonts w:ascii="Cambria" w:hAnsi="Cambria"/>
                <w:b/>
                <w:bCs/>
                <w:sz w:val="20"/>
                <w:szCs w:val="20"/>
                <w:lang w:eastAsia="en-US"/>
              </w:rPr>
              <w:t>№ п/п</w:t>
            </w:r>
          </w:p>
        </w:tc>
        <w:tc>
          <w:tcPr>
            <w:tcW w:w="3138" w:type="dxa"/>
            <w:tcBorders>
              <w:top w:val="double" w:sz="4" w:space="0" w:color="auto"/>
              <w:left w:val="single" w:sz="6" w:space="0" w:color="auto"/>
              <w:bottom w:val="single" w:sz="6" w:space="0" w:color="auto"/>
              <w:right w:val="single" w:sz="6" w:space="0" w:color="auto"/>
            </w:tcBorders>
            <w:shd w:val="clear" w:color="auto" w:fill="F2F2F2"/>
            <w:vAlign w:val="center"/>
            <w:hideMark/>
          </w:tcPr>
          <w:p w:rsidR="00A9505F" w:rsidRDefault="00A9505F" w:rsidP="00A9505F">
            <w:pPr>
              <w:ind w:left="-108" w:right="-59"/>
              <w:jc w:val="center"/>
              <w:rPr>
                <w:rFonts w:ascii="Cambria" w:hAnsi="Cambria"/>
                <w:b/>
                <w:bCs/>
                <w:sz w:val="20"/>
                <w:szCs w:val="20"/>
                <w:lang w:eastAsia="en-US"/>
              </w:rPr>
            </w:pPr>
            <w:r>
              <w:rPr>
                <w:rFonts w:ascii="Cambria" w:hAnsi="Cambria"/>
                <w:b/>
                <w:bCs/>
                <w:sz w:val="20"/>
                <w:szCs w:val="20"/>
                <w:lang w:eastAsia="en-US"/>
              </w:rPr>
              <w:t>Наименование ОКС</w:t>
            </w:r>
          </w:p>
        </w:tc>
        <w:tc>
          <w:tcPr>
            <w:tcW w:w="1561" w:type="dxa"/>
            <w:tcBorders>
              <w:top w:val="double" w:sz="4" w:space="0" w:color="auto"/>
              <w:left w:val="single" w:sz="6" w:space="0" w:color="auto"/>
              <w:bottom w:val="single" w:sz="6" w:space="0" w:color="auto"/>
              <w:right w:val="single" w:sz="6" w:space="0" w:color="auto"/>
            </w:tcBorders>
            <w:shd w:val="clear" w:color="auto" w:fill="F2F2F2"/>
            <w:vAlign w:val="center"/>
            <w:hideMark/>
          </w:tcPr>
          <w:p w:rsidR="00A9505F" w:rsidRDefault="00A9505F" w:rsidP="00A9505F">
            <w:pPr>
              <w:ind w:left="-108" w:right="-59"/>
              <w:jc w:val="center"/>
              <w:rPr>
                <w:rFonts w:ascii="Cambria" w:hAnsi="Cambria"/>
                <w:b/>
                <w:bCs/>
                <w:sz w:val="20"/>
                <w:szCs w:val="20"/>
                <w:lang w:eastAsia="en-US"/>
              </w:rPr>
            </w:pPr>
            <w:r>
              <w:rPr>
                <w:rFonts w:ascii="Cambria" w:hAnsi="Cambria"/>
                <w:b/>
                <w:bCs/>
                <w:sz w:val="20"/>
                <w:szCs w:val="20"/>
                <w:lang w:eastAsia="en-US"/>
              </w:rPr>
              <w:t xml:space="preserve">Год ввода в эксплуатацию </w:t>
            </w:r>
          </w:p>
        </w:tc>
        <w:tc>
          <w:tcPr>
            <w:tcW w:w="1365" w:type="dxa"/>
            <w:tcBorders>
              <w:top w:val="double" w:sz="4" w:space="0" w:color="auto"/>
              <w:left w:val="single" w:sz="6" w:space="0" w:color="auto"/>
              <w:bottom w:val="single" w:sz="6" w:space="0" w:color="auto"/>
              <w:right w:val="single" w:sz="6" w:space="0" w:color="auto"/>
            </w:tcBorders>
            <w:shd w:val="clear" w:color="auto" w:fill="F2F2F2"/>
            <w:vAlign w:val="center"/>
            <w:hideMark/>
          </w:tcPr>
          <w:p w:rsidR="00A9505F" w:rsidRDefault="00A9505F" w:rsidP="00A9505F">
            <w:pPr>
              <w:ind w:left="-108" w:right="-59"/>
              <w:jc w:val="center"/>
              <w:rPr>
                <w:rFonts w:ascii="Cambria" w:hAnsi="Cambria"/>
                <w:b/>
                <w:bCs/>
                <w:sz w:val="20"/>
                <w:szCs w:val="20"/>
                <w:lang w:eastAsia="en-US"/>
              </w:rPr>
            </w:pPr>
            <w:r>
              <w:rPr>
                <w:rFonts w:ascii="Cambria" w:hAnsi="Cambria"/>
                <w:b/>
                <w:bCs/>
                <w:sz w:val="20"/>
                <w:szCs w:val="20"/>
                <w:lang w:eastAsia="en-US"/>
              </w:rPr>
              <w:t xml:space="preserve">Общая площадь, </w:t>
            </w:r>
          </w:p>
          <w:p w:rsidR="00A9505F" w:rsidRDefault="00A9505F" w:rsidP="00A9505F">
            <w:pPr>
              <w:ind w:left="-108" w:right="-59"/>
              <w:jc w:val="center"/>
              <w:rPr>
                <w:rFonts w:ascii="Cambria" w:hAnsi="Cambria"/>
                <w:b/>
                <w:bCs/>
                <w:sz w:val="20"/>
                <w:szCs w:val="20"/>
                <w:lang w:eastAsia="en-US"/>
              </w:rPr>
            </w:pPr>
            <w:r>
              <w:rPr>
                <w:rFonts w:ascii="Cambria" w:hAnsi="Cambria"/>
                <w:b/>
                <w:bCs/>
                <w:sz w:val="20"/>
                <w:szCs w:val="20"/>
                <w:lang w:eastAsia="en-US"/>
              </w:rPr>
              <w:t>кв. м.</w:t>
            </w:r>
          </w:p>
        </w:tc>
        <w:tc>
          <w:tcPr>
            <w:tcW w:w="1666" w:type="dxa"/>
            <w:tcBorders>
              <w:top w:val="double" w:sz="4" w:space="0" w:color="auto"/>
              <w:left w:val="single" w:sz="6" w:space="0" w:color="auto"/>
              <w:bottom w:val="single" w:sz="6" w:space="0" w:color="auto"/>
              <w:right w:val="single" w:sz="6" w:space="0" w:color="auto"/>
            </w:tcBorders>
            <w:shd w:val="clear" w:color="auto" w:fill="F2F2F2"/>
            <w:vAlign w:val="center"/>
            <w:hideMark/>
          </w:tcPr>
          <w:p w:rsidR="00A9505F" w:rsidRDefault="00A9505F" w:rsidP="00A9505F">
            <w:pPr>
              <w:ind w:left="-108" w:right="-59"/>
              <w:jc w:val="center"/>
              <w:rPr>
                <w:rFonts w:ascii="Cambria" w:hAnsi="Cambria"/>
                <w:b/>
                <w:bCs/>
                <w:sz w:val="20"/>
                <w:szCs w:val="20"/>
                <w:lang w:eastAsia="en-US"/>
              </w:rPr>
            </w:pPr>
            <w:r>
              <w:rPr>
                <w:rFonts w:ascii="Cambria" w:hAnsi="Cambria"/>
                <w:b/>
                <w:bCs/>
                <w:sz w:val="20"/>
                <w:szCs w:val="20"/>
                <w:lang w:eastAsia="en-US"/>
              </w:rPr>
              <w:t>Рыночная стоимость с учетом НДС, руб.</w:t>
            </w:r>
          </w:p>
        </w:tc>
        <w:tc>
          <w:tcPr>
            <w:tcW w:w="1664" w:type="dxa"/>
            <w:tcBorders>
              <w:top w:val="double" w:sz="4" w:space="0" w:color="auto"/>
              <w:left w:val="single" w:sz="6" w:space="0" w:color="auto"/>
              <w:bottom w:val="single" w:sz="6" w:space="0" w:color="auto"/>
              <w:right w:val="double" w:sz="4" w:space="0" w:color="auto"/>
            </w:tcBorders>
            <w:shd w:val="clear" w:color="auto" w:fill="F2F2F2"/>
            <w:vAlign w:val="center"/>
            <w:hideMark/>
          </w:tcPr>
          <w:p w:rsidR="00A9505F" w:rsidRDefault="00A9505F" w:rsidP="00A9505F">
            <w:pPr>
              <w:ind w:left="-108" w:right="-59"/>
              <w:jc w:val="center"/>
              <w:rPr>
                <w:rFonts w:ascii="Cambria" w:hAnsi="Cambria"/>
                <w:b/>
                <w:bCs/>
                <w:sz w:val="20"/>
                <w:szCs w:val="20"/>
                <w:lang w:eastAsia="en-US"/>
              </w:rPr>
            </w:pPr>
            <w:r>
              <w:rPr>
                <w:rFonts w:ascii="Cambria" w:hAnsi="Cambria"/>
                <w:b/>
                <w:bCs/>
                <w:sz w:val="20"/>
                <w:szCs w:val="20"/>
                <w:lang w:eastAsia="en-US"/>
              </w:rPr>
              <w:t>Рыночная стоимость без НДС, руб.</w:t>
            </w:r>
          </w:p>
        </w:tc>
      </w:tr>
      <w:tr w:rsidR="00A9505F" w:rsidTr="00A9505F">
        <w:trPr>
          <w:trHeight w:val="23"/>
          <w:jc w:val="center"/>
        </w:trPr>
        <w:tc>
          <w:tcPr>
            <w:tcW w:w="566" w:type="dxa"/>
            <w:tcBorders>
              <w:top w:val="single" w:sz="6" w:space="0" w:color="auto"/>
              <w:left w:val="double" w:sz="4" w:space="0" w:color="auto"/>
              <w:bottom w:val="single" w:sz="6" w:space="0" w:color="auto"/>
              <w:right w:val="single" w:sz="6" w:space="0" w:color="auto"/>
            </w:tcBorders>
            <w:vAlign w:val="center"/>
            <w:hideMark/>
          </w:tcPr>
          <w:p w:rsidR="00A9505F" w:rsidRDefault="00A9505F" w:rsidP="00A9505F">
            <w:pPr>
              <w:ind w:left="-108" w:right="-59"/>
              <w:jc w:val="center"/>
              <w:rPr>
                <w:rFonts w:ascii="Cambria" w:hAnsi="Cambria" w:cs="Arial CYR"/>
                <w:sz w:val="20"/>
                <w:szCs w:val="20"/>
                <w:lang w:eastAsia="en-US"/>
              </w:rPr>
            </w:pPr>
            <w:r>
              <w:rPr>
                <w:rFonts w:ascii="Cambria" w:hAnsi="Cambria" w:cs="Arial CYR"/>
                <w:sz w:val="20"/>
                <w:szCs w:val="20"/>
                <w:lang w:eastAsia="en-US"/>
              </w:rPr>
              <w:t>1</w:t>
            </w:r>
          </w:p>
        </w:tc>
        <w:tc>
          <w:tcPr>
            <w:tcW w:w="3138" w:type="dxa"/>
            <w:tcBorders>
              <w:top w:val="single" w:sz="6" w:space="0" w:color="auto"/>
              <w:left w:val="single" w:sz="6" w:space="0" w:color="auto"/>
              <w:bottom w:val="single" w:sz="6" w:space="0" w:color="auto"/>
              <w:right w:val="single" w:sz="6" w:space="0" w:color="auto"/>
            </w:tcBorders>
            <w:vAlign w:val="center"/>
            <w:hideMark/>
          </w:tcPr>
          <w:p w:rsidR="00A9505F" w:rsidRDefault="00A9505F" w:rsidP="00A9505F">
            <w:pPr>
              <w:ind w:left="-108" w:right="-59"/>
              <w:jc w:val="center"/>
              <w:rPr>
                <w:rFonts w:ascii="Cambria" w:hAnsi="Cambria" w:cs="Arial CYR"/>
                <w:sz w:val="20"/>
                <w:szCs w:val="20"/>
                <w:lang w:eastAsia="en-US"/>
              </w:rPr>
            </w:pPr>
            <w:r>
              <w:rPr>
                <w:rFonts w:ascii="Cambria" w:hAnsi="Cambria" w:cs="Arial CYR"/>
                <w:sz w:val="20"/>
                <w:szCs w:val="20"/>
                <w:lang w:eastAsia="en-US"/>
              </w:rPr>
              <w:t>Нежилые строения (Производственный корпус),</w:t>
            </w:r>
          </w:p>
          <w:p w:rsidR="00A9505F" w:rsidRDefault="00A9505F" w:rsidP="00A9505F">
            <w:pPr>
              <w:ind w:left="-108" w:right="-59"/>
              <w:jc w:val="center"/>
              <w:rPr>
                <w:rFonts w:ascii="Cambria" w:hAnsi="Cambria" w:cs="Arial CYR"/>
                <w:sz w:val="20"/>
                <w:szCs w:val="20"/>
                <w:lang w:eastAsia="en-US"/>
              </w:rPr>
            </w:pPr>
            <w:r>
              <w:rPr>
                <w:rFonts w:ascii="Cambria" w:hAnsi="Cambria" w:cs="Arial CYR"/>
                <w:sz w:val="20"/>
                <w:szCs w:val="20"/>
                <w:lang w:eastAsia="en-US"/>
              </w:rPr>
              <w:t xml:space="preserve"> без учета стоимости з.уч.                       </w:t>
            </w:r>
          </w:p>
        </w:tc>
        <w:tc>
          <w:tcPr>
            <w:tcW w:w="1561" w:type="dxa"/>
            <w:tcBorders>
              <w:top w:val="single" w:sz="6" w:space="0" w:color="auto"/>
              <w:left w:val="single" w:sz="6" w:space="0" w:color="auto"/>
              <w:bottom w:val="single" w:sz="6" w:space="0" w:color="auto"/>
              <w:right w:val="single" w:sz="6" w:space="0" w:color="auto"/>
            </w:tcBorders>
            <w:vAlign w:val="center"/>
            <w:hideMark/>
          </w:tcPr>
          <w:p w:rsidR="00A9505F" w:rsidRDefault="00A9505F" w:rsidP="00A9505F">
            <w:pPr>
              <w:ind w:left="-108" w:right="-59"/>
              <w:jc w:val="center"/>
              <w:rPr>
                <w:rFonts w:ascii="Cambria" w:hAnsi="Cambria" w:cs="Arial CYR"/>
                <w:sz w:val="20"/>
                <w:szCs w:val="20"/>
                <w:lang w:eastAsia="en-US"/>
              </w:rPr>
            </w:pPr>
            <w:r>
              <w:rPr>
                <w:rFonts w:ascii="Cambria" w:hAnsi="Cambria" w:cs="Arial CYR"/>
                <w:sz w:val="20"/>
                <w:szCs w:val="20"/>
                <w:lang w:eastAsia="en-US"/>
              </w:rPr>
              <w:t>1989</w:t>
            </w:r>
          </w:p>
        </w:tc>
        <w:tc>
          <w:tcPr>
            <w:tcW w:w="1365" w:type="dxa"/>
            <w:tcBorders>
              <w:top w:val="single" w:sz="6" w:space="0" w:color="auto"/>
              <w:left w:val="single" w:sz="6" w:space="0" w:color="auto"/>
              <w:bottom w:val="single" w:sz="6" w:space="0" w:color="auto"/>
              <w:right w:val="single" w:sz="6" w:space="0" w:color="auto"/>
            </w:tcBorders>
            <w:vAlign w:val="center"/>
            <w:hideMark/>
          </w:tcPr>
          <w:p w:rsidR="00A9505F" w:rsidRDefault="00A9505F" w:rsidP="00A9505F">
            <w:pPr>
              <w:ind w:left="-108" w:right="-59"/>
              <w:jc w:val="center"/>
              <w:rPr>
                <w:rFonts w:ascii="Cambria" w:hAnsi="Cambria" w:cs="Arial CYR"/>
                <w:sz w:val="20"/>
                <w:szCs w:val="20"/>
                <w:lang w:eastAsia="en-US"/>
              </w:rPr>
            </w:pPr>
            <w:r>
              <w:rPr>
                <w:rFonts w:ascii="Cambria" w:hAnsi="Cambria" w:cs="Arial CYR"/>
                <w:sz w:val="20"/>
                <w:szCs w:val="20"/>
                <w:lang w:eastAsia="en-US"/>
              </w:rPr>
              <w:t>8 371,5</w:t>
            </w:r>
          </w:p>
        </w:tc>
        <w:tc>
          <w:tcPr>
            <w:tcW w:w="1666" w:type="dxa"/>
            <w:tcBorders>
              <w:top w:val="single" w:sz="6" w:space="0" w:color="auto"/>
              <w:left w:val="single" w:sz="6" w:space="0" w:color="auto"/>
              <w:bottom w:val="single" w:sz="6" w:space="0" w:color="auto"/>
              <w:right w:val="single" w:sz="6" w:space="0" w:color="auto"/>
            </w:tcBorders>
            <w:noWrap/>
            <w:vAlign w:val="center"/>
            <w:hideMark/>
          </w:tcPr>
          <w:p w:rsidR="00A9505F" w:rsidRDefault="00A9505F" w:rsidP="00A9505F">
            <w:pPr>
              <w:jc w:val="center"/>
              <w:rPr>
                <w:rFonts w:asciiTheme="majorHAnsi" w:hAnsiTheme="majorHAnsi"/>
                <w:b/>
                <w:sz w:val="20"/>
                <w:szCs w:val="20"/>
                <w:lang w:eastAsia="en-US"/>
              </w:rPr>
            </w:pPr>
            <w:r>
              <w:rPr>
                <w:rFonts w:asciiTheme="majorHAnsi" w:hAnsiTheme="majorHAnsi"/>
                <w:b/>
                <w:sz w:val="20"/>
                <w:szCs w:val="20"/>
                <w:lang w:eastAsia="en-US"/>
              </w:rPr>
              <w:t>78 792 168</w:t>
            </w:r>
          </w:p>
        </w:tc>
        <w:tc>
          <w:tcPr>
            <w:tcW w:w="1664" w:type="dxa"/>
            <w:tcBorders>
              <w:top w:val="single" w:sz="6" w:space="0" w:color="auto"/>
              <w:left w:val="single" w:sz="6" w:space="0" w:color="auto"/>
              <w:bottom w:val="single" w:sz="6" w:space="0" w:color="auto"/>
              <w:right w:val="double" w:sz="4" w:space="0" w:color="auto"/>
            </w:tcBorders>
            <w:noWrap/>
            <w:vAlign w:val="center"/>
            <w:hideMark/>
          </w:tcPr>
          <w:p w:rsidR="00A9505F" w:rsidRDefault="00A9505F" w:rsidP="00A9505F">
            <w:pPr>
              <w:jc w:val="center"/>
              <w:rPr>
                <w:rFonts w:asciiTheme="majorHAnsi" w:hAnsiTheme="majorHAnsi"/>
                <w:sz w:val="20"/>
                <w:szCs w:val="20"/>
                <w:lang w:eastAsia="en-US"/>
              </w:rPr>
            </w:pPr>
            <w:r>
              <w:rPr>
                <w:rFonts w:asciiTheme="majorHAnsi" w:hAnsiTheme="majorHAnsi"/>
                <w:sz w:val="20"/>
                <w:szCs w:val="20"/>
                <w:lang w:eastAsia="en-US"/>
              </w:rPr>
              <w:t>66 773 024</w:t>
            </w:r>
          </w:p>
        </w:tc>
      </w:tr>
      <w:tr w:rsidR="00A9505F" w:rsidTr="00A9505F">
        <w:trPr>
          <w:trHeight w:val="23"/>
          <w:jc w:val="center"/>
        </w:trPr>
        <w:tc>
          <w:tcPr>
            <w:tcW w:w="566" w:type="dxa"/>
            <w:tcBorders>
              <w:top w:val="single" w:sz="6" w:space="0" w:color="auto"/>
              <w:left w:val="double" w:sz="4" w:space="0" w:color="auto"/>
              <w:bottom w:val="single" w:sz="6" w:space="0" w:color="auto"/>
              <w:right w:val="single" w:sz="6" w:space="0" w:color="auto"/>
            </w:tcBorders>
            <w:vAlign w:val="center"/>
            <w:hideMark/>
          </w:tcPr>
          <w:p w:rsidR="00A9505F" w:rsidRDefault="00A9505F" w:rsidP="00A9505F">
            <w:pPr>
              <w:ind w:left="-108" w:right="-59"/>
              <w:jc w:val="center"/>
              <w:rPr>
                <w:rFonts w:ascii="Cambria" w:hAnsi="Cambria" w:cs="Arial CYR"/>
                <w:sz w:val="20"/>
                <w:szCs w:val="20"/>
                <w:lang w:eastAsia="en-US"/>
              </w:rPr>
            </w:pPr>
            <w:r>
              <w:rPr>
                <w:rFonts w:ascii="Cambria" w:hAnsi="Cambria" w:cs="Arial CYR"/>
                <w:sz w:val="20"/>
                <w:szCs w:val="20"/>
                <w:lang w:eastAsia="en-US"/>
              </w:rPr>
              <w:t>2</w:t>
            </w:r>
          </w:p>
        </w:tc>
        <w:tc>
          <w:tcPr>
            <w:tcW w:w="3138" w:type="dxa"/>
            <w:tcBorders>
              <w:top w:val="single" w:sz="6" w:space="0" w:color="auto"/>
              <w:left w:val="single" w:sz="6" w:space="0" w:color="auto"/>
              <w:bottom w:val="single" w:sz="6" w:space="0" w:color="auto"/>
              <w:right w:val="single" w:sz="6" w:space="0" w:color="auto"/>
            </w:tcBorders>
            <w:vAlign w:val="center"/>
            <w:hideMark/>
          </w:tcPr>
          <w:p w:rsidR="00A9505F" w:rsidRDefault="00A9505F" w:rsidP="00A9505F">
            <w:pPr>
              <w:jc w:val="center"/>
              <w:rPr>
                <w:rFonts w:ascii="Cambria" w:hAnsi="Cambria"/>
                <w:sz w:val="20"/>
                <w:szCs w:val="20"/>
                <w:lang w:eastAsia="en-US"/>
              </w:rPr>
            </w:pPr>
            <w:r>
              <w:rPr>
                <w:rFonts w:ascii="Cambria" w:hAnsi="Cambria"/>
                <w:sz w:val="20"/>
                <w:szCs w:val="20"/>
                <w:lang w:eastAsia="en-US"/>
              </w:rPr>
              <w:t xml:space="preserve">Административно-бытовое здание, </w:t>
            </w:r>
          </w:p>
          <w:p w:rsidR="00A9505F" w:rsidRDefault="00A9505F" w:rsidP="00A9505F">
            <w:pPr>
              <w:jc w:val="center"/>
              <w:rPr>
                <w:rFonts w:ascii="Cambria" w:hAnsi="Cambria"/>
                <w:sz w:val="20"/>
                <w:szCs w:val="20"/>
                <w:lang w:eastAsia="en-US"/>
              </w:rPr>
            </w:pPr>
            <w:r>
              <w:rPr>
                <w:rFonts w:ascii="Cambria" w:hAnsi="Cambria"/>
                <w:sz w:val="20"/>
                <w:szCs w:val="20"/>
                <w:lang w:eastAsia="en-US"/>
              </w:rPr>
              <w:t xml:space="preserve">без учета стоимости з.уч.                       </w:t>
            </w:r>
          </w:p>
        </w:tc>
        <w:tc>
          <w:tcPr>
            <w:tcW w:w="1561" w:type="dxa"/>
            <w:tcBorders>
              <w:top w:val="single" w:sz="6" w:space="0" w:color="auto"/>
              <w:left w:val="single" w:sz="6" w:space="0" w:color="auto"/>
              <w:bottom w:val="single" w:sz="6" w:space="0" w:color="auto"/>
              <w:right w:val="single" w:sz="6" w:space="0" w:color="auto"/>
            </w:tcBorders>
            <w:vAlign w:val="center"/>
            <w:hideMark/>
          </w:tcPr>
          <w:p w:rsidR="00A9505F" w:rsidRDefault="00A9505F" w:rsidP="00A9505F">
            <w:pPr>
              <w:ind w:left="-108" w:right="-59"/>
              <w:jc w:val="center"/>
              <w:rPr>
                <w:rFonts w:ascii="Cambria" w:hAnsi="Cambria" w:cs="Arial CYR"/>
                <w:sz w:val="20"/>
                <w:szCs w:val="20"/>
                <w:lang w:eastAsia="en-US"/>
              </w:rPr>
            </w:pPr>
            <w:r>
              <w:rPr>
                <w:rFonts w:ascii="Cambria" w:hAnsi="Cambria" w:cs="Arial CYR"/>
                <w:sz w:val="20"/>
                <w:szCs w:val="20"/>
                <w:lang w:eastAsia="en-US"/>
              </w:rPr>
              <w:t>1993</w:t>
            </w:r>
          </w:p>
        </w:tc>
        <w:tc>
          <w:tcPr>
            <w:tcW w:w="1365" w:type="dxa"/>
            <w:tcBorders>
              <w:top w:val="single" w:sz="6" w:space="0" w:color="auto"/>
              <w:left w:val="single" w:sz="6" w:space="0" w:color="auto"/>
              <w:bottom w:val="single" w:sz="6" w:space="0" w:color="auto"/>
              <w:right w:val="single" w:sz="6" w:space="0" w:color="auto"/>
            </w:tcBorders>
            <w:vAlign w:val="center"/>
            <w:hideMark/>
          </w:tcPr>
          <w:p w:rsidR="00A9505F" w:rsidRDefault="00A9505F" w:rsidP="00A9505F">
            <w:pPr>
              <w:ind w:left="-108" w:right="-59"/>
              <w:jc w:val="center"/>
              <w:rPr>
                <w:rFonts w:ascii="Cambria" w:hAnsi="Cambria" w:cs="Arial CYR"/>
                <w:sz w:val="20"/>
                <w:szCs w:val="20"/>
                <w:lang w:eastAsia="en-US"/>
              </w:rPr>
            </w:pPr>
            <w:r>
              <w:rPr>
                <w:rFonts w:ascii="Cambria" w:hAnsi="Cambria" w:cs="Arial CYR"/>
                <w:sz w:val="20"/>
                <w:szCs w:val="20"/>
                <w:lang w:eastAsia="en-US"/>
              </w:rPr>
              <w:t>3 149,6</w:t>
            </w:r>
          </w:p>
        </w:tc>
        <w:tc>
          <w:tcPr>
            <w:tcW w:w="1666" w:type="dxa"/>
            <w:tcBorders>
              <w:top w:val="single" w:sz="6" w:space="0" w:color="auto"/>
              <w:left w:val="single" w:sz="6" w:space="0" w:color="auto"/>
              <w:bottom w:val="single" w:sz="6" w:space="0" w:color="auto"/>
              <w:right w:val="single" w:sz="6" w:space="0" w:color="auto"/>
            </w:tcBorders>
            <w:noWrap/>
            <w:vAlign w:val="center"/>
            <w:hideMark/>
          </w:tcPr>
          <w:p w:rsidR="00A9505F" w:rsidRDefault="00A9505F" w:rsidP="00A9505F">
            <w:pPr>
              <w:jc w:val="center"/>
              <w:rPr>
                <w:rFonts w:asciiTheme="majorHAnsi" w:hAnsiTheme="majorHAnsi"/>
                <w:b/>
                <w:bCs/>
                <w:color w:val="000000"/>
                <w:sz w:val="20"/>
                <w:szCs w:val="20"/>
                <w:lang w:eastAsia="en-US"/>
              </w:rPr>
            </w:pPr>
            <w:r>
              <w:rPr>
                <w:rFonts w:asciiTheme="majorHAnsi" w:hAnsiTheme="majorHAnsi"/>
                <w:b/>
                <w:bCs/>
                <w:color w:val="000000"/>
                <w:sz w:val="20"/>
                <w:szCs w:val="20"/>
                <w:lang w:eastAsia="en-US"/>
              </w:rPr>
              <w:t xml:space="preserve">42 663 975  </w:t>
            </w:r>
          </w:p>
        </w:tc>
        <w:tc>
          <w:tcPr>
            <w:tcW w:w="1664" w:type="dxa"/>
            <w:tcBorders>
              <w:top w:val="single" w:sz="6" w:space="0" w:color="auto"/>
              <w:left w:val="single" w:sz="6" w:space="0" w:color="auto"/>
              <w:bottom w:val="single" w:sz="6" w:space="0" w:color="auto"/>
              <w:right w:val="double" w:sz="4" w:space="0" w:color="auto"/>
            </w:tcBorders>
            <w:noWrap/>
            <w:vAlign w:val="center"/>
            <w:hideMark/>
          </w:tcPr>
          <w:p w:rsidR="00A9505F" w:rsidRDefault="00A9505F" w:rsidP="00A9505F">
            <w:pPr>
              <w:jc w:val="center"/>
              <w:rPr>
                <w:rFonts w:asciiTheme="majorHAnsi" w:hAnsiTheme="majorHAnsi"/>
                <w:bCs/>
                <w:color w:val="000000"/>
                <w:sz w:val="20"/>
                <w:szCs w:val="20"/>
                <w:lang w:eastAsia="en-US"/>
              </w:rPr>
            </w:pPr>
            <w:r>
              <w:rPr>
                <w:rFonts w:asciiTheme="majorHAnsi" w:hAnsiTheme="majorHAnsi"/>
                <w:bCs/>
                <w:color w:val="000000"/>
                <w:sz w:val="20"/>
                <w:szCs w:val="20"/>
                <w:lang w:eastAsia="en-US"/>
              </w:rPr>
              <w:t xml:space="preserve">36 155 911  </w:t>
            </w:r>
          </w:p>
        </w:tc>
      </w:tr>
      <w:tr w:rsidR="00A9505F" w:rsidTr="00A9505F">
        <w:trPr>
          <w:trHeight w:val="23"/>
          <w:jc w:val="center"/>
        </w:trPr>
        <w:tc>
          <w:tcPr>
            <w:tcW w:w="566" w:type="dxa"/>
            <w:tcBorders>
              <w:top w:val="single" w:sz="6" w:space="0" w:color="auto"/>
              <w:left w:val="double" w:sz="4" w:space="0" w:color="auto"/>
              <w:bottom w:val="double" w:sz="4" w:space="0" w:color="auto"/>
              <w:right w:val="single" w:sz="6" w:space="0" w:color="auto"/>
            </w:tcBorders>
            <w:vAlign w:val="center"/>
          </w:tcPr>
          <w:p w:rsidR="00A9505F" w:rsidRDefault="00A9505F" w:rsidP="00A9505F">
            <w:pPr>
              <w:ind w:left="-108" w:right="-59"/>
              <w:jc w:val="center"/>
              <w:rPr>
                <w:rFonts w:ascii="Cambria" w:hAnsi="Cambria" w:cs="Arial CYR"/>
                <w:sz w:val="20"/>
                <w:szCs w:val="20"/>
                <w:lang w:eastAsia="en-US"/>
              </w:rPr>
            </w:pPr>
          </w:p>
        </w:tc>
        <w:tc>
          <w:tcPr>
            <w:tcW w:w="3138" w:type="dxa"/>
            <w:tcBorders>
              <w:top w:val="single" w:sz="6" w:space="0" w:color="auto"/>
              <w:left w:val="single" w:sz="6" w:space="0" w:color="auto"/>
              <w:bottom w:val="double" w:sz="4" w:space="0" w:color="auto"/>
              <w:right w:val="single" w:sz="6" w:space="0" w:color="auto"/>
            </w:tcBorders>
            <w:vAlign w:val="center"/>
            <w:hideMark/>
          </w:tcPr>
          <w:p w:rsidR="00A9505F" w:rsidRDefault="00A9505F" w:rsidP="00A9505F">
            <w:pPr>
              <w:jc w:val="center"/>
              <w:rPr>
                <w:rFonts w:ascii="Cambria" w:hAnsi="Cambria"/>
                <w:color w:val="000000"/>
                <w:sz w:val="20"/>
                <w:szCs w:val="20"/>
                <w:lang w:eastAsia="en-US"/>
              </w:rPr>
            </w:pPr>
            <w:r>
              <w:rPr>
                <w:rFonts w:ascii="Cambria" w:hAnsi="Cambria"/>
                <w:color w:val="000000"/>
                <w:sz w:val="20"/>
                <w:szCs w:val="20"/>
                <w:lang w:eastAsia="en-US"/>
              </w:rPr>
              <w:t>ИТОГО:</w:t>
            </w:r>
          </w:p>
        </w:tc>
        <w:tc>
          <w:tcPr>
            <w:tcW w:w="1561" w:type="dxa"/>
            <w:tcBorders>
              <w:top w:val="single" w:sz="6" w:space="0" w:color="auto"/>
              <w:left w:val="single" w:sz="6" w:space="0" w:color="auto"/>
              <w:bottom w:val="double" w:sz="4" w:space="0" w:color="auto"/>
              <w:right w:val="single" w:sz="6" w:space="0" w:color="auto"/>
            </w:tcBorders>
            <w:vAlign w:val="center"/>
          </w:tcPr>
          <w:p w:rsidR="00A9505F" w:rsidRDefault="00A9505F" w:rsidP="00A9505F">
            <w:pPr>
              <w:ind w:left="-108" w:right="-59"/>
              <w:jc w:val="center"/>
              <w:rPr>
                <w:rFonts w:ascii="Cambria" w:hAnsi="Cambria" w:cs="Arial CYR"/>
                <w:sz w:val="20"/>
                <w:szCs w:val="20"/>
                <w:lang w:eastAsia="en-US"/>
              </w:rPr>
            </w:pPr>
          </w:p>
        </w:tc>
        <w:tc>
          <w:tcPr>
            <w:tcW w:w="1365" w:type="dxa"/>
            <w:tcBorders>
              <w:top w:val="single" w:sz="6" w:space="0" w:color="auto"/>
              <w:left w:val="single" w:sz="6" w:space="0" w:color="auto"/>
              <w:bottom w:val="double" w:sz="4" w:space="0" w:color="auto"/>
              <w:right w:val="single" w:sz="6" w:space="0" w:color="auto"/>
            </w:tcBorders>
            <w:vAlign w:val="center"/>
          </w:tcPr>
          <w:p w:rsidR="00A9505F" w:rsidRDefault="00A9505F" w:rsidP="00A9505F">
            <w:pPr>
              <w:ind w:left="-108" w:right="-59"/>
              <w:jc w:val="center"/>
              <w:rPr>
                <w:rFonts w:ascii="Cambria" w:hAnsi="Cambria" w:cs="Arial CYR"/>
                <w:sz w:val="20"/>
                <w:szCs w:val="20"/>
                <w:lang w:eastAsia="en-US"/>
              </w:rPr>
            </w:pPr>
          </w:p>
        </w:tc>
        <w:tc>
          <w:tcPr>
            <w:tcW w:w="1666" w:type="dxa"/>
            <w:tcBorders>
              <w:top w:val="single" w:sz="6" w:space="0" w:color="auto"/>
              <w:left w:val="single" w:sz="6" w:space="0" w:color="auto"/>
              <w:bottom w:val="double" w:sz="4" w:space="0" w:color="auto"/>
              <w:right w:val="single" w:sz="6" w:space="0" w:color="auto"/>
            </w:tcBorders>
            <w:noWrap/>
            <w:vAlign w:val="bottom"/>
            <w:hideMark/>
          </w:tcPr>
          <w:p w:rsidR="00A9505F" w:rsidRDefault="00A9505F" w:rsidP="00A9505F">
            <w:pPr>
              <w:jc w:val="center"/>
              <w:rPr>
                <w:rFonts w:asciiTheme="majorHAnsi" w:hAnsiTheme="majorHAnsi"/>
                <w:b/>
                <w:color w:val="000000"/>
                <w:sz w:val="20"/>
                <w:szCs w:val="20"/>
                <w:lang w:eastAsia="en-US"/>
              </w:rPr>
            </w:pPr>
            <w:r>
              <w:rPr>
                <w:rFonts w:asciiTheme="majorHAnsi" w:hAnsiTheme="majorHAnsi"/>
                <w:b/>
                <w:color w:val="000000"/>
                <w:sz w:val="20"/>
                <w:szCs w:val="20"/>
                <w:lang w:eastAsia="en-US"/>
              </w:rPr>
              <w:t>121 456 143</w:t>
            </w:r>
          </w:p>
        </w:tc>
        <w:tc>
          <w:tcPr>
            <w:tcW w:w="1664" w:type="dxa"/>
            <w:tcBorders>
              <w:top w:val="single" w:sz="6" w:space="0" w:color="auto"/>
              <w:left w:val="single" w:sz="6" w:space="0" w:color="auto"/>
              <w:bottom w:val="double" w:sz="4" w:space="0" w:color="auto"/>
              <w:right w:val="double" w:sz="4" w:space="0" w:color="auto"/>
            </w:tcBorders>
            <w:noWrap/>
            <w:vAlign w:val="bottom"/>
            <w:hideMark/>
          </w:tcPr>
          <w:p w:rsidR="00A9505F" w:rsidRDefault="00A9505F" w:rsidP="00A9505F">
            <w:pPr>
              <w:jc w:val="center"/>
              <w:rPr>
                <w:rFonts w:asciiTheme="majorHAnsi" w:hAnsiTheme="majorHAnsi"/>
                <w:color w:val="000000"/>
                <w:sz w:val="20"/>
                <w:szCs w:val="20"/>
                <w:lang w:eastAsia="en-US"/>
              </w:rPr>
            </w:pPr>
            <w:r>
              <w:rPr>
                <w:rFonts w:asciiTheme="majorHAnsi" w:hAnsiTheme="majorHAnsi"/>
                <w:color w:val="000000"/>
                <w:sz w:val="20"/>
                <w:szCs w:val="20"/>
                <w:lang w:eastAsia="en-US"/>
              </w:rPr>
              <w:t>102 928 934</w:t>
            </w:r>
          </w:p>
        </w:tc>
      </w:tr>
    </w:tbl>
    <w:p w:rsidR="007C0A4B" w:rsidRDefault="007C0A4B" w:rsidP="00997A04">
      <w:pPr>
        <w:spacing w:before="100" w:beforeAutospacing="1" w:after="100" w:afterAutospacing="1"/>
        <w:jc w:val="center"/>
        <w:rPr>
          <w:rFonts w:eastAsiaTheme="majorEastAsia" w:cstheme="majorBidi"/>
          <w:b/>
          <w:bCs/>
          <w:sz w:val="28"/>
          <w:szCs w:val="28"/>
        </w:rPr>
      </w:pPr>
    </w:p>
    <w:p w:rsidR="007C0A4B" w:rsidRDefault="007C0A4B" w:rsidP="00997A04">
      <w:pPr>
        <w:spacing w:before="100" w:beforeAutospacing="1" w:after="100" w:afterAutospacing="1"/>
        <w:jc w:val="center"/>
        <w:rPr>
          <w:rFonts w:eastAsiaTheme="majorEastAsia" w:cstheme="majorBidi"/>
          <w:b/>
          <w:bCs/>
          <w:sz w:val="28"/>
          <w:szCs w:val="28"/>
        </w:rPr>
      </w:pPr>
    </w:p>
    <w:p w:rsidR="007C0A4B" w:rsidRDefault="007C0A4B" w:rsidP="00997A04">
      <w:pPr>
        <w:spacing w:before="100" w:beforeAutospacing="1" w:after="100" w:afterAutospacing="1"/>
        <w:jc w:val="center"/>
        <w:rPr>
          <w:rFonts w:eastAsiaTheme="majorEastAsia" w:cstheme="majorBidi"/>
          <w:b/>
          <w:bCs/>
          <w:sz w:val="28"/>
          <w:szCs w:val="28"/>
        </w:rPr>
      </w:pPr>
    </w:p>
    <w:p w:rsidR="007C0A4B" w:rsidRDefault="007C0A4B" w:rsidP="00997A04">
      <w:pPr>
        <w:spacing w:before="100" w:beforeAutospacing="1" w:after="100" w:afterAutospacing="1"/>
        <w:jc w:val="center"/>
        <w:rPr>
          <w:rFonts w:eastAsiaTheme="majorEastAsia" w:cstheme="majorBidi"/>
          <w:b/>
          <w:bCs/>
          <w:sz w:val="28"/>
          <w:szCs w:val="28"/>
        </w:rPr>
      </w:pPr>
    </w:p>
    <w:p w:rsidR="00F40B61" w:rsidRDefault="00F40B61" w:rsidP="00997A04">
      <w:pPr>
        <w:spacing w:before="100" w:beforeAutospacing="1" w:after="100" w:afterAutospacing="1"/>
        <w:jc w:val="center"/>
        <w:rPr>
          <w:rFonts w:eastAsiaTheme="majorEastAsia" w:cstheme="majorBidi"/>
          <w:b/>
          <w:bCs/>
          <w:sz w:val="28"/>
          <w:szCs w:val="28"/>
        </w:rPr>
      </w:pPr>
      <w:r>
        <w:rPr>
          <w:rFonts w:eastAsiaTheme="majorEastAsia" w:cstheme="majorBidi"/>
          <w:b/>
          <w:bCs/>
          <w:sz w:val="28"/>
          <w:szCs w:val="28"/>
        </w:rPr>
        <w:t xml:space="preserve"> </w:t>
      </w:r>
    </w:p>
    <w:p w:rsidR="00F40B61" w:rsidRPr="00F40B61" w:rsidRDefault="00F40B61" w:rsidP="00F40B61">
      <w:pPr>
        <w:spacing w:before="1080"/>
        <w:ind w:firstLine="709"/>
        <w:jc w:val="both"/>
        <w:rPr>
          <w:rFonts w:asciiTheme="majorHAnsi" w:hAnsiTheme="majorHAnsi"/>
          <w:sz w:val="20"/>
        </w:rPr>
      </w:pPr>
      <w:r w:rsidRPr="00F40B61">
        <w:rPr>
          <w:rFonts w:asciiTheme="majorHAnsi" w:hAnsiTheme="majorHAnsi"/>
          <w:sz w:val="20"/>
        </w:rPr>
        <w:t xml:space="preserve">Оценщик                                                                   </w:t>
      </w:r>
      <w:r>
        <w:rPr>
          <w:rFonts w:asciiTheme="majorHAnsi" w:hAnsiTheme="majorHAnsi"/>
          <w:sz w:val="20"/>
        </w:rPr>
        <w:t xml:space="preserve">        </w:t>
      </w:r>
      <w:r w:rsidRPr="00F40B61">
        <w:rPr>
          <w:rFonts w:asciiTheme="majorHAnsi" w:hAnsiTheme="majorHAnsi"/>
          <w:sz w:val="20"/>
        </w:rPr>
        <w:t xml:space="preserve"> _______________________________________________</w:t>
      </w:r>
      <w:r>
        <w:rPr>
          <w:rFonts w:asciiTheme="majorHAnsi" w:hAnsiTheme="majorHAnsi"/>
          <w:sz w:val="20"/>
        </w:rPr>
        <w:t>____</w:t>
      </w:r>
      <w:r w:rsidRPr="00F40B61">
        <w:rPr>
          <w:rFonts w:asciiTheme="majorHAnsi" w:hAnsiTheme="majorHAnsi"/>
          <w:sz w:val="20"/>
        </w:rPr>
        <w:t xml:space="preserve"> Аникин О. Н.</w:t>
      </w:r>
    </w:p>
    <w:p w:rsidR="00F40B61" w:rsidRPr="00F40B61" w:rsidRDefault="00F40B61" w:rsidP="00F40B61">
      <w:pPr>
        <w:spacing w:before="360"/>
        <w:ind w:firstLine="709"/>
        <w:jc w:val="both"/>
        <w:rPr>
          <w:rFonts w:asciiTheme="majorHAnsi" w:hAnsiTheme="majorHAnsi"/>
          <w:sz w:val="20"/>
        </w:rPr>
      </w:pPr>
      <w:r w:rsidRPr="00F40B61">
        <w:rPr>
          <w:rFonts w:asciiTheme="majorHAnsi" w:hAnsiTheme="majorHAnsi"/>
          <w:sz w:val="20"/>
        </w:rPr>
        <w:t>Директор ООО УК «ФИНАНСЫ НЕДВИЖИМОСТЬ КОНСАЛТИНГ»</w:t>
      </w:r>
    </w:p>
    <w:p w:rsidR="00F40B61" w:rsidRPr="00F40B61" w:rsidRDefault="00F40B61" w:rsidP="00F40B61">
      <w:pPr>
        <w:spacing w:before="120"/>
        <w:ind w:firstLine="709"/>
        <w:jc w:val="right"/>
        <w:rPr>
          <w:rFonts w:asciiTheme="majorHAnsi" w:hAnsiTheme="majorHAnsi"/>
          <w:sz w:val="20"/>
        </w:rPr>
      </w:pPr>
      <w:r w:rsidRPr="00F40B61">
        <w:rPr>
          <w:rFonts w:asciiTheme="majorHAnsi" w:hAnsiTheme="majorHAnsi"/>
          <w:sz w:val="20"/>
        </w:rPr>
        <w:t>________________________________________________Лаврентьев С. Н.</w:t>
      </w:r>
    </w:p>
    <w:p w:rsidR="00F40B61" w:rsidRDefault="00F40B61" w:rsidP="00997A04">
      <w:pPr>
        <w:spacing w:before="100" w:beforeAutospacing="1" w:after="100" w:afterAutospacing="1"/>
        <w:jc w:val="center"/>
        <w:rPr>
          <w:rFonts w:eastAsiaTheme="majorEastAsia" w:cstheme="majorBidi"/>
          <w:b/>
          <w:bCs/>
          <w:sz w:val="28"/>
          <w:szCs w:val="28"/>
        </w:rPr>
      </w:pPr>
    </w:p>
    <w:p w:rsidR="00F40B61" w:rsidRDefault="00F40B61" w:rsidP="00997A04">
      <w:pPr>
        <w:spacing w:before="100" w:beforeAutospacing="1" w:after="100" w:afterAutospacing="1"/>
        <w:jc w:val="center"/>
        <w:rPr>
          <w:rFonts w:eastAsiaTheme="majorEastAsia" w:cstheme="majorBidi"/>
          <w:b/>
          <w:bCs/>
          <w:sz w:val="28"/>
          <w:szCs w:val="28"/>
        </w:rPr>
      </w:pPr>
    </w:p>
    <w:p w:rsidR="00F40B61" w:rsidRDefault="00F40B61" w:rsidP="00997A04">
      <w:pPr>
        <w:spacing w:before="100" w:beforeAutospacing="1" w:after="100" w:afterAutospacing="1"/>
        <w:jc w:val="center"/>
        <w:rPr>
          <w:rFonts w:eastAsiaTheme="majorEastAsia" w:cstheme="majorBidi"/>
          <w:b/>
          <w:bCs/>
          <w:sz w:val="28"/>
          <w:szCs w:val="28"/>
        </w:rPr>
      </w:pPr>
    </w:p>
    <w:p w:rsidR="00F40B61" w:rsidRDefault="00F40B61" w:rsidP="00997A04">
      <w:pPr>
        <w:spacing w:before="100" w:beforeAutospacing="1" w:after="100" w:afterAutospacing="1"/>
        <w:jc w:val="center"/>
        <w:rPr>
          <w:rFonts w:eastAsiaTheme="majorEastAsia" w:cstheme="majorBidi"/>
          <w:b/>
          <w:bCs/>
          <w:sz w:val="28"/>
          <w:szCs w:val="28"/>
        </w:rPr>
      </w:pPr>
    </w:p>
    <w:p w:rsidR="00F40B61" w:rsidRDefault="00F40B61" w:rsidP="00997A04">
      <w:pPr>
        <w:spacing w:before="100" w:beforeAutospacing="1" w:after="100" w:afterAutospacing="1"/>
        <w:jc w:val="center"/>
        <w:rPr>
          <w:rFonts w:eastAsiaTheme="majorEastAsia" w:cstheme="majorBidi"/>
          <w:b/>
          <w:bCs/>
          <w:sz w:val="28"/>
          <w:szCs w:val="28"/>
        </w:rPr>
      </w:pPr>
    </w:p>
    <w:p w:rsidR="00F40B61" w:rsidRDefault="00F40B61" w:rsidP="00997A04">
      <w:pPr>
        <w:spacing w:before="100" w:beforeAutospacing="1" w:after="100" w:afterAutospacing="1"/>
        <w:jc w:val="center"/>
        <w:rPr>
          <w:rFonts w:eastAsiaTheme="majorEastAsia" w:cstheme="majorBidi"/>
          <w:b/>
          <w:bCs/>
          <w:sz w:val="28"/>
          <w:szCs w:val="28"/>
        </w:rPr>
      </w:pPr>
    </w:p>
    <w:p w:rsidR="001C0149" w:rsidRDefault="001C0149" w:rsidP="00997A04">
      <w:pPr>
        <w:spacing w:before="100" w:beforeAutospacing="1" w:after="100" w:afterAutospacing="1"/>
        <w:jc w:val="center"/>
        <w:rPr>
          <w:rFonts w:eastAsiaTheme="majorEastAsia" w:cstheme="majorBidi"/>
          <w:b/>
          <w:bCs/>
          <w:sz w:val="28"/>
          <w:szCs w:val="28"/>
        </w:rPr>
      </w:pPr>
    </w:p>
    <w:p w:rsidR="003262B9" w:rsidRDefault="003262B9" w:rsidP="003262B9"/>
    <w:p w:rsidR="003262B9" w:rsidRDefault="003262B9" w:rsidP="003262B9">
      <w:pPr>
        <w:keepNext/>
        <w:keepLines/>
        <w:spacing w:before="100" w:beforeAutospacing="1" w:after="100" w:afterAutospacing="1"/>
        <w:jc w:val="center"/>
        <w:outlineLvl w:val="0"/>
        <w:rPr>
          <w:rFonts w:asciiTheme="majorHAnsi" w:eastAsiaTheme="majorEastAsia" w:hAnsiTheme="majorHAnsi" w:cstheme="majorBidi"/>
          <w:b/>
          <w:bCs/>
          <w:sz w:val="28"/>
          <w:szCs w:val="28"/>
        </w:rPr>
      </w:pPr>
      <w:bookmarkStart w:id="108" w:name="_Toc491763323"/>
      <w:r>
        <w:rPr>
          <w:rFonts w:eastAsiaTheme="majorEastAsia" w:cstheme="majorBidi"/>
          <w:b/>
          <w:bCs/>
          <w:sz w:val="28"/>
          <w:szCs w:val="28"/>
        </w:rPr>
        <w:t>Используемая литература и источники информации</w:t>
      </w:r>
      <w:bookmarkEnd w:id="108"/>
    </w:p>
    <w:p w:rsidR="00F40B61" w:rsidRPr="001C0149" w:rsidRDefault="00F40B61" w:rsidP="0090764B">
      <w:pPr>
        <w:numPr>
          <w:ilvl w:val="1"/>
          <w:numId w:val="2"/>
        </w:numPr>
        <w:tabs>
          <w:tab w:val="num" w:pos="360"/>
        </w:tabs>
        <w:ind w:left="357" w:hanging="357"/>
        <w:jc w:val="both"/>
        <w:rPr>
          <w:rFonts w:asciiTheme="majorHAnsi" w:hAnsiTheme="majorHAnsi"/>
          <w:sz w:val="20"/>
          <w:szCs w:val="20"/>
        </w:rPr>
      </w:pPr>
      <w:r w:rsidRPr="001C0149">
        <w:rPr>
          <w:rFonts w:asciiTheme="majorHAnsi" w:hAnsiTheme="majorHAnsi"/>
          <w:sz w:val="20"/>
          <w:szCs w:val="20"/>
        </w:rPr>
        <w:t xml:space="preserve">Гражданский кодекс Российской Федерации. Полный текст, «ГНОМ-ПРЕСС», Москва, </w:t>
      </w:r>
      <w:smartTag w:uri="urn:schemas-microsoft-com:office:smarttags" w:element="metricconverter">
        <w:smartTagPr>
          <w:attr w:name="ProductID" w:val="1997 г"/>
        </w:smartTagPr>
        <w:r w:rsidRPr="001C0149">
          <w:rPr>
            <w:rFonts w:asciiTheme="majorHAnsi" w:hAnsiTheme="majorHAnsi"/>
            <w:sz w:val="20"/>
            <w:szCs w:val="20"/>
          </w:rPr>
          <w:t>1997 г</w:t>
        </w:r>
      </w:smartTag>
      <w:r w:rsidRPr="001C0149">
        <w:rPr>
          <w:rFonts w:asciiTheme="majorHAnsi" w:hAnsiTheme="majorHAnsi"/>
          <w:sz w:val="20"/>
          <w:szCs w:val="20"/>
        </w:rPr>
        <w:t>.</w:t>
      </w:r>
    </w:p>
    <w:p w:rsidR="00F40B61" w:rsidRPr="001C0149" w:rsidRDefault="00F40B61" w:rsidP="0090764B">
      <w:pPr>
        <w:numPr>
          <w:ilvl w:val="1"/>
          <w:numId w:val="2"/>
        </w:numPr>
        <w:tabs>
          <w:tab w:val="num" w:pos="360"/>
        </w:tabs>
        <w:ind w:left="357" w:hanging="357"/>
        <w:jc w:val="both"/>
        <w:rPr>
          <w:rFonts w:asciiTheme="majorHAnsi" w:hAnsiTheme="majorHAnsi"/>
          <w:sz w:val="20"/>
          <w:szCs w:val="20"/>
        </w:rPr>
      </w:pPr>
      <w:r w:rsidRPr="001C0149">
        <w:rPr>
          <w:rFonts w:asciiTheme="majorHAnsi" w:hAnsiTheme="majorHAnsi"/>
          <w:sz w:val="20"/>
          <w:szCs w:val="20"/>
        </w:rPr>
        <w:t>Журналы «Вопросы оценки» Российского общества оценщиков.</w:t>
      </w:r>
    </w:p>
    <w:p w:rsidR="00F40B61" w:rsidRPr="001C0149" w:rsidRDefault="00F40B61" w:rsidP="0090764B">
      <w:pPr>
        <w:numPr>
          <w:ilvl w:val="1"/>
          <w:numId w:val="2"/>
        </w:numPr>
        <w:tabs>
          <w:tab w:val="num" w:pos="360"/>
        </w:tabs>
        <w:ind w:left="357" w:hanging="357"/>
        <w:jc w:val="both"/>
        <w:rPr>
          <w:rFonts w:asciiTheme="majorHAnsi" w:hAnsiTheme="majorHAnsi"/>
          <w:sz w:val="20"/>
          <w:szCs w:val="20"/>
        </w:rPr>
      </w:pPr>
      <w:r w:rsidRPr="001C0149">
        <w:rPr>
          <w:rFonts w:asciiTheme="majorHAnsi" w:hAnsiTheme="majorHAnsi"/>
          <w:sz w:val="20"/>
          <w:szCs w:val="20"/>
        </w:rPr>
        <w:t xml:space="preserve">Единые нормы амортизационных отчислений на полное восстановление основных фондов народного хозяйства СССР (Утвержден Постановлением Совмина СССР от 22 октября </w:t>
      </w:r>
      <w:smartTag w:uri="urn:schemas-microsoft-com:office:smarttags" w:element="metricconverter">
        <w:smartTagPr>
          <w:attr w:name="ProductID" w:val="1990 г"/>
        </w:smartTagPr>
        <w:r w:rsidRPr="001C0149">
          <w:rPr>
            <w:rFonts w:asciiTheme="majorHAnsi" w:hAnsiTheme="majorHAnsi"/>
            <w:sz w:val="20"/>
            <w:szCs w:val="20"/>
          </w:rPr>
          <w:t>1990 г</w:t>
        </w:r>
      </w:smartTag>
      <w:r w:rsidRPr="001C0149">
        <w:rPr>
          <w:rFonts w:asciiTheme="majorHAnsi" w:hAnsiTheme="majorHAnsi"/>
          <w:sz w:val="20"/>
          <w:szCs w:val="20"/>
        </w:rPr>
        <w:t>. № 1072), классификатор основных средств.</w:t>
      </w:r>
    </w:p>
    <w:p w:rsidR="00F40B61" w:rsidRPr="001C0149" w:rsidRDefault="00F40B61" w:rsidP="0090764B">
      <w:pPr>
        <w:numPr>
          <w:ilvl w:val="1"/>
          <w:numId w:val="2"/>
        </w:numPr>
        <w:tabs>
          <w:tab w:val="num" w:pos="360"/>
        </w:tabs>
        <w:ind w:left="357" w:hanging="357"/>
        <w:jc w:val="both"/>
        <w:rPr>
          <w:rFonts w:asciiTheme="majorHAnsi" w:hAnsiTheme="majorHAnsi"/>
          <w:sz w:val="20"/>
          <w:szCs w:val="20"/>
        </w:rPr>
      </w:pPr>
      <w:r w:rsidRPr="001C0149">
        <w:rPr>
          <w:rFonts w:asciiTheme="majorHAnsi" w:hAnsiTheme="majorHAnsi"/>
          <w:sz w:val="20"/>
          <w:szCs w:val="20"/>
        </w:rPr>
        <w:t>ФСО 1</w:t>
      </w:r>
    </w:p>
    <w:p w:rsidR="00857F40" w:rsidRPr="001C0149" w:rsidRDefault="00F40B61" w:rsidP="0090764B">
      <w:pPr>
        <w:numPr>
          <w:ilvl w:val="1"/>
          <w:numId w:val="2"/>
        </w:numPr>
        <w:tabs>
          <w:tab w:val="num" w:pos="360"/>
        </w:tabs>
        <w:ind w:left="357" w:hanging="357"/>
        <w:jc w:val="both"/>
        <w:rPr>
          <w:rFonts w:asciiTheme="majorHAnsi" w:hAnsiTheme="majorHAnsi"/>
          <w:sz w:val="20"/>
          <w:szCs w:val="20"/>
        </w:rPr>
      </w:pPr>
      <w:r w:rsidRPr="001C0149">
        <w:rPr>
          <w:rFonts w:asciiTheme="majorHAnsi" w:hAnsiTheme="majorHAnsi"/>
          <w:sz w:val="20"/>
          <w:szCs w:val="20"/>
        </w:rPr>
        <w:t>ФСО 2</w:t>
      </w:r>
    </w:p>
    <w:p w:rsidR="00F40B61" w:rsidRPr="001C0149" w:rsidRDefault="00F40B61" w:rsidP="0090764B">
      <w:pPr>
        <w:numPr>
          <w:ilvl w:val="1"/>
          <w:numId w:val="2"/>
        </w:numPr>
        <w:tabs>
          <w:tab w:val="num" w:pos="360"/>
        </w:tabs>
        <w:ind w:left="357" w:hanging="357"/>
        <w:jc w:val="both"/>
        <w:rPr>
          <w:rFonts w:asciiTheme="majorHAnsi" w:hAnsiTheme="majorHAnsi"/>
          <w:sz w:val="20"/>
          <w:szCs w:val="20"/>
        </w:rPr>
      </w:pPr>
      <w:r w:rsidRPr="001C0149">
        <w:rPr>
          <w:rFonts w:asciiTheme="majorHAnsi" w:eastAsiaTheme="majorEastAsia" w:hAnsiTheme="majorHAnsi" w:cstheme="majorBidi"/>
          <w:bCs/>
          <w:sz w:val="20"/>
          <w:szCs w:val="20"/>
        </w:rPr>
        <w:t>ФСО 3</w:t>
      </w:r>
    </w:p>
    <w:p w:rsidR="00F40B61" w:rsidRPr="001C0149" w:rsidRDefault="00857F40" w:rsidP="001C0149">
      <w:pPr>
        <w:jc w:val="both"/>
        <w:rPr>
          <w:rFonts w:asciiTheme="majorHAnsi" w:eastAsiaTheme="majorEastAsia" w:hAnsiTheme="majorHAnsi" w:cstheme="majorBidi"/>
          <w:bCs/>
          <w:sz w:val="20"/>
          <w:szCs w:val="20"/>
        </w:rPr>
      </w:pPr>
      <w:r w:rsidRPr="001C0149">
        <w:rPr>
          <w:rFonts w:asciiTheme="majorHAnsi" w:eastAsiaTheme="majorEastAsia" w:hAnsiTheme="majorHAnsi" w:cstheme="majorBidi"/>
          <w:bCs/>
          <w:sz w:val="20"/>
          <w:szCs w:val="20"/>
        </w:rPr>
        <w:t>7.</w:t>
      </w:r>
      <w:r w:rsidR="00F40B61" w:rsidRPr="001C0149">
        <w:rPr>
          <w:rFonts w:asciiTheme="majorHAnsi" w:eastAsiaTheme="majorEastAsia" w:hAnsiTheme="majorHAnsi" w:cstheme="majorBidi"/>
          <w:bCs/>
          <w:sz w:val="20"/>
          <w:szCs w:val="20"/>
        </w:rPr>
        <w:t xml:space="preserve">   </w:t>
      </w:r>
      <w:r w:rsidRPr="001C0149">
        <w:rPr>
          <w:rFonts w:asciiTheme="majorHAnsi" w:eastAsiaTheme="majorEastAsia" w:hAnsiTheme="majorHAnsi" w:cstheme="majorBidi"/>
          <w:bCs/>
          <w:sz w:val="20"/>
          <w:szCs w:val="20"/>
        </w:rPr>
        <w:t xml:space="preserve"> </w:t>
      </w:r>
      <w:r w:rsidR="001C0149">
        <w:rPr>
          <w:rFonts w:asciiTheme="majorHAnsi" w:eastAsiaTheme="majorEastAsia" w:hAnsiTheme="majorHAnsi" w:cstheme="majorBidi"/>
          <w:bCs/>
          <w:sz w:val="20"/>
          <w:szCs w:val="20"/>
        </w:rPr>
        <w:t xml:space="preserve"> </w:t>
      </w:r>
      <w:r w:rsidR="00F40B61" w:rsidRPr="001C0149">
        <w:rPr>
          <w:rFonts w:asciiTheme="majorHAnsi" w:eastAsiaTheme="majorEastAsia" w:hAnsiTheme="majorHAnsi" w:cstheme="majorBidi"/>
          <w:bCs/>
          <w:sz w:val="20"/>
          <w:szCs w:val="20"/>
        </w:rPr>
        <w:t xml:space="preserve">ФСО </w:t>
      </w:r>
      <w:r w:rsidR="00865D33">
        <w:rPr>
          <w:rFonts w:asciiTheme="majorHAnsi" w:eastAsiaTheme="majorEastAsia" w:hAnsiTheme="majorHAnsi" w:cstheme="majorBidi"/>
          <w:bCs/>
          <w:sz w:val="20"/>
          <w:szCs w:val="20"/>
        </w:rPr>
        <w:t>7</w:t>
      </w:r>
    </w:p>
    <w:p w:rsidR="00F40B61" w:rsidRPr="001C0149" w:rsidRDefault="00857F40" w:rsidP="001C0149">
      <w:pPr>
        <w:jc w:val="both"/>
        <w:rPr>
          <w:rFonts w:asciiTheme="majorHAnsi" w:eastAsiaTheme="majorEastAsia" w:hAnsiTheme="majorHAnsi" w:cstheme="majorBidi"/>
          <w:bCs/>
          <w:sz w:val="20"/>
          <w:szCs w:val="20"/>
        </w:rPr>
      </w:pPr>
      <w:r w:rsidRPr="001C0149">
        <w:rPr>
          <w:rFonts w:asciiTheme="majorHAnsi" w:eastAsiaTheme="majorEastAsia" w:hAnsiTheme="majorHAnsi" w:cstheme="majorBidi"/>
          <w:bCs/>
          <w:sz w:val="20"/>
          <w:szCs w:val="20"/>
        </w:rPr>
        <w:t>8.</w:t>
      </w:r>
      <w:r w:rsidR="00F40B61" w:rsidRPr="001C0149">
        <w:rPr>
          <w:rFonts w:asciiTheme="majorHAnsi" w:eastAsiaTheme="majorEastAsia" w:hAnsiTheme="majorHAnsi" w:cstheme="majorBidi"/>
          <w:bCs/>
          <w:sz w:val="20"/>
          <w:szCs w:val="20"/>
        </w:rPr>
        <w:t xml:space="preserve">  </w:t>
      </w:r>
      <w:r w:rsidR="001C0149">
        <w:rPr>
          <w:rFonts w:asciiTheme="majorHAnsi" w:eastAsiaTheme="majorEastAsia" w:hAnsiTheme="majorHAnsi" w:cstheme="majorBidi"/>
          <w:bCs/>
          <w:sz w:val="20"/>
          <w:szCs w:val="20"/>
        </w:rPr>
        <w:t xml:space="preserve">  </w:t>
      </w:r>
      <w:r w:rsidR="00F40B61" w:rsidRPr="001C0149">
        <w:rPr>
          <w:rFonts w:asciiTheme="majorHAnsi" w:eastAsiaTheme="majorEastAsia" w:hAnsiTheme="majorHAnsi" w:cstheme="majorBidi"/>
          <w:bCs/>
          <w:sz w:val="20"/>
          <w:szCs w:val="20"/>
        </w:rPr>
        <w:t xml:space="preserve"> Стандарты СРО «МСО»</w:t>
      </w:r>
    </w:p>
    <w:p w:rsidR="00FA44A6" w:rsidRDefault="00FA44A6">
      <w:r>
        <w:br w:type="page"/>
      </w:r>
    </w:p>
    <w:p w:rsidR="00B01DED" w:rsidRDefault="00B01DED" w:rsidP="00B01DED">
      <w:pPr>
        <w:keepNext/>
        <w:keepLines/>
        <w:spacing w:before="100" w:beforeAutospacing="1" w:after="100" w:afterAutospacing="1"/>
        <w:jc w:val="center"/>
        <w:outlineLvl w:val="0"/>
        <w:rPr>
          <w:rFonts w:asciiTheme="majorHAnsi" w:eastAsiaTheme="majorEastAsia" w:hAnsiTheme="majorHAnsi" w:cstheme="majorBidi"/>
          <w:b/>
          <w:bCs/>
          <w:caps/>
          <w:szCs w:val="28"/>
        </w:rPr>
      </w:pPr>
      <w:bookmarkStart w:id="109" w:name="_Toc452380165"/>
      <w:bookmarkStart w:id="110" w:name="_Toc458381922"/>
    </w:p>
    <w:p w:rsidR="00946077" w:rsidRPr="009E545D" w:rsidRDefault="00B01DED" w:rsidP="00946077">
      <w:pPr>
        <w:keepNext/>
        <w:keepLines/>
        <w:spacing w:before="100" w:beforeAutospacing="1" w:after="100" w:afterAutospacing="1"/>
        <w:jc w:val="center"/>
        <w:outlineLvl w:val="0"/>
        <w:rPr>
          <w:rFonts w:asciiTheme="majorHAnsi" w:eastAsiaTheme="majorEastAsia" w:hAnsiTheme="majorHAnsi" w:cstheme="majorBidi"/>
          <w:b/>
          <w:bCs/>
          <w:caps/>
          <w:szCs w:val="28"/>
        </w:rPr>
      </w:pPr>
      <w:bookmarkStart w:id="111" w:name="_Toc491763324"/>
      <w:r w:rsidRPr="00B01DED">
        <w:rPr>
          <w:rFonts w:asciiTheme="majorHAnsi" w:eastAsiaTheme="majorEastAsia" w:hAnsiTheme="majorHAnsi" w:cstheme="majorBidi"/>
          <w:b/>
          <w:bCs/>
          <w:caps/>
          <w:szCs w:val="28"/>
        </w:rPr>
        <w:t>Приложения к отчету</w:t>
      </w:r>
      <w:bookmarkEnd w:id="109"/>
      <w:bookmarkEnd w:id="110"/>
      <w:bookmarkEnd w:id="111"/>
    </w:p>
    <w:p w:rsidR="00946077" w:rsidRPr="009E545D" w:rsidRDefault="00946077" w:rsidP="00946077">
      <w:pPr>
        <w:spacing w:before="120" w:after="120"/>
        <w:jc w:val="center"/>
        <w:rPr>
          <w:rFonts w:asciiTheme="majorHAnsi" w:hAnsiTheme="majorHAnsi"/>
          <w:sz w:val="20"/>
        </w:rPr>
      </w:pPr>
      <w:r w:rsidRPr="009E545D">
        <w:rPr>
          <w:rFonts w:asciiTheme="majorHAnsi" w:hAnsiTheme="majorHAnsi"/>
          <w:noProof/>
          <w:sz w:val="20"/>
        </w:rPr>
        <w:drawing>
          <wp:inline distT="0" distB="0" distL="0" distR="0" wp14:anchorId="1B22F19B" wp14:editId="269B8B0C">
            <wp:extent cx="6081322" cy="8591107"/>
            <wp:effectExtent l="0" t="0" r="0" b="0"/>
            <wp:docPr id="248" name="Рисунок 248" descr="C:\Documents and Settings\User\Рабочий стол\Кристина\ООО Гефест пр. Монтажный\документы Аникин\д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User\Рабочий стол\Кристина\ООО Гефест пр. Монтажный\документы Аникин\док.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089444" cy="8602581"/>
                    </a:xfrm>
                    <a:prstGeom prst="rect">
                      <a:avLst/>
                    </a:prstGeom>
                    <a:noFill/>
                    <a:ln>
                      <a:noFill/>
                    </a:ln>
                  </pic:spPr>
                </pic:pic>
              </a:graphicData>
            </a:graphic>
          </wp:inline>
        </w:drawing>
      </w:r>
    </w:p>
    <w:p w:rsidR="00946077" w:rsidRPr="009E545D" w:rsidRDefault="00946077" w:rsidP="00946077">
      <w:pPr>
        <w:tabs>
          <w:tab w:val="left" w:pos="993"/>
        </w:tabs>
        <w:spacing w:before="120" w:after="120"/>
        <w:ind w:firstLine="709"/>
        <w:jc w:val="both"/>
        <w:rPr>
          <w:rFonts w:asciiTheme="majorHAnsi" w:hAnsiTheme="majorHAnsi"/>
          <w:sz w:val="20"/>
        </w:rPr>
      </w:pPr>
    </w:p>
    <w:p w:rsidR="00946077" w:rsidRPr="009E545D" w:rsidRDefault="00946077" w:rsidP="00946077">
      <w:pPr>
        <w:tabs>
          <w:tab w:val="left" w:pos="993"/>
        </w:tabs>
        <w:spacing w:before="120" w:after="120"/>
        <w:jc w:val="center"/>
        <w:rPr>
          <w:rFonts w:asciiTheme="majorHAnsi" w:hAnsiTheme="majorHAnsi"/>
          <w:sz w:val="20"/>
        </w:rPr>
      </w:pPr>
      <w:r w:rsidRPr="009E545D">
        <w:rPr>
          <w:rFonts w:asciiTheme="majorHAnsi" w:hAnsiTheme="majorHAnsi"/>
          <w:noProof/>
          <w:sz w:val="20"/>
        </w:rPr>
        <w:drawing>
          <wp:inline distT="0" distB="0" distL="0" distR="0" wp14:anchorId="383206A1" wp14:editId="72351BF6">
            <wp:extent cx="5939168" cy="9161253"/>
            <wp:effectExtent l="0" t="0" r="4445" b="1905"/>
            <wp:docPr id="249" name="Рисунок 249" descr="C:\Documents and Settings\User\Рабочий стол\Кристина\ООО Гефест пр. Монтажный\документы Аникин\док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User\Рабочий стол\Кристина\ООО Гефест пр. Монтажный\документы Аникин\док_0008.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39790" cy="9162213"/>
                    </a:xfrm>
                    <a:prstGeom prst="rect">
                      <a:avLst/>
                    </a:prstGeom>
                    <a:noFill/>
                    <a:ln>
                      <a:noFill/>
                    </a:ln>
                  </pic:spPr>
                </pic:pic>
              </a:graphicData>
            </a:graphic>
          </wp:inline>
        </w:drawing>
      </w:r>
    </w:p>
    <w:p w:rsidR="00946077" w:rsidRPr="009E545D" w:rsidRDefault="00946077" w:rsidP="00946077">
      <w:pPr>
        <w:keepNext/>
        <w:keepLines/>
        <w:spacing w:after="120"/>
        <w:jc w:val="center"/>
        <w:outlineLvl w:val="0"/>
        <w:rPr>
          <w:rFonts w:asciiTheme="majorHAnsi" w:eastAsiaTheme="minorHAnsi" w:hAnsiTheme="majorHAnsi" w:cstheme="minorBidi"/>
          <w:sz w:val="20"/>
          <w:szCs w:val="22"/>
          <w:lang w:eastAsia="en-US"/>
        </w:rPr>
      </w:pPr>
    </w:p>
    <w:p w:rsidR="00946077" w:rsidRPr="009E545D" w:rsidRDefault="00946077" w:rsidP="00946077">
      <w:pPr>
        <w:spacing w:before="120" w:after="120"/>
        <w:ind w:left="-284"/>
        <w:jc w:val="center"/>
        <w:rPr>
          <w:rFonts w:asciiTheme="majorHAnsi" w:eastAsiaTheme="minorHAnsi" w:hAnsiTheme="majorHAnsi" w:cstheme="minorBidi"/>
          <w:noProof/>
          <w:sz w:val="20"/>
          <w:szCs w:val="22"/>
          <w:lang w:eastAsia="en-US"/>
        </w:rPr>
      </w:pPr>
      <w:r w:rsidRPr="009E545D">
        <w:rPr>
          <w:noProof/>
        </w:rPr>
        <w:drawing>
          <wp:inline distT="0" distB="0" distL="0" distR="0" wp14:anchorId="7A7EA586" wp14:editId="67A0FAF1">
            <wp:extent cx="6454879" cy="8793126"/>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28186" t="11708" r="38728" b="8128"/>
                    <a:stretch/>
                  </pic:blipFill>
                  <pic:spPr bwMode="auto">
                    <a:xfrm>
                      <a:off x="0" y="0"/>
                      <a:ext cx="6478226" cy="8824930"/>
                    </a:xfrm>
                    <a:prstGeom prst="rect">
                      <a:avLst/>
                    </a:prstGeom>
                    <a:ln>
                      <a:noFill/>
                    </a:ln>
                    <a:extLst>
                      <a:ext uri="{53640926-AAD7-44D8-BBD7-CCE9431645EC}">
                        <a14:shadowObscured xmlns:a14="http://schemas.microsoft.com/office/drawing/2010/main"/>
                      </a:ext>
                    </a:extLst>
                  </pic:spPr>
                </pic:pic>
              </a:graphicData>
            </a:graphic>
          </wp:inline>
        </w:drawing>
      </w:r>
    </w:p>
    <w:p w:rsidR="00946077" w:rsidRPr="009E545D" w:rsidRDefault="00946077" w:rsidP="00946077">
      <w:pPr>
        <w:spacing w:before="120" w:after="120"/>
        <w:ind w:left="-284"/>
        <w:jc w:val="center"/>
        <w:rPr>
          <w:rFonts w:asciiTheme="majorHAnsi" w:eastAsiaTheme="minorHAnsi" w:hAnsiTheme="majorHAnsi" w:cstheme="minorBidi"/>
          <w:noProof/>
          <w:sz w:val="20"/>
          <w:szCs w:val="22"/>
          <w:lang w:eastAsia="en-US"/>
        </w:rPr>
      </w:pPr>
      <w:r w:rsidRPr="009E545D">
        <w:rPr>
          <w:noProof/>
        </w:rPr>
        <w:lastRenderedPageBreak/>
        <w:drawing>
          <wp:inline distT="0" distB="0" distL="0" distR="0" wp14:anchorId="25C7D3BB" wp14:editId="7E128126">
            <wp:extent cx="6263232" cy="9377916"/>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30886" t="10807" r="37887" b="6033"/>
                    <a:stretch/>
                  </pic:blipFill>
                  <pic:spPr bwMode="auto">
                    <a:xfrm>
                      <a:off x="0" y="0"/>
                      <a:ext cx="6285282" cy="9410931"/>
                    </a:xfrm>
                    <a:prstGeom prst="rect">
                      <a:avLst/>
                    </a:prstGeom>
                    <a:ln>
                      <a:noFill/>
                    </a:ln>
                    <a:extLst>
                      <a:ext uri="{53640926-AAD7-44D8-BBD7-CCE9431645EC}">
                        <a14:shadowObscured xmlns:a14="http://schemas.microsoft.com/office/drawing/2010/main"/>
                      </a:ext>
                    </a:extLst>
                  </pic:spPr>
                </pic:pic>
              </a:graphicData>
            </a:graphic>
          </wp:inline>
        </w:drawing>
      </w:r>
    </w:p>
    <w:p w:rsidR="00946077" w:rsidRPr="009E545D" w:rsidRDefault="00946077" w:rsidP="00946077">
      <w:pPr>
        <w:tabs>
          <w:tab w:val="left" w:pos="1656"/>
        </w:tabs>
        <w:jc w:val="center"/>
        <w:rPr>
          <w:b/>
        </w:rPr>
      </w:pPr>
    </w:p>
    <w:p w:rsidR="00946077" w:rsidRPr="009E545D" w:rsidRDefault="00946077" w:rsidP="00946077">
      <w:pPr>
        <w:tabs>
          <w:tab w:val="left" w:pos="1656"/>
        </w:tabs>
        <w:jc w:val="center"/>
        <w:rPr>
          <w:b/>
        </w:rPr>
      </w:pPr>
    </w:p>
    <w:p w:rsidR="00946077" w:rsidRPr="009E545D" w:rsidRDefault="00946077" w:rsidP="00946077">
      <w:pPr>
        <w:tabs>
          <w:tab w:val="left" w:pos="1656"/>
        </w:tabs>
        <w:jc w:val="center"/>
        <w:rPr>
          <w:b/>
        </w:rPr>
      </w:pPr>
      <w:r w:rsidRPr="009E545D">
        <w:rPr>
          <w:noProof/>
        </w:rPr>
        <w:drawing>
          <wp:inline distT="0" distB="0" distL="0" distR="0" wp14:anchorId="26F1954E" wp14:editId="1CF9869D">
            <wp:extent cx="5935345" cy="8618220"/>
            <wp:effectExtent l="0" t="0" r="8255" b="0"/>
            <wp:docPr id="252" name="Рисунок 252"/>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rotWithShape="1">
                    <a:blip r:embed="rId139"/>
                    <a:srcRect l="31697" t="15931" r="37534" b="12587"/>
                    <a:stretch/>
                  </pic:blipFill>
                  <pic:spPr bwMode="auto">
                    <a:xfrm>
                      <a:off x="0" y="0"/>
                      <a:ext cx="5935345" cy="8618220"/>
                    </a:xfrm>
                    <a:prstGeom prst="rect">
                      <a:avLst/>
                    </a:prstGeom>
                    <a:ln>
                      <a:noFill/>
                    </a:ln>
                    <a:extLst>
                      <a:ext uri="{53640926-AAD7-44D8-BBD7-CCE9431645EC}">
                        <a14:shadowObscured xmlns:a14="http://schemas.microsoft.com/office/drawing/2010/main"/>
                      </a:ext>
                    </a:extLst>
                  </pic:spPr>
                </pic:pic>
              </a:graphicData>
            </a:graphic>
          </wp:inline>
        </w:drawing>
      </w:r>
    </w:p>
    <w:p w:rsidR="00946077" w:rsidRPr="009E545D" w:rsidRDefault="00946077" w:rsidP="00946077">
      <w:pPr>
        <w:tabs>
          <w:tab w:val="left" w:pos="1656"/>
        </w:tabs>
        <w:jc w:val="center"/>
        <w:rPr>
          <w:b/>
        </w:rPr>
      </w:pPr>
    </w:p>
    <w:p w:rsidR="00946077" w:rsidRPr="009E545D" w:rsidRDefault="00946077" w:rsidP="00946077">
      <w:pPr>
        <w:tabs>
          <w:tab w:val="left" w:pos="1656"/>
        </w:tabs>
        <w:jc w:val="center"/>
        <w:rPr>
          <w:b/>
        </w:rPr>
      </w:pPr>
    </w:p>
    <w:p w:rsidR="00946077" w:rsidRPr="009E545D" w:rsidRDefault="00946077" w:rsidP="00946077">
      <w:pPr>
        <w:keepNext/>
        <w:keepLines/>
        <w:spacing w:before="100" w:beforeAutospacing="1" w:after="100" w:afterAutospacing="1"/>
        <w:jc w:val="center"/>
        <w:outlineLvl w:val="0"/>
        <w:rPr>
          <w:b/>
        </w:rPr>
      </w:pPr>
    </w:p>
    <w:p w:rsidR="00946077" w:rsidRPr="009E545D" w:rsidRDefault="00946077" w:rsidP="00946077">
      <w:pPr>
        <w:keepNext/>
        <w:keepLines/>
        <w:spacing w:before="100" w:beforeAutospacing="1" w:after="100" w:afterAutospacing="1"/>
        <w:jc w:val="center"/>
        <w:outlineLvl w:val="0"/>
        <w:rPr>
          <w:rFonts w:asciiTheme="majorHAnsi" w:eastAsiaTheme="majorEastAsia" w:hAnsiTheme="majorHAnsi" w:cstheme="majorBidi"/>
          <w:bCs/>
          <w:sz w:val="28"/>
          <w:szCs w:val="28"/>
        </w:rPr>
      </w:pPr>
      <w:bookmarkStart w:id="112" w:name="_Toc488818961"/>
      <w:bookmarkStart w:id="113" w:name="_Toc489031731"/>
      <w:bookmarkStart w:id="114" w:name="_Toc491763325"/>
      <w:r w:rsidRPr="009E545D">
        <w:rPr>
          <w:rFonts w:asciiTheme="majorHAnsi" w:eastAsiaTheme="majorEastAsia" w:hAnsiTheme="majorHAnsi" w:cstheme="majorBidi"/>
          <w:b/>
          <w:bCs/>
          <w:noProof/>
          <w:sz w:val="28"/>
          <w:szCs w:val="28"/>
        </w:rPr>
        <w:drawing>
          <wp:inline distT="0" distB="0" distL="0" distR="0" wp14:anchorId="2BADEE22" wp14:editId="4A955190">
            <wp:extent cx="6053455" cy="8618220"/>
            <wp:effectExtent l="0" t="0" r="4445" b="0"/>
            <wp:docPr id="253" name="Рисунок 253"/>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rotWithShape="1">
                    <a:blip r:embed="rId140"/>
                    <a:srcRect l="32960" t="21317" r="34020" b="8767"/>
                    <a:stretch/>
                  </pic:blipFill>
                  <pic:spPr bwMode="auto">
                    <a:xfrm>
                      <a:off x="0" y="0"/>
                      <a:ext cx="6053455" cy="8618220"/>
                    </a:xfrm>
                    <a:prstGeom prst="rect">
                      <a:avLst/>
                    </a:prstGeom>
                    <a:ln>
                      <a:noFill/>
                    </a:ln>
                    <a:extLst>
                      <a:ext uri="{53640926-AAD7-44D8-BBD7-CCE9431645EC}">
                        <a14:shadowObscured xmlns:a14="http://schemas.microsoft.com/office/drawing/2010/main"/>
                      </a:ext>
                    </a:extLst>
                  </pic:spPr>
                </pic:pic>
              </a:graphicData>
            </a:graphic>
          </wp:inline>
        </w:drawing>
      </w:r>
      <w:bookmarkEnd w:id="112"/>
      <w:bookmarkEnd w:id="113"/>
      <w:bookmarkEnd w:id="114"/>
    </w:p>
    <w:p w:rsidR="003262B9" w:rsidRDefault="003262B9" w:rsidP="00946077">
      <w:pPr>
        <w:keepNext/>
        <w:keepLines/>
        <w:spacing w:before="100" w:beforeAutospacing="1" w:after="100" w:afterAutospacing="1"/>
        <w:jc w:val="center"/>
        <w:outlineLvl w:val="0"/>
        <w:rPr>
          <w:b/>
        </w:rPr>
      </w:pPr>
    </w:p>
    <w:p w:rsidR="00700821" w:rsidRDefault="00700821" w:rsidP="00B01DED">
      <w:pPr>
        <w:tabs>
          <w:tab w:val="left" w:pos="1656"/>
        </w:tabs>
        <w:jc w:val="center"/>
        <w:rPr>
          <w:b/>
        </w:rPr>
      </w:pPr>
    </w:p>
    <w:p w:rsidR="00700821" w:rsidRDefault="00700821" w:rsidP="00B01DED">
      <w:pPr>
        <w:tabs>
          <w:tab w:val="left" w:pos="1656"/>
        </w:tabs>
        <w:jc w:val="center"/>
        <w:rPr>
          <w:b/>
        </w:rPr>
      </w:pPr>
    </w:p>
    <w:p w:rsidR="00700821" w:rsidRDefault="00700821"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59034C" w:rsidRDefault="0059034C" w:rsidP="00B01DED">
      <w:pPr>
        <w:tabs>
          <w:tab w:val="left" w:pos="1656"/>
        </w:tabs>
        <w:jc w:val="center"/>
        <w:rPr>
          <w:b/>
        </w:rPr>
      </w:pPr>
    </w:p>
    <w:p w:rsidR="00700821" w:rsidRDefault="00700821" w:rsidP="00B01DED">
      <w:pPr>
        <w:tabs>
          <w:tab w:val="left" w:pos="1656"/>
        </w:tabs>
        <w:jc w:val="center"/>
        <w:rPr>
          <w:b/>
        </w:rPr>
      </w:pPr>
      <w:r>
        <w:rPr>
          <w:b/>
        </w:rPr>
        <w:t>КОПИИ ДОКУМЕНТОВ, ПРЕДСТАВЛЕННЫХ ДЛЯ ПРОВЕДЕНИЯ ОЦЕНКИ</w:t>
      </w:r>
    </w:p>
    <w:p w:rsidR="0042732E" w:rsidRDefault="0042732E" w:rsidP="00B01DED">
      <w:pPr>
        <w:tabs>
          <w:tab w:val="left" w:pos="1656"/>
        </w:tabs>
        <w:jc w:val="center"/>
        <w:rPr>
          <w:b/>
        </w:rPr>
      </w:pPr>
    </w:p>
    <w:p w:rsidR="0042732E" w:rsidRDefault="0042732E" w:rsidP="00B01DED">
      <w:pPr>
        <w:tabs>
          <w:tab w:val="left" w:pos="1656"/>
        </w:tabs>
        <w:jc w:val="center"/>
        <w:rPr>
          <w:b/>
        </w:rPr>
      </w:pPr>
    </w:p>
    <w:p w:rsidR="0042732E" w:rsidRDefault="0042732E" w:rsidP="00B01DED">
      <w:pPr>
        <w:tabs>
          <w:tab w:val="left" w:pos="1656"/>
        </w:tabs>
        <w:jc w:val="center"/>
        <w:rPr>
          <w:b/>
        </w:rPr>
      </w:pPr>
    </w:p>
    <w:p w:rsidR="0042732E" w:rsidRDefault="0042732E" w:rsidP="00B01DED">
      <w:pPr>
        <w:tabs>
          <w:tab w:val="left" w:pos="1656"/>
        </w:tabs>
        <w:jc w:val="center"/>
        <w:rPr>
          <w:b/>
        </w:rPr>
      </w:pPr>
    </w:p>
    <w:p w:rsidR="0042732E" w:rsidRDefault="0042732E" w:rsidP="00B01DED">
      <w:pPr>
        <w:tabs>
          <w:tab w:val="left" w:pos="1656"/>
        </w:tabs>
        <w:jc w:val="center"/>
        <w:rPr>
          <w:b/>
        </w:rPr>
      </w:pPr>
    </w:p>
    <w:p w:rsidR="00460BD7" w:rsidRDefault="00460BD7" w:rsidP="00B01DED">
      <w:pPr>
        <w:tabs>
          <w:tab w:val="left" w:pos="1656"/>
        </w:tabs>
        <w:jc w:val="center"/>
        <w:rPr>
          <w:b/>
        </w:rPr>
      </w:pPr>
    </w:p>
    <w:p w:rsidR="0042732E" w:rsidRDefault="0042732E" w:rsidP="00B01DED">
      <w:pPr>
        <w:tabs>
          <w:tab w:val="left" w:pos="1656"/>
        </w:tabs>
        <w:jc w:val="center"/>
        <w:rPr>
          <w:b/>
        </w:rPr>
      </w:pPr>
    </w:p>
    <w:p w:rsidR="0042732E" w:rsidRDefault="0042732E" w:rsidP="00B01DED">
      <w:pPr>
        <w:tabs>
          <w:tab w:val="left" w:pos="1656"/>
        </w:tabs>
        <w:jc w:val="center"/>
        <w:rPr>
          <w:b/>
        </w:rPr>
      </w:pPr>
    </w:p>
    <w:p w:rsidR="0042732E" w:rsidRDefault="0042732E" w:rsidP="00B01DED">
      <w:pPr>
        <w:tabs>
          <w:tab w:val="left" w:pos="1656"/>
        </w:tabs>
        <w:jc w:val="center"/>
        <w:rPr>
          <w:b/>
        </w:rPr>
      </w:pPr>
    </w:p>
    <w:p w:rsidR="0042732E" w:rsidRDefault="0042732E" w:rsidP="00B01DED">
      <w:pPr>
        <w:tabs>
          <w:tab w:val="left" w:pos="1656"/>
        </w:tabs>
        <w:jc w:val="center"/>
        <w:rPr>
          <w:b/>
        </w:rPr>
      </w:pPr>
    </w:p>
    <w:p w:rsidR="0042732E" w:rsidRDefault="0042732E" w:rsidP="00B01DED">
      <w:pPr>
        <w:tabs>
          <w:tab w:val="left" w:pos="1656"/>
        </w:tabs>
        <w:jc w:val="center"/>
        <w:rPr>
          <w:b/>
        </w:rPr>
      </w:pPr>
    </w:p>
    <w:p w:rsidR="0042732E" w:rsidRDefault="0042732E" w:rsidP="00B01DED">
      <w:pPr>
        <w:tabs>
          <w:tab w:val="left" w:pos="1656"/>
        </w:tabs>
        <w:jc w:val="center"/>
        <w:rPr>
          <w:b/>
        </w:rPr>
      </w:pPr>
    </w:p>
    <w:p w:rsidR="0042732E" w:rsidRDefault="0042732E" w:rsidP="00B01DED">
      <w:pPr>
        <w:tabs>
          <w:tab w:val="left" w:pos="1656"/>
        </w:tabs>
        <w:jc w:val="center"/>
        <w:rPr>
          <w:b/>
        </w:rPr>
      </w:pPr>
    </w:p>
    <w:p w:rsidR="0042732E" w:rsidRDefault="0042732E" w:rsidP="00B01DED">
      <w:pPr>
        <w:tabs>
          <w:tab w:val="left" w:pos="1656"/>
        </w:tabs>
        <w:jc w:val="center"/>
        <w:rPr>
          <w:b/>
        </w:rPr>
      </w:pPr>
    </w:p>
    <w:p w:rsidR="00700821" w:rsidRDefault="00700821" w:rsidP="00B01DED">
      <w:pPr>
        <w:tabs>
          <w:tab w:val="left" w:pos="1656"/>
        </w:tabs>
        <w:jc w:val="center"/>
        <w:rPr>
          <w:b/>
        </w:rPr>
      </w:pPr>
    </w:p>
    <w:p w:rsidR="00700821" w:rsidRDefault="00700821" w:rsidP="00B01DED">
      <w:pPr>
        <w:tabs>
          <w:tab w:val="left" w:pos="1656"/>
        </w:tabs>
        <w:jc w:val="center"/>
        <w:rPr>
          <w:b/>
        </w:rPr>
      </w:pPr>
    </w:p>
    <w:p w:rsidR="00E872AB" w:rsidRDefault="00E872AB" w:rsidP="00B01DED">
      <w:pPr>
        <w:tabs>
          <w:tab w:val="left" w:pos="1656"/>
        </w:tabs>
        <w:jc w:val="center"/>
        <w:rPr>
          <w:b/>
        </w:rPr>
      </w:pPr>
    </w:p>
    <w:p w:rsidR="00E872AB" w:rsidRDefault="00E872AB" w:rsidP="00B01DED">
      <w:pPr>
        <w:tabs>
          <w:tab w:val="left" w:pos="1656"/>
        </w:tabs>
        <w:jc w:val="center"/>
        <w:rPr>
          <w:b/>
        </w:rPr>
      </w:pPr>
    </w:p>
    <w:p w:rsidR="00E872AB" w:rsidRDefault="00E872AB" w:rsidP="0059034C">
      <w:pPr>
        <w:tabs>
          <w:tab w:val="left" w:pos="1656"/>
        </w:tabs>
        <w:jc w:val="center"/>
        <w:rPr>
          <w:b/>
        </w:rPr>
      </w:pPr>
    </w:p>
    <w:p w:rsidR="00E872AB" w:rsidRDefault="00E872AB" w:rsidP="00B01DED">
      <w:pPr>
        <w:tabs>
          <w:tab w:val="left" w:pos="1656"/>
        </w:tabs>
        <w:jc w:val="center"/>
        <w:rPr>
          <w:b/>
        </w:rPr>
      </w:pPr>
    </w:p>
    <w:p w:rsidR="00E872AB" w:rsidRDefault="00E872AB"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75E5F635" wp14:editId="63B90B5C">
            <wp:extent cx="5714936" cy="8443355"/>
            <wp:effectExtent l="0" t="0" r="635"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34170" t="13281" r="35907" b="15990"/>
                    <a:stretch/>
                  </pic:blipFill>
                  <pic:spPr bwMode="auto">
                    <a:xfrm>
                      <a:off x="0" y="0"/>
                      <a:ext cx="5714940" cy="8443360"/>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0880C567" wp14:editId="570D55BB">
            <wp:extent cx="6125325" cy="8645237"/>
            <wp:effectExtent l="0" t="0" r="8890" b="381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34363" t="17297" r="35135" b="13828"/>
                    <a:stretch/>
                  </pic:blipFill>
                  <pic:spPr bwMode="auto">
                    <a:xfrm>
                      <a:off x="0" y="0"/>
                      <a:ext cx="6126418" cy="8646780"/>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399B9184" wp14:editId="1E098955">
            <wp:extent cx="5740796" cy="7920842"/>
            <wp:effectExtent l="0" t="0" r="0" b="444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34170" t="20384" r="35237" b="12082"/>
                    <a:stretch/>
                  </pic:blipFill>
                  <pic:spPr bwMode="auto">
                    <a:xfrm>
                      <a:off x="0" y="0"/>
                      <a:ext cx="5761528" cy="7949446"/>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2C263F98" wp14:editId="2A6BAF10">
            <wp:extent cx="5462226" cy="8455232"/>
            <wp:effectExtent l="0" t="0" r="5715" b="317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l="35521" t="17297" r="36294" b="12901"/>
                    <a:stretch/>
                  </pic:blipFill>
                  <pic:spPr bwMode="auto">
                    <a:xfrm>
                      <a:off x="0" y="0"/>
                      <a:ext cx="5465610" cy="8460470"/>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r>
        <w:rPr>
          <w:noProof/>
        </w:rPr>
        <w:drawing>
          <wp:inline distT="0" distB="0" distL="0" distR="0" wp14:anchorId="544CC0FF" wp14:editId="29A2DB76">
            <wp:extent cx="6027456" cy="8407729"/>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l="34170" t="16988" r="35521" b="15373"/>
                    <a:stretch/>
                  </pic:blipFill>
                  <pic:spPr bwMode="auto">
                    <a:xfrm>
                      <a:off x="0" y="0"/>
                      <a:ext cx="6040214" cy="8425526"/>
                    </a:xfrm>
                    <a:prstGeom prst="rect">
                      <a:avLst/>
                    </a:prstGeom>
                    <a:ln>
                      <a:noFill/>
                    </a:ln>
                    <a:extLst>
                      <a:ext uri="{53640926-AAD7-44D8-BBD7-CCE9431645EC}">
                        <a14:shadowObscured xmlns:a14="http://schemas.microsoft.com/office/drawing/2010/main"/>
                      </a:ext>
                    </a:extLst>
                  </pic:spPr>
                </pic:pic>
              </a:graphicData>
            </a:graphic>
          </wp:inline>
        </w:drawing>
      </w: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r>
        <w:rPr>
          <w:noProof/>
        </w:rPr>
        <w:drawing>
          <wp:inline distT="0" distB="0" distL="0" distR="0" wp14:anchorId="7C04C5DB" wp14:editId="7AC33958">
            <wp:extent cx="5899005" cy="8752114"/>
            <wp:effectExtent l="0" t="0" r="6985"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33926" t="17914" r="35807" b="11770"/>
                    <a:stretch/>
                  </pic:blipFill>
                  <pic:spPr bwMode="auto">
                    <a:xfrm>
                      <a:off x="0" y="0"/>
                      <a:ext cx="5922248" cy="8786599"/>
                    </a:xfrm>
                    <a:prstGeom prst="rect">
                      <a:avLst/>
                    </a:prstGeom>
                    <a:ln>
                      <a:noFill/>
                    </a:ln>
                    <a:extLst>
                      <a:ext uri="{53640926-AAD7-44D8-BBD7-CCE9431645EC}">
                        <a14:shadowObscured xmlns:a14="http://schemas.microsoft.com/office/drawing/2010/main"/>
                      </a:ext>
                    </a:extLst>
                  </pic:spPr>
                </pic:pic>
              </a:graphicData>
            </a:graphic>
          </wp:inline>
        </w:drawing>
      </w: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noProof/>
        </w:rPr>
      </w:pPr>
    </w:p>
    <w:p w:rsidR="008303F0" w:rsidRDefault="008303F0" w:rsidP="00B01DED">
      <w:pPr>
        <w:tabs>
          <w:tab w:val="left" w:pos="1656"/>
        </w:tabs>
        <w:jc w:val="center"/>
        <w:rPr>
          <w:b/>
        </w:rPr>
      </w:pPr>
      <w:r>
        <w:rPr>
          <w:noProof/>
        </w:rPr>
        <w:drawing>
          <wp:inline distT="0" distB="0" distL="0" distR="0" wp14:anchorId="201DBB43" wp14:editId="223B3AD9">
            <wp:extent cx="5860225" cy="8122722"/>
            <wp:effectExtent l="0" t="0" r="762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33784" t="18223" r="35714" b="14136"/>
                    <a:stretch/>
                  </pic:blipFill>
                  <pic:spPr bwMode="auto">
                    <a:xfrm>
                      <a:off x="0" y="0"/>
                      <a:ext cx="5861272" cy="8124173"/>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r>
        <w:rPr>
          <w:noProof/>
        </w:rPr>
        <w:drawing>
          <wp:inline distT="0" distB="0" distL="0" distR="0" wp14:anchorId="670E4E61" wp14:editId="4B30E9A0">
            <wp:extent cx="5605154" cy="8276070"/>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l="34749" t="24400" r="36396" b="7436"/>
                    <a:stretch/>
                  </pic:blipFill>
                  <pic:spPr bwMode="auto">
                    <a:xfrm>
                      <a:off x="0" y="0"/>
                      <a:ext cx="5623843" cy="8303665"/>
                    </a:xfrm>
                    <a:prstGeom prst="rect">
                      <a:avLst/>
                    </a:prstGeom>
                    <a:ln>
                      <a:noFill/>
                    </a:ln>
                    <a:extLst>
                      <a:ext uri="{53640926-AAD7-44D8-BBD7-CCE9431645EC}">
                        <a14:shadowObscured xmlns:a14="http://schemas.microsoft.com/office/drawing/2010/main"/>
                      </a:ext>
                    </a:extLst>
                  </pic:spPr>
                </pic:pic>
              </a:graphicData>
            </a:graphic>
          </wp:inline>
        </w:drawing>
      </w: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r>
        <w:rPr>
          <w:noProof/>
        </w:rPr>
        <w:drawing>
          <wp:inline distT="0" distB="0" distL="0" distR="0" wp14:anchorId="2038194B" wp14:editId="2A3CAA8F">
            <wp:extent cx="5843355" cy="8514608"/>
            <wp:effectExtent l="0" t="0" r="5080" b="127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l="32239" t="15752" r="33977" b="5488"/>
                    <a:stretch/>
                  </pic:blipFill>
                  <pic:spPr bwMode="auto">
                    <a:xfrm>
                      <a:off x="0" y="0"/>
                      <a:ext cx="5852248" cy="8527566"/>
                    </a:xfrm>
                    <a:prstGeom prst="rect">
                      <a:avLst/>
                    </a:prstGeom>
                    <a:ln>
                      <a:noFill/>
                    </a:ln>
                    <a:extLst>
                      <a:ext uri="{53640926-AAD7-44D8-BBD7-CCE9431645EC}">
                        <a14:shadowObscured xmlns:a14="http://schemas.microsoft.com/office/drawing/2010/main"/>
                      </a:ext>
                    </a:extLst>
                  </pic:spPr>
                </pic:pic>
              </a:graphicData>
            </a:graphic>
          </wp:inline>
        </w:drawing>
      </w: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noProof/>
        </w:rPr>
      </w:pPr>
    </w:p>
    <w:p w:rsidR="008303F0" w:rsidRDefault="008303F0" w:rsidP="00B01DED">
      <w:pPr>
        <w:tabs>
          <w:tab w:val="left" w:pos="1656"/>
        </w:tabs>
        <w:jc w:val="center"/>
        <w:rPr>
          <w:b/>
        </w:rPr>
      </w:pPr>
      <w:r>
        <w:rPr>
          <w:noProof/>
        </w:rPr>
        <w:drawing>
          <wp:inline distT="0" distB="0" distL="0" distR="0" wp14:anchorId="44B602B4" wp14:editId="7EAB739F">
            <wp:extent cx="5862154" cy="8360229"/>
            <wp:effectExtent l="0" t="0" r="5715" b="317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l="33204" t="16061" r="32819" b="6415"/>
                    <a:stretch/>
                  </pic:blipFill>
                  <pic:spPr bwMode="auto">
                    <a:xfrm>
                      <a:off x="0" y="0"/>
                      <a:ext cx="5866716" cy="8366735"/>
                    </a:xfrm>
                    <a:prstGeom prst="rect">
                      <a:avLst/>
                    </a:prstGeom>
                    <a:ln>
                      <a:noFill/>
                    </a:ln>
                    <a:extLst>
                      <a:ext uri="{53640926-AAD7-44D8-BBD7-CCE9431645EC}">
                        <a14:shadowObscured xmlns:a14="http://schemas.microsoft.com/office/drawing/2010/main"/>
                      </a:ext>
                    </a:extLst>
                  </pic:spPr>
                </pic:pic>
              </a:graphicData>
            </a:graphic>
          </wp:inline>
        </w:drawing>
      </w: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r>
        <w:rPr>
          <w:noProof/>
        </w:rPr>
        <w:drawing>
          <wp:inline distT="0" distB="0" distL="0" distR="0" wp14:anchorId="3C769AD9" wp14:editId="7015A6E0">
            <wp:extent cx="5900024" cy="8372104"/>
            <wp:effectExtent l="0" t="0" r="571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l="32239" t="13898" r="33205" b="7650"/>
                    <a:stretch/>
                  </pic:blipFill>
                  <pic:spPr bwMode="auto">
                    <a:xfrm>
                      <a:off x="0" y="0"/>
                      <a:ext cx="5901076" cy="8373597"/>
                    </a:xfrm>
                    <a:prstGeom prst="rect">
                      <a:avLst/>
                    </a:prstGeom>
                    <a:ln>
                      <a:noFill/>
                    </a:ln>
                    <a:extLst>
                      <a:ext uri="{53640926-AAD7-44D8-BBD7-CCE9431645EC}">
                        <a14:shadowObscured xmlns:a14="http://schemas.microsoft.com/office/drawing/2010/main"/>
                      </a:ext>
                    </a:extLst>
                  </pic:spPr>
                </pic:pic>
              </a:graphicData>
            </a:graphic>
          </wp:inline>
        </w:drawing>
      </w: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r>
        <w:rPr>
          <w:noProof/>
        </w:rPr>
        <w:drawing>
          <wp:inline distT="0" distB="0" distL="0" distR="0" wp14:anchorId="7C3FE288" wp14:editId="00D68754">
            <wp:extent cx="6075770" cy="8621486"/>
            <wp:effectExtent l="0" t="0" r="1270" b="825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l="32432" t="15135" r="33011" b="6415"/>
                    <a:stretch/>
                  </pic:blipFill>
                  <pic:spPr bwMode="auto">
                    <a:xfrm>
                      <a:off x="0" y="0"/>
                      <a:ext cx="6078774" cy="8625748"/>
                    </a:xfrm>
                    <a:prstGeom prst="rect">
                      <a:avLst/>
                    </a:prstGeom>
                    <a:ln>
                      <a:noFill/>
                    </a:ln>
                    <a:extLst>
                      <a:ext uri="{53640926-AAD7-44D8-BBD7-CCE9431645EC}">
                        <a14:shadowObscured xmlns:a14="http://schemas.microsoft.com/office/drawing/2010/main"/>
                      </a:ext>
                    </a:extLst>
                  </pic:spPr>
                </pic:pic>
              </a:graphicData>
            </a:graphic>
          </wp:inline>
        </w:drawing>
      </w: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r>
        <w:rPr>
          <w:noProof/>
        </w:rPr>
        <w:drawing>
          <wp:inline distT="0" distB="0" distL="0" distR="0" wp14:anchorId="3AC1460C" wp14:editId="71DDF085">
            <wp:extent cx="5966908" cy="8645237"/>
            <wp:effectExtent l="0" t="0" r="0" b="381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a:srcRect l="32047" t="13590" r="33976" b="7650"/>
                    <a:stretch/>
                  </pic:blipFill>
                  <pic:spPr bwMode="auto">
                    <a:xfrm>
                      <a:off x="0" y="0"/>
                      <a:ext cx="5974509" cy="8656250"/>
                    </a:xfrm>
                    <a:prstGeom prst="rect">
                      <a:avLst/>
                    </a:prstGeom>
                    <a:ln>
                      <a:noFill/>
                    </a:ln>
                    <a:extLst>
                      <a:ext uri="{53640926-AAD7-44D8-BBD7-CCE9431645EC}">
                        <a14:shadowObscured xmlns:a14="http://schemas.microsoft.com/office/drawing/2010/main"/>
                      </a:ext>
                    </a:extLst>
                  </pic:spPr>
                </pic:pic>
              </a:graphicData>
            </a:graphic>
          </wp:inline>
        </w:drawing>
      </w: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r>
        <w:rPr>
          <w:noProof/>
        </w:rPr>
        <w:drawing>
          <wp:inline distT="0" distB="0" distL="0" distR="0" wp14:anchorId="75A80C22" wp14:editId="0D3A4260">
            <wp:extent cx="5943251" cy="8419605"/>
            <wp:effectExtent l="0" t="0" r="635" b="63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32047" t="15752" r="33205" b="5488"/>
                    <a:stretch/>
                  </pic:blipFill>
                  <pic:spPr bwMode="auto">
                    <a:xfrm>
                      <a:off x="0" y="0"/>
                      <a:ext cx="5944309" cy="8421104"/>
                    </a:xfrm>
                    <a:prstGeom prst="rect">
                      <a:avLst/>
                    </a:prstGeom>
                    <a:ln>
                      <a:noFill/>
                    </a:ln>
                    <a:extLst>
                      <a:ext uri="{53640926-AAD7-44D8-BBD7-CCE9431645EC}">
                        <a14:shadowObscured xmlns:a14="http://schemas.microsoft.com/office/drawing/2010/main"/>
                      </a:ext>
                    </a:extLst>
                  </pic:spPr>
                </pic:pic>
              </a:graphicData>
            </a:graphic>
          </wp:inline>
        </w:drawing>
      </w: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p>
    <w:p w:rsidR="008303F0" w:rsidRDefault="008303F0" w:rsidP="00B01DED">
      <w:pPr>
        <w:tabs>
          <w:tab w:val="left" w:pos="1656"/>
        </w:tabs>
        <w:jc w:val="center"/>
        <w:rPr>
          <w:b/>
        </w:rPr>
      </w:pPr>
      <w:r>
        <w:rPr>
          <w:noProof/>
        </w:rPr>
        <w:drawing>
          <wp:inline distT="0" distB="0" distL="0" distR="0" wp14:anchorId="1B40E543" wp14:editId="63B4800C">
            <wp:extent cx="6018240" cy="8182099"/>
            <wp:effectExtent l="0" t="0" r="1905"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l="32625" t="17297" r="33012" b="7960"/>
                    <a:stretch/>
                  </pic:blipFill>
                  <pic:spPr bwMode="auto">
                    <a:xfrm>
                      <a:off x="0" y="0"/>
                      <a:ext cx="6019313" cy="8183558"/>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E872AB" w:rsidRDefault="00E872AB" w:rsidP="00B01DED">
      <w:pPr>
        <w:tabs>
          <w:tab w:val="left" w:pos="1656"/>
        </w:tabs>
        <w:jc w:val="center"/>
        <w:rPr>
          <w:b/>
        </w:rPr>
      </w:pPr>
    </w:p>
    <w:p w:rsidR="00E872AB" w:rsidRDefault="00460BD7" w:rsidP="00B01DED">
      <w:pPr>
        <w:tabs>
          <w:tab w:val="left" w:pos="1656"/>
        </w:tabs>
        <w:jc w:val="center"/>
        <w:rPr>
          <w:b/>
        </w:rPr>
      </w:pPr>
      <w:r>
        <w:rPr>
          <w:noProof/>
        </w:rPr>
        <w:drawing>
          <wp:inline distT="0" distB="0" distL="0" distR="0" wp14:anchorId="2AFAB4FC" wp14:editId="7A26BAC0">
            <wp:extent cx="6399845" cy="8241475"/>
            <wp:effectExtent l="0" t="0" r="1270" b="762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26255" t="13590" r="27799" b="5796"/>
                    <a:stretch/>
                  </pic:blipFill>
                  <pic:spPr bwMode="auto">
                    <a:xfrm>
                      <a:off x="0" y="0"/>
                      <a:ext cx="6402234" cy="8244552"/>
                    </a:xfrm>
                    <a:prstGeom prst="rect">
                      <a:avLst/>
                    </a:prstGeom>
                    <a:ln>
                      <a:noFill/>
                    </a:ln>
                    <a:extLst>
                      <a:ext uri="{53640926-AAD7-44D8-BBD7-CCE9431645EC}">
                        <a14:shadowObscured xmlns:a14="http://schemas.microsoft.com/office/drawing/2010/main"/>
                      </a:ext>
                    </a:extLst>
                  </pic:spPr>
                </pic:pic>
              </a:graphicData>
            </a:graphic>
          </wp:inline>
        </w:drawing>
      </w:r>
    </w:p>
    <w:p w:rsidR="00460BD7" w:rsidRDefault="00460BD7" w:rsidP="00B01DED">
      <w:pPr>
        <w:tabs>
          <w:tab w:val="left" w:pos="1656"/>
        </w:tabs>
        <w:jc w:val="center"/>
        <w:rPr>
          <w:b/>
        </w:rPr>
      </w:pPr>
    </w:p>
    <w:p w:rsidR="00460BD7" w:rsidRDefault="00460BD7" w:rsidP="00B01DED">
      <w:pPr>
        <w:tabs>
          <w:tab w:val="left" w:pos="1656"/>
        </w:tabs>
        <w:jc w:val="center"/>
        <w:rPr>
          <w:b/>
        </w:rPr>
      </w:pPr>
    </w:p>
    <w:p w:rsidR="00460BD7" w:rsidRDefault="00460BD7" w:rsidP="00B01DED">
      <w:pPr>
        <w:tabs>
          <w:tab w:val="left" w:pos="1656"/>
        </w:tabs>
        <w:jc w:val="center"/>
        <w:rPr>
          <w:b/>
        </w:rPr>
      </w:pPr>
    </w:p>
    <w:p w:rsidR="00460BD7" w:rsidRDefault="00460BD7" w:rsidP="00B01DED">
      <w:pPr>
        <w:tabs>
          <w:tab w:val="left" w:pos="1656"/>
        </w:tabs>
        <w:jc w:val="center"/>
        <w:rPr>
          <w:b/>
        </w:rPr>
      </w:pPr>
    </w:p>
    <w:p w:rsidR="00460BD7" w:rsidRDefault="00460BD7" w:rsidP="00B01DED">
      <w:pPr>
        <w:tabs>
          <w:tab w:val="left" w:pos="1656"/>
        </w:tabs>
        <w:jc w:val="center"/>
        <w:rPr>
          <w:b/>
        </w:rPr>
      </w:pPr>
    </w:p>
    <w:p w:rsidR="00460BD7" w:rsidRDefault="00460BD7" w:rsidP="00B01DED">
      <w:pPr>
        <w:tabs>
          <w:tab w:val="left" w:pos="1656"/>
        </w:tabs>
        <w:jc w:val="center"/>
        <w:rPr>
          <w:b/>
        </w:rPr>
      </w:pPr>
    </w:p>
    <w:p w:rsidR="00460BD7" w:rsidRDefault="00460BD7" w:rsidP="00B01DED">
      <w:pPr>
        <w:tabs>
          <w:tab w:val="left" w:pos="1656"/>
        </w:tabs>
        <w:jc w:val="center"/>
        <w:rPr>
          <w:b/>
        </w:rPr>
      </w:pPr>
    </w:p>
    <w:p w:rsidR="00460BD7" w:rsidRDefault="00460BD7" w:rsidP="00B01DED">
      <w:pPr>
        <w:tabs>
          <w:tab w:val="left" w:pos="1656"/>
        </w:tabs>
        <w:jc w:val="center"/>
        <w:rPr>
          <w:b/>
        </w:rPr>
      </w:pPr>
      <w:r>
        <w:rPr>
          <w:noProof/>
        </w:rPr>
        <w:drawing>
          <wp:inline distT="0" distB="0" distL="0" distR="0" wp14:anchorId="7B1EBD7C" wp14:editId="4A12AFF4">
            <wp:extent cx="6255534" cy="8858992"/>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l="32433" t="14208" r="34169" b="10121"/>
                    <a:stretch/>
                  </pic:blipFill>
                  <pic:spPr bwMode="auto">
                    <a:xfrm>
                      <a:off x="0" y="0"/>
                      <a:ext cx="6256649" cy="8860571"/>
                    </a:xfrm>
                    <a:prstGeom prst="rect">
                      <a:avLst/>
                    </a:prstGeom>
                    <a:ln>
                      <a:noFill/>
                    </a:ln>
                    <a:extLst>
                      <a:ext uri="{53640926-AAD7-44D8-BBD7-CCE9431645EC}">
                        <a14:shadowObscured xmlns:a14="http://schemas.microsoft.com/office/drawing/2010/main"/>
                      </a:ext>
                    </a:extLst>
                  </pic:spPr>
                </pic:pic>
              </a:graphicData>
            </a:graphic>
          </wp:inline>
        </w:drawing>
      </w:r>
    </w:p>
    <w:p w:rsidR="00460BD7" w:rsidRDefault="00460BD7" w:rsidP="00B01DED">
      <w:pPr>
        <w:tabs>
          <w:tab w:val="left" w:pos="1656"/>
        </w:tabs>
        <w:jc w:val="center"/>
        <w:rPr>
          <w:b/>
        </w:rPr>
      </w:pPr>
    </w:p>
    <w:p w:rsidR="00460BD7" w:rsidRDefault="00460BD7" w:rsidP="00B01DED">
      <w:pPr>
        <w:tabs>
          <w:tab w:val="left" w:pos="1656"/>
        </w:tabs>
        <w:jc w:val="center"/>
        <w:rPr>
          <w:b/>
        </w:rPr>
      </w:pPr>
    </w:p>
    <w:p w:rsidR="00460BD7" w:rsidRDefault="00460BD7" w:rsidP="00B01DED">
      <w:pPr>
        <w:tabs>
          <w:tab w:val="left" w:pos="1656"/>
        </w:tabs>
        <w:jc w:val="center"/>
        <w:rPr>
          <w:b/>
        </w:rPr>
      </w:pPr>
      <w:r>
        <w:rPr>
          <w:noProof/>
        </w:rPr>
        <w:drawing>
          <wp:inline distT="0" distB="0" distL="0" distR="0" wp14:anchorId="2B16BB67" wp14:editId="2C9C202B">
            <wp:extent cx="6226307" cy="8811491"/>
            <wp:effectExtent l="0" t="0" r="3175" b="889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l="32625" t="14207" r="34363" b="11048"/>
                    <a:stretch/>
                  </pic:blipFill>
                  <pic:spPr bwMode="auto">
                    <a:xfrm>
                      <a:off x="0" y="0"/>
                      <a:ext cx="6237377" cy="8827157"/>
                    </a:xfrm>
                    <a:prstGeom prst="rect">
                      <a:avLst/>
                    </a:prstGeom>
                    <a:ln>
                      <a:noFill/>
                    </a:ln>
                    <a:extLst>
                      <a:ext uri="{53640926-AAD7-44D8-BBD7-CCE9431645EC}">
                        <a14:shadowObscured xmlns:a14="http://schemas.microsoft.com/office/drawing/2010/main"/>
                      </a:ext>
                    </a:extLst>
                  </pic:spPr>
                </pic:pic>
              </a:graphicData>
            </a:graphic>
          </wp:inline>
        </w:drawing>
      </w: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r>
        <w:rPr>
          <w:noProof/>
        </w:rPr>
        <w:drawing>
          <wp:inline distT="0" distB="0" distL="0" distR="0" wp14:anchorId="096632FB" wp14:editId="63A28DF0">
            <wp:extent cx="6270174" cy="8835241"/>
            <wp:effectExtent l="0" t="0" r="0" b="444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32239" t="15134" r="33784" b="8268"/>
                    <a:stretch/>
                  </pic:blipFill>
                  <pic:spPr bwMode="auto">
                    <a:xfrm>
                      <a:off x="0" y="0"/>
                      <a:ext cx="6273149" cy="8839432"/>
                    </a:xfrm>
                    <a:prstGeom prst="rect">
                      <a:avLst/>
                    </a:prstGeom>
                    <a:ln>
                      <a:noFill/>
                    </a:ln>
                    <a:extLst>
                      <a:ext uri="{53640926-AAD7-44D8-BBD7-CCE9431645EC}">
                        <a14:shadowObscured xmlns:a14="http://schemas.microsoft.com/office/drawing/2010/main"/>
                      </a:ext>
                    </a:extLst>
                  </pic:spPr>
                </pic:pic>
              </a:graphicData>
            </a:graphic>
          </wp:inline>
        </w:drawing>
      </w: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r>
        <w:rPr>
          <w:noProof/>
        </w:rPr>
        <w:drawing>
          <wp:inline distT="0" distB="0" distL="0" distR="0" wp14:anchorId="21D83654" wp14:editId="38C067E8">
            <wp:extent cx="5947239" cy="8443356"/>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l="32239" t="16061" r="33011" b="7341"/>
                    <a:stretch/>
                  </pic:blipFill>
                  <pic:spPr bwMode="auto">
                    <a:xfrm>
                      <a:off x="0" y="0"/>
                      <a:ext cx="5948299" cy="8444861"/>
                    </a:xfrm>
                    <a:prstGeom prst="rect">
                      <a:avLst/>
                    </a:prstGeom>
                    <a:ln>
                      <a:noFill/>
                    </a:ln>
                    <a:extLst>
                      <a:ext uri="{53640926-AAD7-44D8-BBD7-CCE9431645EC}">
                        <a14:shadowObscured xmlns:a14="http://schemas.microsoft.com/office/drawing/2010/main"/>
                      </a:ext>
                    </a:extLst>
                  </pic:spPr>
                </pic:pic>
              </a:graphicData>
            </a:graphic>
          </wp:inline>
        </w:drawing>
      </w: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r>
        <w:rPr>
          <w:noProof/>
        </w:rPr>
        <w:drawing>
          <wp:inline distT="0" distB="0" distL="0" distR="0" wp14:anchorId="75D4F97B" wp14:editId="252909F2">
            <wp:extent cx="6161712" cy="8633361"/>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l="32432" t="15134" r="33397" b="8268"/>
                    <a:stretch/>
                  </pic:blipFill>
                  <pic:spPr bwMode="auto">
                    <a:xfrm>
                      <a:off x="0" y="0"/>
                      <a:ext cx="6166007" cy="8639379"/>
                    </a:xfrm>
                    <a:prstGeom prst="rect">
                      <a:avLst/>
                    </a:prstGeom>
                    <a:ln>
                      <a:noFill/>
                    </a:ln>
                    <a:extLst>
                      <a:ext uri="{53640926-AAD7-44D8-BBD7-CCE9431645EC}">
                        <a14:shadowObscured xmlns:a14="http://schemas.microsoft.com/office/drawing/2010/main"/>
                      </a:ext>
                    </a:extLst>
                  </pic:spPr>
                </pic:pic>
              </a:graphicData>
            </a:graphic>
          </wp:inline>
        </w:drawing>
      </w: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r>
        <w:rPr>
          <w:noProof/>
        </w:rPr>
        <w:drawing>
          <wp:inline distT="0" distB="0" distL="0" distR="0" wp14:anchorId="7B034DB8" wp14:editId="2174D973">
            <wp:extent cx="6040519" cy="9025246"/>
            <wp:effectExtent l="0" t="0" r="0" b="508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l="32625" t="14825" r="34556" b="6724"/>
                    <a:stretch/>
                  </pic:blipFill>
                  <pic:spPr bwMode="auto">
                    <a:xfrm>
                      <a:off x="0" y="0"/>
                      <a:ext cx="6041596" cy="9026855"/>
                    </a:xfrm>
                    <a:prstGeom prst="rect">
                      <a:avLst/>
                    </a:prstGeom>
                    <a:ln>
                      <a:noFill/>
                    </a:ln>
                    <a:extLst>
                      <a:ext uri="{53640926-AAD7-44D8-BBD7-CCE9431645EC}">
                        <a14:shadowObscured xmlns:a14="http://schemas.microsoft.com/office/drawing/2010/main"/>
                      </a:ext>
                    </a:extLst>
                  </pic:spPr>
                </pic:pic>
              </a:graphicData>
            </a:graphic>
          </wp:inline>
        </w:drawing>
      </w: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r>
        <w:rPr>
          <w:noProof/>
        </w:rPr>
        <w:drawing>
          <wp:inline distT="0" distB="0" distL="0" distR="0" wp14:anchorId="1E1EB217" wp14:editId="1620468F">
            <wp:extent cx="6065851" cy="8870867"/>
            <wp:effectExtent l="0" t="0" r="0" b="698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l="32047" t="17914" r="34556" b="3944"/>
                    <a:stretch/>
                  </pic:blipFill>
                  <pic:spPr bwMode="auto">
                    <a:xfrm>
                      <a:off x="0" y="0"/>
                      <a:ext cx="6067373" cy="8873093"/>
                    </a:xfrm>
                    <a:prstGeom prst="rect">
                      <a:avLst/>
                    </a:prstGeom>
                    <a:ln>
                      <a:noFill/>
                    </a:ln>
                    <a:extLst>
                      <a:ext uri="{53640926-AAD7-44D8-BBD7-CCE9431645EC}">
                        <a14:shadowObscured xmlns:a14="http://schemas.microsoft.com/office/drawing/2010/main"/>
                      </a:ext>
                    </a:extLst>
                  </pic:spPr>
                </pic:pic>
              </a:graphicData>
            </a:graphic>
          </wp:inline>
        </w:drawing>
      </w: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r>
        <w:rPr>
          <w:noProof/>
        </w:rPr>
        <w:drawing>
          <wp:inline distT="0" distB="0" distL="0" distR="0" wp14:anchorId="6598C77A" wp14:editId="6109CCE0">
            <wp:extent cx="5985164" cy="8728363"/>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l="32047" t="16370" r="33205" b="5797"/>
                    <a:stretch/>
                  </pic:blipFill>
                  <pic:spPr bwMode="auto">
                    <a:xfrm>
                      <a:off x="0" y="0"/>
                      <a:ext cx="5991673" cy="8737855"/>
                    </a:xfrm>
                    <a:prstGeom prst="rect">
                      <a:avLst/>
                    </a:prstGeom>
                    <a:ln>
                      <a:noFill/>
                    </a:ln>
                    <a:extLst>
                      <a:ext uri="{53640926-AAD7-44D8-BBD7-CCE9431645EC}">
                        <a14:shadowObscured xmlns:a14="http://schemas.microsoft.com/office/drawing/2010/main"/>
                      </a:ext>
                    </a:extLst>
                  </pic:spPr>
                </pic:pic>
              </a:graphicData>
            </a:graphic>
          </wp:inline>
        </w:drawing>
      </w: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r>
        <w:rPr>
          <w:noProof/>
        </w:rPr>
        <w:drawing>
          <wp:inline distT="0" distB="0" distL="0" distR="0" wp14:anchorId="217C0457" wp14:editId="45D7F334">
            <wp:extent cx="5985163" cy="8953995"/>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33012" t="15135" r="33012" b="10121"/>
                    <a:stretch/>
                  </pic:blipFill>
                  <pic:spPr bwMode="auto">
                    <a:xfrm>
                      <a:off x="0" y="0"/>
                      <a:ext cx="6005040" cy="8983732"/>
                    </a:xfrm>
                    <a:prstGeom prst="rect">
                      <a:avLst/>
                    </a:prstGeom>
                    <a:ln>
                      <a:noFill/>
                    </a:ln>
                    <a:extLst>
                      <a:ext uri="{53640926-AAD7-44D8-BBD7-CCE9431645EC}">
                        <a14:shadowObscured xmlns:a14="http://schemas.microsoft.com/office/drawing/2010/main"/>
                      </a:ext>
                    </a:extLst>
                  </pic:spPr>
                </pic:pic>
              </a:graphicData>
            </a:graphic>
          </wp:inline>
        </w:drawing>
      </w: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r>
        <w:rPr>
          <w:noProof/>
        </w:rPr>
        <w:drawing>
          <wp:inline distT="0" distB="0" distL="0" distR="0" wp14:anchorId="0292D935" wp14:editId="04EA9CDB">
            <wp:extent cx="5772540" cy="8360228"/>
            <wp:effectExtent l="0" t="0" r="0" b="317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l="32818" t="14208" r="33591" b="7959"/>
                    <a:stretch/>
                  </pic:blipFill>
                  <pic:spPr bwMode="auto">
                    <a:xfrm>
                      <a:off x="0" y="0"/>
                      <a:ext cx="5773574" cy="8361726"/>
                    </a:xfrm>
                    <a:prstGeom prst="rect">
                      <a:avLst/>
                    </a:prstGeom>
                    <a:ln>
                      <a:noFill/>
                    </a:ln>
                    <a:extLst>
                      <a:ext uri="{53640926-AAD7-44D8-BBD7-CCE9431645EC}">
                        <a14:shadowObscured xmlns:a14="http://schemas.microsoft.com/office/drawing/2010/main"/>
                      </a:ext>
                    </a:extLst>
                  </pic:spPr>
                </pic:pic>
              </a:graphicData>
            </a:graphic>
          </wp:inline>
        </w:drawing>
      </w: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r>
        <w:rPr>
          <w:noProof/>
        </w:rPr>
        <w:drawing>
          <wp:inline distT="0" distB="0" distL="0" distR="0" wp14:anchorId="5A468826" wp14:editId="79C69575">
            <wp:extent cx="5780317" cy="9096498"/>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l="32818" t="17605" r="33012" b="5798"/>
                    <a:stretch/>
                  </pic:blipFill>
                  <pic:spPr bwMode="auto">
                    <a:xfrm>
                      <a:off x="0" y="0"/>
                      <a:ext cx="5781422" cy="9098237"/>
                    </a:xfrm>
                    <a:prstGeom prst="rect">
                      <a:avLst/>
                    </a:prstGeom>
                    <a:ln>
                      <a:noFill/>
                    </a:ln>
                    <a:extLst>
                      <a:ext uri="{53640926-AAD7-44D8-BBD7-CCE9431645EC}">
                        <a14:shadowObscured xmlns:a14="http://schemas.microsoft.com/office/drawing/2010/main"/>
                      </a:ext>
                    </a:extLst>
                  </pic:spPr>
                </pic:pic>
              </a:graphicData>
            </a:graphic>
          </wp:inline>
        </w:drawing>
      </w:r>
    </w:p>
    <w:p w:rsidR="002870BA" w:rsidRDefault="002870BA" w:rsidP="00B01DED">
      <w:pPr>
        <w:tabs>
          <w:tab w:val="left" w:pos="1656"/>
        </w:tabs>
        <w:jc w:val="center"/>
        <w:rPr>
          <w:b/>
        </w:rPr>
      </w:pPr>
    </w:p>
    <w:p w:rsidR="002870BA" w:rsidRDefault="002870BA" w:rsidP="00B01DED">
      <w:pPr>
        <w:tabs>
          <w:tab w:val="left" w:pos="1656"/>
        </w:tabs>
        <w:jc w:val="center"/>
        <w:rPr>
          <w:b/>
        </w:rPr>
      </w:pPr>
      <w:r>
        <w:rPr>
          <w:noProof/>
        </w:rPr>
        <w:lastRenderedPageBreak/>
        <w:drawing>
          <wp:inline distT="0" distB="0" distL="0" distR="0" wp14:anchorId="5FC543CE" wp14:editId="2927490A">
            <wp:extent cx="5783283" cy="9343879"/>
            <wp:effectExtent l="0" t="0" r="825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l="33591" t="15443" r="32917" b="7123"/>
                    <a:stretch/>
                  </pic:blipFill>
                  <pic:spPr bwMode="auto">
                    <a:xfrm>
                      <a:off x="0" y="0"/>
                      <a:ext cx="5804104" cy="9377519"/>
                    </a:xfrm>
                    <a:prstGeom prst="rect">
                      <a:avLst/>
                    </a:prstGeom>
                    <a:ln>
                      <a:noFill/>
                    </a:ln>
                    <a:extLst>
                      <a:ext uri="{53640926-AAD7-44D8-BBD7-CCE9431645EC}">
                        <a14:shadowObscured xmlns:a14="http://schemas.microsoft.com/office/drawing/2010/main"/>
                      </a:ext>
                    </a:extLst>
                  </pic:spPr>
                </pic:pic>
              </a:graphicData>
            </a:graphic>
          </wp:inline>
        </w:drawing>
      </w:r>
    </w:p>
    <w:p w:rsidR="002870BA" w:rsidRDefault="002870BA" w:rsidP="00B01DED">
      <w:pPr>
        <w:tabs>
          <w:tab w:val="left" w:pos="1656"/>
        </w:tabs>
        <w:jc w:val="center"/>
        <w:rPr>
          <w:b/>
        </w:rPr>
      </w:pPr>
      <w:r>
        <w:rPr>
          <w:noProof/>
        </w:rPr>
        <w:lastRenderedPageBreak/>
        <w:drawing>
          <wp:inline distT="0" distB="0" distL="0" distR="0" wp14:anchorId="7B02F372" wp14:editId="2F246B72">
            <wp:extent cx="6071017" cy="8229600"/>
            <wp:effectExtent l="0" t="0" r="635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srcRect l="32432" t="18532" r="32819" b="6107"/>
                    <a:stretch/>
                  </pic:blipFill>
                  <pic:spPr bwMode="auto">
                    <a:xfrm>
                      <a:off x="0" y="0"/>
                      <a:ext cx="6077000" cy="8237711"/>
                    </a:xfrm>
                    <a:prstGeom prst="rect">
                      <a:avLst/>
                    </a:prstGeom>
                    <a:ln>
                      <a:noFill/>
                    </a:ln>
                    <a:extLst>
                      <a:ext uri="{53640926-AAD7-44D8-BBD7-CCE9431645EC}">
                        <a14:shadowObscured xmlns:a14="http://schemas.microsoft.com/office/drawing/2010/main"/>
                      </a:ext>
                    </a:extLst>
                  </pic:spPr>
                </pic:pic>
              </a:graphicData>
            </a:graphic>
          </wp:inline>
        </w:drawing>
      </w: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r>
        <w:rPr>
          <w:noProof/>
        </w:rPr>
        <w:lastRenderedPageBreak/>
        <w:drawing>
          <wp:inline distT="0" distB="0" distL="0" distR="0" wp14:anchorId="37CE0E1D" wp14:editId="0936FF38">
            <wp:extent cx="6103822" cy="8847117"/>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srcRect l="32047" t="13899" r="33591" b="6414"/>
                    <a:stretch/>
                  </pic:blipFill>
                  <pic:spPr bwMode="auto">
                    <a:xfrm>
                      <a:off x="0" y="0"/>
                      <a:ext cx="6116280" cy="8865175"/>
                    </a:xfrm>
                    <a:prstGeom prst="rect">
                      <a:avLst/>
                    </a:prstGeom>
                    <a:ln>
                      <a:noFill/>
                    </a:ln>
                    <a:extLst>
                      <a:ext uri="{53640926-AAD7-44D8-BBD7-CCE9431645EC}">
                        <a14:shadowObscured xmlns:a14="http://schemas.microsoft.com/office/drawing/2010/main"/>
                      </a:ext>
                    </a:extLst>
                  </pic:spPr>
                </pic:pic>
              </a:graphicData>
            </a:graphic>
          </wp:inline>
        </w:drawing>
      </w: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r>
        <w:rPr>
          <w:noProof/>
        </w:rPr>
        <w:lastRenderedPageBreak/>
        <w:drawing>
          <wp:inline distT="0" distB="0" distL="0" distR="0" wp14:anchorId="0F98D556" wp14:editId="12991D69">
            <wp:extent cx="6301362" cy="8573984"/>
            <wp:effectExtent l="0" t="0" r="4445"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l="31854" t="16988" r="32818" b="6106"/>
                    <a:stretch/>
                  </pic:blipFill>
                  <pic:spPr bwMode="auto">
                    <a:xfrm>
                      <a:off x="0" y="0"/>
                      <a:ext cx="6307591" cy="8582460"/>
                    </a:xfrm>
                    <a:prstGeom prst="rect">
                      <a:avLst/>
                    </a:prstGeom>
                    <a:ln>
                      <a:noFill/>
                    </a:ln>
                    <a:extLst>
                      <a:ext uri="{53640926-AAD7-44D8-BBD7-CCE9431645EC}">
                        <a14:shadowObscured xmlns:a14="http://schemas.microsoft.com/office/drawing/2010/main"/>
                      </a:ext>
                    </a:extLst>
                  </pic:spPr>
                </pic:pic>
              </a:graphicData>
            </a:graphic>
          </wp:inline>
        </w:drawing>
      </w: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r>
        <w:rPr>
          <w:noProof/>
        </w:rPr>
        <w:drawing>
          <wp:inline distT="0" distB="0" distL="0" distR="0" wp14:anchorId="37EAE31D" wp14:editId="71FB4D4F">
            <wp:extent cx="5943054" cy="8241475"/>
            <wp:effectExtent l="0" t="0" r="635" b="762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l="32047" t="15135" r="33011" b="7342"/>
                    <a:stretch/>
                  </pic:blipFill>
                  <pic:spPr bwMode="auto">
                    <a:xfrm>
                      <a:off x="0" y="0"/>
                      <a:ext cx="5944548" cy="8243547"/>
                    </a:xfrm>
                    <a:prstGeom prst="rect">
                      <a:avLst/>
                    </a:prstGeom>
                    <a:ln>
                      <a:noFill/>
                    </a:ln>
                    <a:extLst>
                      <a:ext uri="{53640926-AAD7-44D8-BBD7-CCE9431645EC}">
                        <a14:shadowObscured xmlns:a14="http://schemas.microsoft.com/office/drawing/2010/main"/>
                      </a:ext>
                    </a:extLst>
                  </pic:spPr>
                </pic:pic>
              </a:graphicData>
            </a:graphic>
          </wp:inline>
        </w:drawing>
      </w: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r>
        <w:rPr>
          <w:noProof/>
        </w:rPr>
        <w:lastRenderedPageBreak/>
        <w:drawing>
          <wp:inline distT="0" distB="0" distL="0" distR="0" wp14:anchorId="568B982E" wp14:editId="2545C9AB">
            <wp:extent cx="5859017" cy="8716488"/>
            <wp:effectExtent l="0" t="0" r="8890" b="889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l="32047" t="15135" r="33976" b="10739"/>
                    <a:stretch/>
                  </pic:blipFill>
                  <pic:spPr bwMode="auto">
                    <a:xfrm>
                      <a:off x="0" y="0"/>
                      <a:ext cx="5870153" cy="8733055"/>
                    </a:xfrm>
                    <a:prstGeom prst="rect">
                      <a:avLst/>
                    </a:prstGeom>
                    <a:ln>
                      <a:noFill/>
                    </a:ln>
                    <a:extLst>
                      <a:ext uri="{53640926-AAD7-44D8-BBD7-CCE9431645EC}">
                        <a14:shadowObscured xmlns:a14="http://schemas.microsoft.com/office/drawing/2010/main"/>
                      </a:ext>
                    </a:extLst>
                  </pic:spPr>
                </pic:pic>
              </a:graphicData>
            </a:graphic>
          </wp:inline>
        </w:drawing>
      </w: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p>
    <w:p w:rsidR="002870BA" w:rsidRDefault="002870BA" w:rsidP="00B01DED">
      <w:pPr>
        <w:tabs>
          <w:tab w:val="left" w:pos="1656"/>
        </w:tabs>
        <w:jc w:val="center"/>
        <w:rPr>
          <w:b/>
        </w:rPr>
      </w:pPr>
      <w:r>
        <w:rPr>
          <w:noProof/>
        </w:rPr>
        <w:drawing>
          <wp:inline distT="0" distB="0" distL="0" distR="0" wp14:anchorId="1135925A" wp14:editId="19FC2D33">
            <wp:extent cx="5948383" cy="8300852"/>
            <wp:effectExtent l="0" t="0" r="0" b="508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l="32047" t="14825" r="33784" b="8885"/>
                    <a:stretch/>
                  </pic:blipFill>
                  <pic:spPr bwMode="auto">
                    <a:xfrm>
                      <a:off x="0" y="0"/>
                      <a:ext cx="5955354" cy="8310579"/>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2D5F4BE3" wp14:editId="2D32331D">
            <wp:extent cx="5776456" cy="8336478"/>
            <wp:effectExtent l="0" t="0" r="0" b="762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32432" t="14825" r="33591" b="6724"/>
                    <a:stretch/>
                  </pic:blipFill>
                  <pic:spPr bwMode="auto">
                    <a:xfrm>
                      <a:off x="0" y="0"/>
                      <a:ext cx="5782542" cy="8345262"/>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252510F7" wp14:editId="7B67620E">
            <wp:extent cx="5871948" cy="825335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srcRect l="32047" t="13590" r="33205" b="8267"/>
                    <a:stretch/>
                  </pic:blipFill>
                  <pic:spPr bwMode="auto">
                    <a:xfrm>
                      <a:off x="0" y="0"/>
                      <a:ext cx="5875123" cy="8257813"/>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201F7495" wp14:editId="63D27D3C">
            <wp:extent cx="5795892" cy="856211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l="32047" t="14825" r="33976" b="4871"/>
                    <a:stretch/>
                  </pic:blipFill>
                  <pic:spPr bwMode="auto">
                    <a:xfrm>
                      <a:off x="0" y="0"/>
                      <a:ext cx="5797433" cy="8564386"/>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72C2FB4C" wp14:editId="26B3EFE9">
            <wp:extent cx="6062943" cy="8407729"/>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srcRect l="31467" t="17296" r="33591" b="5181"/>
                    <a:stretch/>
                  </pic:blipFill>
                  <pic:spPr bwMode="auto">
                    <a:xfrm>
                      <a:off x="0" y="0"/>
                      <a:ext cx="6064025" cy="8409230"/>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4AB31918" wp14:editId="5C0DD4E9">
            <wp:extent cx="6182627" cy="8716488"/>
            <wp:effectExtent l="0" t="0" r="8890" b="889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srcRect l="31854" t="14207" r="32818" b="6106"/>
                    <a:stretch/>
                  </pic:blipFill>
                  <pic:spPr bwMode="auto">
                    <a:xfrm>
                      <a:off x="0" y="0"/>
                      <a:ext cx="6183733" cy="8718048"/>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lastRenderedPageBreak/>
        <w:drawing>
          <wp:inline distT="0" distB="0" distL="0" distR="0" wp14:anchorId="71F5EA7B" wp14:editId="6CE7BFA0">
            <wp:extent cx="6069639" cy="8490857"/>
            <wp:effectExtent l="0" t="0" r="7620" b="571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srcRect l="31854" t="16370" r="32818" b="4562"/>
                    <a:stretch/>
                  </pic:blipFill>
                  <pic:spPr bwMode="auto">
                    <a:xfrm>
                      <a:off x="0" y="0"/>
                      <a:ext cx="6084194" cy="8511218"/>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lastRenderedPageBreak/>
        <w:drawing>
          <wp:inline distT="0" distB="0" distL="0" distR="0" wp14:anchorId="7FB924C4" wp14:editId="3155F07D">
            <wp:extent cx="6020790" cy="878615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srcRect l="33012" t="14825" r="33784" b="7650"/>
                    <a:stretch/>
                  </pic:blipFill>
                  <pic:spPr bwMode="auto">
                    <a:xfrm>
                      <a:off x="0" y="0"/>
                      <a:ext cx="6026460" cy="8794429"/>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7FF44744" wp14:editId="6263D656">
            <wp:extent cx="6178569" cy="8704613"/>
            <wp:effectExtent l="0" t="0" r="0" b="127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srcRect l="32239" t="16061" r="32819" b="5180"/>
                    <a:stretch/>
                  </pic:blipFill>
                  <pic:spPr bwMode="auto">
                    <a:xfrm>
                      <a:off x="0" y="0"/>
                      <a:ext cx="6181189" cy="8708304"/>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2E616431" wp14:editId="28F6C8DB">
            <wp:extent cx="5913218" cy="8585860"/>
            <wp:effectExtent l="0" t="0" r="0" b="571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srcRect l="32239" t="13590" r="33591" b="7033"/>
                    <a:stretch/>
                  </pic:blipFill>
                  <pic:spPr bwMode="auto">
                    <a:xfrm>
                      <a:off x="0" y="0"/>
                      <a:ext cx="5919463" cy="8594928"/>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0EA4C12F" wp14:editId="560689D7">
            <wp:extent cx="5905568" cy="8312727"/>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srcRect l="31467" t="14208" r="33011" b="5797"/>
                    <a:stretch/>
                  </pic:blipFill>
                  <pic:spPr bwMode="auto">
                    <a:xfrm>
                      <a:off x="0" y="0"/>
                      <a:ext cx="5908950" cy="8317487"/>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07F33308" wp14:editId="350481D6">
            <wp:extent cx="5997039" cy="8415730"/>
            <wp:effectExtent l="0" t="0" r="3810" b="444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31853" t="13898" r="33205" b="7650"/>
                    <a:stretch/>
                  </pic:blipFill>
                  <pic:spPr bwMode="auto">
                    <a:xfrm>
                      <a:off x="0" y="0"/>
                      <a:ext cx="5998110" cy="8417233"/>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6BB31834" wp14:editId="50BD961A">
            <wp:extent cx="6013397" cy="8538359"/>
            <wp:effectExtent l="0" t="0" r="6985"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l="31853" t="14825" r="33205" b="5797"/>
                    <a:stretch/>
                  </pic:blipFill>
                  <pic:spPr bwMode="auto">
                    <a:xfrm>
                      <a:off x="0" y="0"/>
                      <a:ext cx="6021149" cy="8549366"/>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6CE1FC8D" wp14:editId="730ED197">
            <wp:extent cx="6309628" cy="8514608"/>
            <wp:effectExtent l="0" t="0" r="0" b="127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l="31467" t="13898" r="32625" b="8577"/>
                    <a:stretch/>
                  </pic:blipFill>
                  <pic:spPr bwMode="auto">
                    <a:xfrm>
                      <a:off x="0" y="0"/>
                      <a:ext cx="6310754" cy="8516128"/>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1D5D74E5" wp14:editId="2CDBD731">
            <wp:extent cx="5638453" cy="8609610"/>
            <wp:effectExtent l="0" t="0" r="635" b="127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l="33591" t="16988" r="34170" b="4253"/>
                    <a:stretch/>
                  </pic:blipFill>
                  <pic:spPr bwMode="auto">
                    <a:xfrm>
                      <a:off x="0" y="0"/>
                      <a:ext cx="5639460" cy="8611147"/>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7D1348E2" wp14:editId="7BFA65BA">
            <wp:extent cx="6155979" cy="8597735"/>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srcRect l="31661" t="16988" r="33783" b="5798"/>
                    <a:stretch/>
                  </pic:blipFill>
                  <pic:spPr bwMode="auto">
                    <a:xfrm>
                      <a:off x="0" y="0"/>
                      <a:ext cx="6160970" cy="8604705"/>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3F599C6B" wp14:editId="6B80470C">
            <wp:extent cx="6229284" cy="7980219"/>
            <wp:effectExtent l="0" t="0" r="635" b="190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srcRect l="31468" t="15135" r="32818" b="11665"/>
                    <a:stretch/>
                  </pic:blipFill>
                  <pic:spPr bwMode="auto">
                    <a:xfrm>
                      <a:off x="0" y="0"/>
                      <a:ext cx="6234716" cy="7987177"/>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36595BC6" wp14:editId="4EC65701">
            <wp:extent cx="5815216" cy="7932717"/>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srcRect l="32047" t="16988" r="32432" b="5489"/>
                    <a:stretch/>
                  </pic:blipFill>
                  <pic:spPr bwMode="auto">
                    <a:xfrm>
                      <a:off x="0" y="0"/>
                      <a:ext cx="5816252" cy="7934131"/>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r>
        <w:rPr>
          <w:noProof/>
        </w:rPr>
        <w:drawing>
          <wp:inline distT="0" distB="0" distL="0" distR="0" wp14:anchorId="10046A25" wp14:editId="6FCB0DAB">
            <wp:extent cx="6135875" cy="8680862"/>
            <wp:effectExtent l="0" t="0" r="0" b="635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srcRect l="32239" t="15135" r="33784" b="7959"/>
                    <a:stretch/>
                  </pic:blipFill>
                  <pic:spPr bwMode="auto">
                    <a:xfrm>
                      <a:off x="0" y="0"/>
                      <a:ext cx="6136969" cy="8682409"/>
                    </a:xfrm>
                    <a:prstGeom prst="rect">
                      <a:avLst/>
                    </a:prstGeom>
                    <a:ln>
                      <a:noFill/>
                    </a:ln>
                    <a:extLst>
                      <a:ext uri="{53640926-AAD7-44D8-BBD7-CCE9431645EC}">
                        <a14:shadowObscured xmlns:a14="http://schemas.microsoft.com/office/drawing/2010/main"/>
                      </a:ext>
                    </a:extLst>
                  </pic:spPr>
                </pic:pic>
              </a:graphicData>
            </a:graphic>
          </wp:inline>
        </w:drawing>
      </w:r>
    </w:p>
    <w:p w:rsidR="00C51D33" w:rsidRDefault="00C51D33" w:rsidP="00B01DED">
      <w:pPr>
        <w:tabs>
          <w:tab w:val="left" w:pos="1656"/>
        </w:tabs>
        <w:jc w:val="center"/>
        <w:rPr>
          <w:b/>
        </w:rPr>
      </w:pPr>
    </w:p>
    <w:p w:rsidR="00C51D33" w:rsidRDefault="00C51D33" w:rsidP="00B01DED">
      <w:pPr>
        <w:tabs>
          <w:tab w:val="left" w:pos="1656"/>
        </w:tabs>
        <w:jc w:val="center"/>
        <w:rPr>
          <w:b/>
        </w:rPr>
      </w:pPr>
    </w:p>
    <w:p w:rsidR="00C51D33" w:rsidRDefault="00C51D33" w:rsidP="00B01DED">
      <w:pPr>
        <w:tabs>
          <w:tab w:val="left" w:pos="1656"/>
        </w:tabs>
        <w:jc w:val="center"/>
        <w:rPr>
          <w:b/>
        </w:rPr>
      </w:pPr>
    </w:p>
    <w:p w:rsidR="00865D33" w:rsidRDefault="004F632A" w:rsidP="00B01DED">
      <w:pPr>
        <w:tabs>
          <w:tab w:val="left" w:pos="1656"/>
        </w:tabs>
        <w:jc w:val="center"/>
        <w:rPr>
          <w:b/>
        </w:rPr>
      </w:pPr>
      <w:r>
        <w:rPr>
          <w:b/>
        </w:rPr>
        <w:lastRenderedPageBreak/>
        <w:pict>
          <v:shape id="_x0000_i1030" type="#_x0000_t75" style="width:432.75pt;height:713.25pt;mso-left-percent:-10001;mso-top-percent:-10001;mso-position-horizontal:absolute;mso-position-horizontal-relative:char;mso-position-vertical:absolute;mso-position-vertical-relative:line;mso-left-percent:-10001;mso-top-percent:-10001">
            <v:imagedata r:id="rId193" o:title="IMG_4860"/>
          </v:shape>
        </w:pict>
      </w:r>
      <w:r w:rsidR="00946077">
        <w:rPr>
          <w:noProof/>
        </w:rPr>
        <w:lastRenderedPageBreak/>
        <w:drawing>
          <wp:inline distT="0" distB="0" distL="0" distR="0" wp14:anchorId="32A2D3D8" wp14:editId="2BA5D558">
            <wp:extent cx="5724754" cy="7634496"/>
            <wp:effectExtent l="0" t="0" r="0" b="5080"/>
            <wp:docPr id="246" name="Рисунок 246" descr="C:\Users\e.perevozchikova.INT\AppData\Local\Microsoft\Windows\Temporary Internet Files\Content.Word\IMG_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e.perevozchikova.INT\AppData\Local\Microsoft\Windows\Temporary Internet Files\Content.Word\IMG_4915.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27117" cy="7637647"/>
                    </a:xfrm>
                    <a:prstGeom prst="rect">
                      <a:avLst/>
                    </a:prstGeom>
                    <a:noFill/>
                    <a:ln>
                      <a:noFill/>
                    </a:ln>
                  </pic:spPr>
                </pic:pic>
              </a:graphicData>
            </a:graphic>
          </wp:inline>
        </w:drawing>
      </w:r>
      <w:r w:rsidR="00946077">
        <w:rPr>
          <w:noProof/>
        </w:rPr>
        <w:lastRenderedPageBreak/>
        <w:drawing>
          <wp:inline distT="0" distB="0" distL="0" distR="0">
            <wp:extent cx="5485329" cy="8829675"/>
            <wp:effectExtent l="0" t="0" r="1270" b="0"/>
            <wp:docPr id="245" name="Рисунок 245" descr="C:\Users\e.perevozchikova.INT\AppData\Local\Microsoft\Windows\Temporary Internet Files\Content.Word\IMG_4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e.perevozchikova.INT\AppData\Local\Microsoft\Windows\Temporary Internet Files\Content.Word\IMG_4914.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92178" cy="8840700"/>
                    </a:xfrm>
                    <a:prstGeom prst="rect">
                      <a:avLst/>
                    </a:prstGeom>
                    <a:noFill/>
                    <a:ln>
                      <a:noFill/>
                    </a:ln>
                  </pic:spPr>
                </pic:pic>
              </a:graphicData>
            </a:graphic>
          </wp:inline>
        </w:drawing>
      </w:r>
      <w:r w:rsidR="00946077">
        <w:rPr>
          <w:noProof/>
        </w:rPr>
        <w:lastRenderedPageBreak/>
        <w:drawing>
          <wp:inline distT="0" distB="0" distL="0" distR="0">
            <wp:extent cx="5886450" cy="9261480"/>
            <wp:effectExtent l="0" t="0" r="0" b="0"/>
            <wp:docPr id="244" name="Рисунок 244" descr="C:\Users\e.perevozchikova.INT\AppData\Local\Microsoft\Windows\Temporary Internet Files\Content.Word\IMG_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e.perevozchikova.INT\AppData\Local\Microsoft\Windows\Temporary Internet Files\Content.Word\IMG_4913.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887533" cy="9263184"/>
                    </a:xfrm>
                    <a:prstGeom prst="rect">
                      <a:avLst/>
                    </a:prstGeom>
                    <a:noFill/>
                    <a:ln>
                      <a:noFill/>
                    </a:ln>
                  </pic:spPr>
                </pic:pic>
              </a:graphicData>
            </a:graphic>
          </wp:inline>
        </w:drawing>
      </w:r>
      <w:r w:rsidR="00946077">
        <w:rPr>
          <w:noProof/>
        </w:rPr>
        <w:lastRenderedPageBreak/>
        <w:drawing>
          <wp:inline distT="0" distB="0" distL="0" distR="0">
            <wp:extent cx="6255827" cy="8342732"/>
            <wp:effectExtent l="0" t="0" r="0" b="1270"/>
            <wp:docPr id="243" name="Рисунок 243" descr="C:\Users\e.perevozchikova.INT\AppData\Local\Microsoft\Windows\Temporary Internet Files\Content.Word\IMG_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e.perevozchikova.INT\AppData\Local\Microsoft\Windows\Temporary Internet Files\Content.Word\IMG_4912.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256482" cy="8343606"/>
                    </a:xfrm>
                    <a:prstGeom prst="rect">
                      <a:avLst/>
                    </a:prstGeom>
                    <a:noFill/>
                    <a:ln>
                      <a:noFill/>
                    </a:ln>
                  </pic:spPr>
                </pic:pic>
              </a:graphicData>
            </a:graphic>
          </wp:inline>
        </w:drawing>
      </w:r>
      <w:r w:rsidR="00946077">
        <w:rPr>
          <w:noProof/>
        </w:rPr>
        <w:lastRenderedPageBreak/>
        <w:drawing>
          <wp:inline distT="0" distB="0" distL="0" distR="0">
            <wp:extent cx="9092471" cy="5785879"/>
            <wp:effectExtent l="0" t="4128" r="0" b="0"/>
            <wp:docPr id="239" name="Рисунок 239" descr="C:\Users\e.perevozchikova.INT\AppData\Local\Microsoft\Windows\Temporary Internet Files\Content.Word\IMG_4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e.perevozchikova.INT\AppData\Local\Microsoft\Windows\Temporary Internet Files\Content.Word\IMG_4908.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rot="16200000">
                      <a:off x="0" y="0"/>
                      <a:ext cx="9110283" cy="5797214"/>
                    </a:xfrm>
                    <a:prstGeom prst="rect">
                      <a:avLst/>
                    </a:prstGeom>
                    <a:noFill/>
                    <a:ln>
                      <a:noFill/>
                    </a:ln>
                  </pic:spPr>
                </pic:pic>
              </a:graphicData>
            </a:graphic>
          </wp:inline>
        </w:drawing>
      </w:r>
      <w:r w:rsidR="00946077">
        <w:rPr>
          <w:noProof/>
        </w:rPr>
        <w:lastRenderedPageBreak/>
        <w:drawing>
          <wp:inline distT="0" distB="0" distL="0" distR="0">
            <wp:extent cx="9032054" cy="6006859"/>
            <wp:effectExtent l="7620" t="0" r="5715" b="5715"/>
            <wp:docPr id="238" name="Рисунок 238" descr="C:\Users\e.perevozchikova.INT\AppData\Local\Microsoft\Windows\Temporary Internet Files\Content.Word\IMG_4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e.perevozchikova.INT\AppData\Local\Microsoft\Windows\Temporary Internet Files\Content.Word\IMG_4907.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rot="16200000">
                      <a:off x="0" y="0"/>
                      <a:ext cx="9030987" cy="6006150"/>
                    </a:xfrm>
                    <a:prstGeom prst="rect">
                      <a:avLst/>
                    </a:prstGeom>
                    <a:noFill/>
                    <a:ln>
                      <a:noFill/>
                    </a:ln>
                  </pic:spPr>
                </pic:pic>
              </a:graphicData>
            </a:graphic>
          </wp:inline>
        </w:drawing>
      </w:r>
      <w:r w:rsidR="00946077">
        <w:rPr>
          <w:noProof/>
        </w:rPr>
        <w:lastRenderedPageBreak/>
        <w:drawing>
          <wp:inline distT="0" distB="0" distL="0" distR="0">
            <wp:extent cx="5581650" cy="9386394"/>
            <wp:effectExtent l="0" t="0" r="0" b="5715"/>
            <wp:docPr id="237" name="Рисунок 237" descr="C:\Users\e.perevozchikova.INT\AppData\Local\Microsoft\Windows\Temporary Internet Files\Content.Word\IMG_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e.perevozchikova.INT\AppData\Local\Microsoft\Windows\Temporary Internet Files\Content.Word\IMG_4906.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581161" cy="9385572"/>
                    </a:xfrm>
                    <a:prstGeom prst="rect">
                      <a:avLst/>
                    </a:prstGeom>
                    <a:noFill/>
                    <a:ln>
                      <a:noFill/>
                    </a:ln>
                  </pic:spPr>
                </pic:pic>
              </a:graphicData>
            </a:graphic>
          </wp:inline>
        </w:drawing>
      </w:r>
      <w:r w:rsidR="00946077">
        <w:rPr>
          <w:noProof/>
        </w:rPr>
        <w:lastRenderedPageBreak/>
        <w:drawing>
          <wp:inline distT="0" distB="0" distL="0" distR="0">
            <wp:extent cx="5381625" cy="9239250"/>
            <wp:effectExtent l="0" t="0" r="9525" b="0"/>
            <wp:docPr id="236" name="Рисунок 236" descr="C:\Users\e.perevozchikova.INT\AppData\Local\Microsoft\Windows\Temporary Internet Files\Content.Word\IMG_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e.perevozchikova.INT\AppData\Local\Microsoft\Windows\Temporary Internet Files\Content.Word\IMG_4905.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385084" cy="9245188"/>
                    </a:xfrm>
                    <a:prstGeom prst="rect">
                      <a:avLst/>
                    </a:prstGeom>
                    <a:noFill/>
                    <a:ln>
                      <a:noFill/>
                    </a:ln>
                  </pic:spPr>
                </pic:pic>
              </a:graphicData>
            </a:graphic>
          </wp:inline>
        </w:drawing>
      </w:r>
      <w:r w:rsidR="00946077">
        <w:rPr>
          <w:noProof/>
        </w:rPr>
        <w:lastRenderedPageBreak/>
        <w:drawing>
          <wp:inline distT="0" distB="0" distL="0" distR="0">
            <wp:extent cx="6032755" cy="8045244"/>
            <wp:effectExtent l="0" t="0" r="6350" b="0"/>
            <wp:docPr id="235" name="Рисунок 235" descr="C:\Users\e.perevozchikova.INT\AppData\Local\Microsoft\Windows\Temporary Internet Files\Content.Word\IMG_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e.perevozchikova.INT\AppData\Local\Microsoft\Windows\Temporary Internet Files\Content.Word\IMG_4904.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037780" cy="8051946"/>
                    </a:xfrm>
                    <a:prstGeom prst="rect">
                      <a:avLst/>
                    </a:prstGeom>
                    <a:noFill/>
                    <a:ln>
                      <a:noFill/>
                    </a:ln>
                  </pic:spPr>
                </pic:pic>
              </a:graphicData>
            </a:graphic>
          </wp:inline>
        </w:drawing>
      </w:r>
      <w:r w:rsidR="00946077">
        <w:rPr>
          <w:noProof/>
        </w:rPr>
        <w:lastRenderedPageBreak/>
        <w:drawing>
          <wp:inline distT="0" distB="0" distL="0" distR="0">
            <wp:extent cx="9300456" cy="6064138"/>
            <wp:effectExtent l="0" t="953" r="0" b="0"/>
            <wp:docPr id="234" name="Рисунок 234" descr="C:\Users\e.perevozchikova.INT\AppData\Local\Microsoft\Windows\Temporary Internet Files\Content.Word\IMG_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e.perevozchikova.INT\AppData\Local\Microsoft\Windows\Temporary Internet Files\Content.Word\IMG_4903.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rot="16200000">
                      <a:off x="0" y="0"/>
                      <a:ext cx="9306517" cy="6068090"/>
                    </a:xfrm>
                    <a:prstGeom prst="rect">
                      <a:avLst/>
                    </a:prstGeom>
                    <a:noFill/>
                    <a:ln>
                      <a:noFill/>
                    </a:ln>
                  </pic:spPr>
                </pic:pic>
              </a:graphicData>
            </a:graphic>
          </wp:inline>
        </w:drawing>
      </w:r>
      <w:r w:rsidR="00946077">
        <w:rPr>
          <w:noProof/>
        </w:rPr>
        <w:lastRenderedPageBreak/>
        <w:drawing>
          <wp:inline distT="0" distB="0" distL="0" distR="0">
            <wp:extent cx="5997039" cy="9286504"/>
            <wp:effectExtent l="0" t="0" r="3810" b="0"/>
            <wp:docPr id="233" name="Рисунок 233" descr="C:\Users\e.perevozchikova.INT\AppData\Local\Microsoft\Windows\Temporary Internet Files\Content.Word\IMG_4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perevozchikova.INT\AppData\Local\Microsoft\Windows\Temporary Internet Files\Content.Word\IMG_4902.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010274" cy="9306999"/>
                    </a:xfrm>
                    <a:prstGeom prst="rect">
                      <a:avLst/>
                    </a:prstGeom>
                    <a:noFill/>
                    <a:ln>
                      <a:noFill/>
                    </a:ln>
                  </pic:spPr>
                </pic:pic>
              </a:graphicData>
            </a:graphic>
          </wp:inline>
        </w:drawing>
      </w:r>
      <w:r w:rsidR="00946077">
        <w:rPr>
          <w:noProof/>
        </w:rPr>
        <w:lastRenderedPageBreak/>
        <w:drawing>
          <wp:inline distT="0" distB="0" distL="0" distR="0">
            <wp:extent cx="6293922" cy="9084623"/>
            <wp:effectExtent l="0" t="0" r="0" b="2540"/>
            <wp:docPr id="232" name="Рисунок 232" descr="C:\Users\e.perevozchikova.INT\AppData\Local\Microsoft\Windows\Temporary Internet Files\Content.Word\IMG_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e.perevozchikova.INT\AppData\Local\Microsoft\Windows\Temporary Internet Files\Content.Word\IMG_4901.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304180" cy="9099429"/>
                    </a:xfrm>
                    <a:prstGeom prst="rect">
                      <a:avLst/>
                    </a:prstGeom>
                    <a:noFill/>
                    <a:ln>
                      <a:noFill/>
                    </a:ln>
                  </pic:spPr>
                </pic:pic>
              </a:graphicData>
            </a:graphic>
          </wp:inline>
        </w:drawing>
      </w:r>
      <w:r w:rsidR="00946077">
        <w:rPr>
          <w:noProof/>
        </w:rPr>
        <w:lastRenderedPageBreak/>
        <w:drawing>
          <wp:inline distT="0" distB="0" distL="0" distR="0">
            <wp:extent cx="6175169" cy="9132124"/>
            <wp:effectExtent l="0" t="0" r="0" b="0"/>
            <wp:docPr id="231" name="Рисунок 231" descr="C:\Users\e.perevozchikova.INT\AppData\Local\Microsoft\Windows\Temporary Internet Files\Content.Word\IMG_4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perevozchikova.INT\AppData\Local\Microsoft\Windows\Temporary Internet Files\Content.Word\IMG_4900.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182190" cy="9142507"/>
                    </a:xfrm>
                    <a:prstGeom prst="rect">
                      <a:avLst/>
                    </a:prstGeom>
                    <a:noFill/>
                    <a:ln>
                      <a:noFill/>
                    </a:ln>
                  </pic:spPr>
                </pic:pic>
              </a:graphicData>
            </a:graphic>
          </wp:inline>
        </w:drawing>
      </w:r>
      <w:r w:rsidR="00946077">
        <w:rPr>
          <w:noProof/>
        </w:rPr>
        <w:lastRenderedPageBreak/>
        <w:drawing>
          <wp:inline distT="0" distB="0" distL="0" distR="0">
            <wp:extent cx="9351070" cy="5639368"/>
            <wp:effectExtent l="8255" t="0" r="0" b="0"/>
            <wp:docPr id="230" name="Рисунок 230" descr="C:\Users\e.perevozchikova.INT\AppData\Local\Microsoft\Windows\Temporary Internet Files\Content.Word\IMG_4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perevozchikova.INT\AppData\Local\Microsoft\Windows\Temporary Internet Files\Content.Word\IMG_4899.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rot="16200000">
                      <a:off x="0" y="0"/>
                      <a:ext cx="9378400" cy="5655850"/>
                    </a:xfrm>
                    <a:prstGeom prst="rect">
                      <a:avLst/>
                    </a:prstGeom>
                    <a:noFill/>
                    <a:ln>
                      <a:noFill/>
                    </a:ln>
                  </pic:spPr>
                </pic:pic>
              </a:graphicData>
            </a:graphic>
          </wp:inline>
        </w:drawing>
      </w:r>
      <w:r w:rsidR="00946077">
        <w:rPr>
          <w:noProof/>
        </w:rPr>
        <w:lastRenderedPageBreak/>
        <w:drawing>
          <wp:inline distT="0" distB="0" distL="0" distR="0">
            <wp:extent cx="9202222" cy="6329548"/>
            <wp:effectExtent l="7620" t="0" r="6985" b="6985"/>
            <wp:docPr id="229" name="Рисунок 229" descr="C:\Users\e.perevozchikova.INT\AppData\Local\Microsoft\Windows\Temporary Internet Files\Content.Word\IMG_4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e.perevozchikova.INT\AppData\Local\Microsoft\Windows\Temporary Internet Files\Content.Word\IMG_4898.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rot="16200000">
                      <a:off x="0" y="0"/>
                      <a:ext cx="9222329" cy="6343378"/>
                    </a:xfrm>
                    <a:prstGeom prst="rect">
                      <a:avLst/>
                    </a:prstGeom>
                    <a:noFill/>
                    <a:ln>
                      <a:noFill/>
                    </a:ln>
                  </pic:spPr>
                </pic:pic>
              </a:graphicData>
            </a:graphic>
          </wp:inline>
        </w:drawing>
      </w:r>
      <w:r w:rsidR="00946077">
        <w:rPr>
          <w:noProof/>
        </w:rPr>
        <w:lastRenderedPageBreak/>
        <w:drawing>
          <wp:inline distT="0" distB="0" distL="0" distR="0">
            <wp:extent cx="8791283" cy="5859328"/>
            <wp:effectExtent l="0" t="953" r="9208" b="9207"/>
            <wp:docPr id="178" name="Рисунок 178" descr="C:\Users\e.perevozchikova.INT\AppData\Local\Microsoft\Windows\Temporary Internet Files\Content.Word\IMG_4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perevozchikova.INT\AppData\Local\Microsoft\Windows\Temporary Internet Files\Content.Word\IMG_4897.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rot="16200000">
                      <a:off x="0" y="0"/>
                      <a:ext cx="8793767" cy="5860984"/>
                    </a:xfrm>
                    <a:prstGeom prst="rect">
                      <a:avLst/>
                    </a:prstGeom>
                    <a:noFill/>
                    <a:ln>
                      <a:noFill/>
                    </a:ln>
                  </pic:spPr>
                </pic:pic>
              </a:graphicData>
            </a:graphic>
          </wp:inline>
        </w:drawing>
      </w:r>
      <w:r w:rsidR="00946077">
        <w:rPr>
          <w:noProof/>
        </w:rPr>
        <w:lastRenderedPageBreak/>
        <w:drawing>
          <wp:inline distT="0" distB="0" distL="0" distR="0">
            <wp:extent cx="9247729" cy="6210795"/>
            <wp:effectExtent l="0" t="5397" r="5397" b="5398"/>
            <wp:docPr id="173" name="Рисунок 173" descr="C:\Users\e.perevozchikova.INT\AppData\Local\Microsoft\Windows\Temporary Internet Files\Content.Word\IMG_4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perevozchikova.INT\AppData\Local\Microsoft\Windows\Temporary Internet Files\Content.Word\IMG_4896.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rot="16200000">
                      <a:off x="0" y="0"/>
                      <a:ext cx="9261830" cy="6220265"/>
                    </a:xfrm>
                    <a:prstGeom prst="rect">
                      <a:avLst/>
                    </a:prstGeom>
                    <a:noFill/>
                    <a:ln>
                      <a:noFill/>
                    </a:ln>
                  </pic:spPr>
                </pic:pic>
              </a:graphicData>
            </a:graphic>
          </wp:inline>
        </w:drawing>
      </w:r>
      <w:r w:rsidR="00946077">
        <w:rPr>
          <w:noProof/>
        </w:rPr>
        <w:lastRenderedPageBreak/>
        <w:drawing>
          <wp:inline distT="0" distB="0" distL="0" distR="0">
            <wp:extent cx="9178465" cy="6258297"/>
            <wp:effectExtent l="0" t="6668" r="0" b="0"/>
            <wp:docPr id="172" name="Рисунок 172" descr="C:\Users\e.perevozchikova.INT\AppData\Local\Microsoft\Windows\Temporary Internet Files\Content.Word\IMG_4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perevozchikova.INT\AppData\Local\Microsoft\Windows\Temporary Internet Files\Content.Word\IMG_4895.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rot="16200000">
                      <a:off x="0" y="0"/>
                      <a:ext cx="9162071" cy="6247119"/>
                    </a:xfrm>
                    <a:prstGeom prst="rect">
                      <a:avLst/>
                    </a:prstGeom>
                    <a:noFill/>
                    <a:ln>
                      <a:noFill/>
                    </a:ln>
                  </pic:spPr>
                </pic:pic>
              </a:graphicData>
            </a:graphic>
          </wp:inline>
        </w:drawing>
      </w:r>
      <w:r w:rsidR="00946077">
        <w:rPr>
          <w:noProof/>
        </w:rPr>
        <w:lastRenderedPageBreak/>
        <w:drawing>
          <wp:inline distT="0" distB="0" distL="0" distR="0">
            <wp:extent cx="9263371" cy="6304567"/>
            <wp:effectExtent l="0" t="6667" r="7937" b="7938"/>
            <wp:docPr id="171" name="Рисунок 171" descr="C:\Users\e.perevozchikova.INT\AppData\Local\Microsoft\Windows\Temporary Internet Files\Content.Word\IMG_4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perevozchikova.INT\AppData\Local\Microsoft\Windows\Temporary Internet Files\Content.Word\IMG_4894.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rot="16200000">
                      <a:off x="0" y="0"/>
                      <a:ext cx="9258164" cy="6301023"/>
                    </a:xfrm>
                    <a:prstGeom prst="rect">
                      <a:avLst/>
                    </a:prstGeom>
                    <a:noFill/>
                    <a:ln>
                      <a:noFill/>
                    </a:ln>
                  </pic:spPr>
                </pic:pic>
              </a:graphicData>
            </a:graphic>
          </wp:inline>
        </w:drawing>
      </w:r>
      <w:r w:rsidR="00946077">
        <w:rPr>
          <w:noProof/>
        </w:rPr>
        <w:lastRenderedPageBreak/>
        <w:drawing>
          <wp:inline distT="0" distB="0" distL="0" distR="0">
            <wp:extent cx="9310863" cy="6233329"/>
            <wp:effectExtent l="0" t="4445" r="635" b="635"/>
            <wp:docPr id="170" name="Рисунок 170" descr="C:\Users\e.perevozchikova.INT\AppData\Local\Microsoft\Windows\Temporary Internet Files\Content.Word\IMG_4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perevozchikova.INT\AppData\Local\Microsoft\Windows\Temporary Internet Files\Content.Word\IMG_4893.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rot="16200000">
                      <a:off x="0" y="0"/>
                      <a:ext cx="9341484" cy="6253829"/>
                    </a:xfrm>
                    <a:prstGeom prst="rect">
                      <a:avLst/>
                    </a:prstGeom>
                    <a:noFill/>
                    <a:ln>
                      <a:noFill/>
                    </a:ln>
                  </pic:spPr>
                </pic:pic>
              </a:graphicData>
            </a:graphic>
          </wp:inline>
        </w:drawing>
      </w:r>
      <w:r w:rsidR="00946077">
        <w:rPr>
          <w:noProof/>
        </w:rPr>
        <w:lastRenderedPageBreak/>
        <w:drawing>
          <wp:inline distT="0" distB="0" distL="0" distR="0">
            <wp:extent cx="9285341" cy="6258296"/>
            <wp:effectExtent l="8572" t="0" r="953" b="952"/>
            <wp:docPr id="169" name="Рисунок 169" descr="C:\Users\e.perevozchikova.INT\AppData\Local\Microsoft\Windows\Temporary Internet Files\Content.Word\IMG_4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perevozchikova.INT\AppData\Local\Microsoft\Windows\Temporary Internet Files\Content.Word\IMG_4892.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rot="16200000">
                      <a:off x="0" y="0"/>
                      <a:ext cx="9302101" cy="6269592"/>
                    </a:xfrm>
                    <a:prstGeom prst="rect">
                      <a:avLst/>
                    </a:prstGeom>
                    <a:noFill/>
                    <a:ln>
                      <a:noFill/>
                    </a:ln>
                  </pic:spPr>
                </pic:pic>
              </a:graphicData>
            </a:graphic>
          </wp:inline>
        </w:drawing>
      </w:r>
      <w:r w:rsidR="00946077">
        <w:rPr>
          <w:noProof/>
        </w:rPr>
        <w:lastRenderedPageBreak/>
        <w:drawing>
          <wp:inline distT="0" distB="0" distL="0" distR="0">
            <wp:extent cx="9416263" cy="5902471"/>
            <wp:effectExtent l="4127" t="0" r="0" b="0"/>
            <wp:docPr id="168" name="Рисунок 168" descr="C:\Users\e.perevozchikova.INT\AppData\Local\Microsoft\Windows\Temporary Internet Files\Content.Word\IMG_4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perevozchikova.INT\AppData\Local\Microsoft\Windows\Temporary Internet Files\Content.Word\IMG_4891.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rot="16200000">
                      <a:off x="0" y="0"/>
                      <a:ext cx="9434202" cy="5913716"/>
                    </a:xfrm>
                    <a:prstGeom prst="rect">
                      <a:avLst/>
                    </a:prstGeom>
                    <a:noFill/>
                    <a:ln>
                      <a:noFill/>
                    </a:ln>
                  </pic:spPr>
                </pic:pic>
              </a:graphicData>
            </a:graphic>
          </wp:inline>
        </w:drawing>
      </w:r>
      <w:r w:rsidR="00946077">
        <w:rPr>
          <w:noProof/>
        </w:rPr>
        <w:lastRenderedPageBreak/>
        <w:drawing>
          <wp:inline distT="0" distB="0" distL="0" distR="0">
            <wp:extent cx="9318995" cy="6317673"/>
            <wp:effectExtent l="0" t="4445" r="0" b="0"/>
            <wp:docPr id="167" name="Рисунок 167" descr="C:\Users\e.perevozchikova.INT\AppData\Local\Microsoft\Windows\Temporary Internet Files\Content.Word\IMG_4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perevozchikova.INT\AppData\Local\Microsoft\Windows\Temporary Internet Files\Content.Word\IMG_4890.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rot="16200000">
                      <a:off x="0" y="0"/>
                      <a:ext cx="9331976" cy="6326473"/>
                    </a:xfrm>
                    <a:prstGeom prst="rect">
                      <a:avLst/>
                    </a:prstGeom>
                    <a:noFill/>
                    <a:ln>
                      <a:noFill/>
                    </a:ln>
                  </pic:spPr>
                </pic:pic>
              </a:graphicData>
            </a:graphic>
          </wp:inline>
        </w:drawing>
      </w:r>
      <w:r w:rsidR="00946077">
        <w:rPr>
          <w:noProof/>
        </w:rPr>
        <w:lastRenderedPageBreak/>
        <w:drawing>
          <wp:inline distT="0" distB="0" distL="0" distR="0">
            <wp:extent cx="6125644" cy="9298379"/>
            <wp:effectExtent l="0" t="0" r="8890" b="0"/>
            <wp:docPr id="158" name="Рисунок 158" descr="C:\Users\e.perevozchikova.INT\AppData\Local\Microsoft\Windows\Temporary Internet Files\Content.Word\IMG_4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perevozchikova.INT\AppData\Local\Microsoft\Windows\Temporary Internet Files\Content.Word\IMG_4888.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134061" cy="9311156"/>
                    </a:xfrm>
                    <a:prstGeom prst="rect">
                      <a:avLst/>
                    </a:prstGeom>
                    <a:noFill/>
                    <a:ln>
                      <a:noFill/>
                    </a:ln>
                  </pic:spPr>
                </pic:pic>
              </a:graphicData>
            </a:graphic>
          </wp:inline>
        </w:drawing>
      </w:r>
      <w:r w:rsidR="00946077">
        <w:rPr>
          <w:noProof/>
        </w:rPr>
        <w:lastRenderedPageBreak/>
        <w:drawing>
          <wp:inline distT="0" distB="0" distL="0" distR="0">
            <wp:extent cx="9015788" cy="5897324"/>
            <wp:effectExtent l="0" t="2858" r="0" b="0"/>
            <wp:docPr id="22" name="Рисунок 22" descr="C:\Users\e.perevozchikova.INT\AppData\Local\Microsoft\Windows\Temporary Internet Files\Content.Word\IMG_4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perevozchikova.INT\AppData\Local\Microsoft\Windows\Temporary Internet Files\Content.Word\IMG_4863.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rot="16200000">
                      <a:off x="0" y="0"/>
                      <a:ext cx="9026469" cy="5904310"/>
                    </a:xfrm>
                    <a:prstGeom prst="rect">
                      <a:avLst/>
                    </a:prstGeom>
                    <a:noFill/>
                    <a:ln>
                      <a:noFill/>
                    </a:ln>
                  </pic:spPr>
                </pic:pic>
              </a:graphicData>
            </a:graphic>
          </wp:inline>
        </w:drawing>
      </w:r>
      <w:r w:rsidR="00946077">
        <w:rPr>
          <w:noProof/>
        </w:rPr>
        <w:lastRenderedPageBreak/>
        <w:drawing>
          <wp:inline distT="0" distB="0" distL="0" distR="0">
            <wp:extent cx="9160936" cy="6188803"/>
            <wp:effectExtent l="0" t="0" r="2540" b="2540"/>
            <wp:docPr id="21" name="Рисунок 21" descr="C:\Users\e.perevozchikova.INT\AppData\Local\Microsoft\Windows\Temporary Internet Files\Content.Word\IMG_4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perevozchikova.INT\AppData\Local\Microsoft\Windows\Temporary Internet Files\Content.Word\IMG_4862.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rot="16200000">
                      <a:off x="0" y="0"/>
                      <a:ext cx="9166972" cy="6192881"/>
                    </a:xfrm>
                    <a:prstGeom prst="rect">
                      <a:avLst/>
                    </a:prstGeom>
                    <a:noFill/>
                    <a:ln>
                      <a:noFill/>
                    </a:ln>
                  </pic:spPr>
                </pic:pic>
              </a:graphicData>
            </a:graphic>
          </wp:inline>
        </w:drawing>
      </w:r>
    </w:p>
    <w:sectPr w:rsidR="00865D33" w:rsidSect="009B6BA0">
      <w:pgSz w:w="11906" w:h="16838" w:code="9"/>
      <w:pgMar w:top="568" w:right="851" w:bottom="567"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D0594" w:rsidRDefault="004D0594" w:rsidP="002A7F82">
      <w:r>
        <w:separator/>
      </w:r>
    </w:p>
  </w:endnote>
  <w:endnote w:type="continuationSeparator" w:id="0">
    <w:p w:rsidR="004D0594" w:rsidRDefault="004D0594" w:rsidP="002A7F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S Reference Sans Serif">
    <w:panose1 w:val="020B0604030504040204"/>
    <w:charset w:val="CC"/>
    <w:family w:val="swiss"/>
    <w:pitch w:val="variable"/>
    <w:sig w:usb0="20000287" w:usb1="00000000" w:usb2="00000000" w:usb3="00000000" w:csb0="0000019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Franklin Gothic Medium">
    <w:panose1 w:val="020B0603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3"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Consultant">
    <w:panose1 w:val="00000000000000000000"/>
    <w:charset w:val="CC"/>
    <w:family w:val="roman"/>
    <w:notTrueType/>
    <w:pitch w:val="variable"/>
    <w:sig w:usb0="00000201" w:usb1="00000000" w:usb2="00000000" w:usb3="00000000" w:csb0="00000004" w:csb1="00000000"/>
  </w:font>
  <w:font w:name="Baltica">
    <w:altName w:val="Arial"/>
    <w:panose1 w:val="00000000000000000000"/>
    <w:charset w:val="00"/>
    <w:family w:val="auto"/>
    <w:notTrueType/>
    <w:pitch w:val="variable"/>
    <w:sig w:usb0="00000003" w:usb1="00000000" w:usb2="00000000" w:usb3="00000000" w:csb0="00000001" w:csb1="00000000"/>
  </w:font>
  <w:font w:name="TimesNewRoman">
    <w:altName w:val="Arial Unicode MS"/>
    <w:panose1 w:val="00000000000000000000"/>
    <w:charset w:val="80"/>
    <w:family w:val="auto"/>
    <w:notTrueType/>
    <w:pitch w:val="default"/>
    <w:sig w:usb0="00000000"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03F0" w:rsidRPr="000542B6" w:rsidRDefault="008303F0" w:rsidP="000542B6">
    <w:pPr>
      <w:pBdr>
        <w:top w:val="thinThickSmallGap" w:sz="24" w:space="1" w:color="622423" w:themeColor="accent2" w:themeShade="7F"/>
      </w:pBdr>
      <w:tabs>
        <w:tab w:val="center" w:pos="4677"/>
        <w:tab w:val="right" w:pos="9355"/>
      </w:tabs>
      <w:spacing w:before="120"/>
      <w:jc w:val="both"/>
      <w:rPr>
        <w:rFonts w:asciiTheme="majorHAnsi" w:eastAsiaTheme="majorEastAsia" w:hAnsiTheme="majorHAnsi" w:cstheme="majorBidi"/>
        <w:sz w:val="20"/>
      </w:rPr>
    </w:pPr>
    <w:r w:rsidRPr="000542B6">
      <w:rPr>
        <w:rFonts w:asciiTheme="majorHAnsi" w:eastAsiaTheme="majorEastAsia" w:hAnsiTheme="majorHAnsi" w:cstheme="majorBidi"/>
        <w:sz w:val="20"/>
      </w:rPr>
      <w:t>ООО Управляющая компания «ФИНАНСЫ НЕДВИЖИМОСТЬ КОНСАЛТИНГ»</w:t>
    </w:r>
  </w:p>
  <w:p w:rsidR="008303F0" w:rsidRDefault="008303F0" w:rsidP="000542B6">
    <w:pPr>
      <w:pStyle w:val="a6"/>
      <w:pBdr>
        <w:top w:val="thinThickSmallGap" w:sz="24" w:space="1" w:color="622423" w:themeColor="accent2" w:themeShade="7F"/>
      </w:pBdr>
      <w:rPr>
        <w:rFonts w:asciiTheme="majorHAnsi" w:eastAsiaTheme="majorEastAsia" w:hAnsiTheme="majorHAnsi" w:cstheme="majorBidi"/>
      </w:rPr>
    </w:pPr>
    <w:r w:rsidRPr="000542B6">
      <w:rPr>
        <w:rFonts w:asciiTheme="majorHAnsi" w:eastAsiaTheme="majorEastAsia" w:hAnsiTheme="majorHAnsi" w:cstheme="majorBidi"/>
        <w:sz w:val="20"/>
      </w:rPr>
      <w:t>394018, г. Воронеж, ул. Свободы, д. 37</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Страница </w:t>
    </w:r>
    <w:r>
      <w:rPr>
        <w:rFonts w:asciiTheme="minorHAnsi" w:eastAsiaTheme="minorEastAsia" w:hAnsiTheme="minorHAnsi"/>
      </w:rPr>
      <w:fldChar w:fldCharType="begin"/>
    </w:r>
    <w:r>
      <w:instrText>PAGE   \* MERGEFORMAT</w:instrText>
    </w:r>
    <w:r>
      <w:rPr>
        <w:rFonts w:asciiTheme="minorHAnsi" w:eastAsiaTheme="minorEastAsia" w:hAnsiTheme="minorHAnsi"/>
      </w:rPr>
      <w:fldChar w:fldCharType="separate"/>
    </w:r>
    <w:r w:rsidR="004F632A" w:rsidRPr="004F632A">
      <w:rPr>
        <w:rFonts w:asciiTheme="majorHAnsi" w:eastAsiaTheme="majorEastAsia" w:hAnsiTheme="majorHAnsi" w:cstheme="majorBidi"/>
        <w:noProof/>
      </w:rPr>
      <w:t>17</w:t>
    </w:r>
    <w:r>
      <w:rPr>
        <w:rFonts w:asciiTheme="majorHAnsi" w:eastAsiaTheme="majorEastAsia" w:hAnsiTheme="majorHAnsi" w:cstheme="majorBidi"/>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03F0" w:rsidRDefault="008303F0" w:rsidP="002F4E0F">
    <w:pPr>
      <w:pStyle w:val="a6"/>
      <w:pBdr>
        <w:top w:val="thinThickSmallGap" w:sz="24" w:space="1" w:color="622423" w:themeColor="accent2" w:themeShade="7F"/>
      </w:pBdr>
      <w:rPr>
        <w:rFonts w:eastAsiaTheme="majorEastAsia" w:cstheme="majorBidi"/>
      </w:rPr>
    </w:pPr>
    <w:r w:rsidRPr="002F4E0F">
      <w:rPr>
        <w:rFonts w:eastAsiaTheme="majorEastAsia" w:cstheme="majorBidi"/>
      </w:rPr>
      <w:t>ООО Управляющая компания «ФИНАНСЫ НЕДВИЖИМОСТЬ КОНСАЛТИНГ»</w:t>
    </w:r>
    <w:r>
      <w:rPr>
        <w:rFonts w:eastAsiaTheme="majorEastAsia" w:cstheme="majorBidi"/>
      </w:rPr>
      <w:ptab w:relativeTo="margin" w:alignment="right" w:leader="none"/>
    </w:r>
    <w:r>
      <w:rPr>
        <w:rFonts w:eastAsiaTheme="majorEastAsia" w:cstheme="majorBidi"/>
      </w:rPr>
      <w:t xml:space="preserve">Страница </w:t>
    </w:r>
    <w:r>
      <w:rPr>
        <w:rFonts w:asciiTheme="minorHAnsi" w:eastAsiaTheme="minorEastAsia" w:hAnsiTheme="minorHAnsi"/>
      </w:rPr>
      <w:fldChar w:fldCharType="begin"/>
    </w:r>
    <w:r>
      <w:instrText>PAGE   \* MERGEFORMAT</w:instrText>
    </w:r>
    <w:r>
      <w:rPr>
        <w:rFonts w:asciiTheme="minorHAnsi" w:eastAsiaTheme="minorEastAsia" w:hAnsiTheme="minorHAnsi"/>
      </w:rPr>
      <w:fldChar w:fldCharType="separate"/>
    </w:r>
    <w:r w:rsidR="004F632A" w:rsidRPr="004F632A">
      <w:rPr>
        <w:rFonts w:eastAsiaTheme="majorEastAsia" w:cstheme="majorBidi"/>
        <w:noProof/>
      </w:rPr>
      <w:t>1</w:t>
    </w:r>
    <w:r>
      <w:rPr>
        <w:rFonts w:eastAsiaTheme="majorEastAsia" w:cstheme="majorBidi"/>
      </w:rPr>
      <w:fldChar w:fldCharType="end"/>
    </w:r>
  </w:p>
  <w:p w:rsidR="008303F0" w:rsidRPr="005E1176" w:rsidRDefault="008303F0" w:rsidP="002F4E0F">
    <w:pPr>
      <w:pStyle w:val="a6"/>
    </w:pPr>
    <w:r w:rsidRPr="002F4E0F">
      <w:t>394018, г. Воронеж, ул. Свободы, д. 37</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D0594" w:rsidRDefault="004D0594" w:rsidP="002A7F82">
      <w:r>
        <w:separator/>
      </w:r>
    </w:p>
  </w:footnote>
  <w:footnote w:type="continuationSeparator" w:id="0">
    <w:p w:rsidR="004D0594" w:rsidRDefault="004D0594" w:rsidP="002A7F82">
      <w:r>
        <w:continuationSeparator/>
      </w:r>
    </w:p>
  </w:footnote>
  <w:footnote w:id="1">
    <w:p w:rsidR="008303F0" w:rsidRPr="00354B86" w:rsidRDefault="008303F0" w:rsidP="00991118">
      <w:pPr>
        <w:pStyle w:val="af1"/>
        <w:rPr>
          <w:lang w:val="ru-RU"/>
        </w:rPr>
      </w:pPr>
      <w:r>
        <w:rPr>
          <w:rStyle w:val="af5"/>
        </w:rPr>
        <w:footnoteRef/>
      </w:r>
      <w:r w:rsidRPr="00354B86">
        <w:rPr>
          <w:lang w:val="ru-RU"/>
        </w:rPr>
        <w:t xml:space="preserve"> </w:t>
      </w:r>
      <w:r>
        <w:rPr>
          <w:lang w:val="ru-RU"/>
        </w:rPr>
        <w:t xml:space="preserve">В том числе - </w:t>
      </w:r>
      <w:r w:rsidRPr="00354B86">
        <w:rPr>
          <w:b/>
          <w:lang w:val="ru-RU"/>
        </w:rPr>
        <w:t>ограничения (обременения) этих прав, в том числе в отношении каждой из частей объекта оценки</w:t>
      </w:r>
      <w:r>
        <w:rPr>
          <w:b/>
          <w:lang w:val="ru-RU"/>
        </w:rPr>
        <w:t>.</w:t>
      </w:r>
    </w:p>
  </w:footnote>
  <w:footnote w:id="2">
    <w:p w:rsidR="008303F0" w:rsidRPr="00991118" w:rsidRDefault="008303F0" w:rsidP="003262B9">
      <w:pPr>
        <w:pStyle w:val="af1"/>
        <w:rPr>
          <w:lang w:val="ru-RU"/>
        </w:rPr>
      </w:pPr>
      <w:r>
        <w:rPr>
          <w:rStyle w:val="af5"/>
        </w:rPr>
        <w:footnoteRef/>
      </w:r>
      <w:r w:rsidRPr="00991118">
        <w:rPr>
          <w:lang w:val="ru-RU"/>
        </w:rPr>
        <w:t xml:space="preserve"> </w:t>
      </w:r>
      <w:hyperlink r:id="rId1" w:history="1">
        <w:r>
          <w:rPr>
            <w:rStyle w:val="af0"/>
          </w:rPr>
          <w:t>http</w:t>
        </w:r>
        <w:r w:rsidRPr="00991118">
          <w:rPr>
            <w:rStyle w:val="af0"/>
            <w:lang w:val="ru-RU"/>
          </w:rPr>
          <w:t>://</w:t>
        </w:r>
        <w:r>
          <w:rPr>
            <w:rStyle w:val="af0"/>
          </w:rPr>
          <w:t>www</w:t>
        </w:r>
        <w:r w:rsidRPr="00991118">
          <w:rPr>
            <w:rStyle w:val="af0"/>
            <w:lang w:val="ru-RU"/>
          </w:rPr>
          <w:t>.</w:t>
        </w:r>
        <w:r>
          <w:rPr>
            <w:rStyle w:val="af0"/>
          </w:rPr>
          <w:t>glossary</w:t>
        </w:r>
        <w:r w:rsidRPr="00991118">
          <w:rPr>
            <w:rStyle w:val="af0"/>
            <w:lang w:val="ru-RU"/>
          </w:rPr>
          <w:t>.</w:t>
        </w:r>
        <w:r>
          <w:rPr>
            <w:rStyle w:val="af0"/>
          </w:rPr>
          <w:t>ru</w:t>
        </w:r>
        <w:r w:rsidRPr="00991118">
          <w:rPr>
            <w:rStyle w:val="af0"/>
            <w:lang w:val="ru-RU"/>
          </w:rPr>
          <w:t>/</w:t>
        </w:r>
        <w:r>
          <w:rPr>
            <w:rStyle w:val="af0"/>
          </w:rPr>
          <w:t>cgi</w:t>
        </w:r>
        <w:r w:rsidRPr="00991118">
          <w:rPr>
            <w:rStyle w:val="af0"/>
            <w:lang w:val="ru-RU"/>
          </w:rPr>
          <w:t>-</w:t>
        </w:r>
        <w:r>
          <w:rPr>
            <w:rStyle w:val="af0"/>
          </w:rPr>
          <w:t>bin</w:t>
        </w:r>
        <w:r w:rsidRPr="00991118">
          <w:rPr>
            <w:rStyle w:val="af0"/>
            <w:lang w:val="ru-RU"/>
          </w:rPr>
          <w:t>/</w:t>
        </w:r>
        <w:r>
          <w:rPr>
            <w:rStyle w:val="af0"/>
          </w:rPr>
          <w:t>gl</w:t>
        </w:r>
        <w:r w:rsidRPr="00991118">
          <w:rPr>
            <w:rStyle w:val="af0"/>
            <w:lang w:val="ru-RU"/>
          </w:rPr>
          <w:t>_</w:t>
        </w:r>
        <w:r>
          <w:rPr>
            <w:rStyle w:val="af0"/>
          </w:rPr>
          <w:t>des</w:t>
        </w:r>
        <w:r w:rsidRPr="00991118">
          <w:rPr>
            <w:rStyle w:val="af0"/>
            <w:lang w:val="ru-RU"/>
          </w:rPr>
          <w:t>2.</w:t>
        </w:r>
        <w:r>
          <w:rPr>
            <w:rStyle w:val="af0"/>
          </w:rPr>
          <w:t>cgi</w:t>
        </w:r>
        <w:r w:rsidRPr="00991118">
          <w:rPr>
            <w:rStyle w:val="af0"/>
            <w:lang w:val="ru-RU"/>
          </w:rPr>
          <w:t>?</w:t>
        </w:r>
        <w:r>
          <w:rPr>
            <w:rStyle w:val="af0"/>
          </w:rPr>
          <w:t>qqvbjkg</w:t>
        </w:r>
      </w:hyperlink>
    </w:p>
    <w:p w:rsidR="008303F0" w:rsidRPr="00991118" w:rsidRDefault="008303F0" w:rsidP="003262B9">
      <w:pPr>
        <w:pStyle w:val="af1"/>
        <w:rPr>
          <w:lang w:val="ru-RU"/>
        </w:rPr>
      </w:pPr>
    </w:p>
  </w:footnote>
  <w:footnote w:id="3">
    <w:p w:rsidR="008303F0" w:rsidRDefault="008303F0" w:rsidP="000A7C2B">
      <w:pPr>
        <w:pStyle w:val="af1"/>
        <w:rPr>
          <w:lang w:val="ru-RU"/>
        </w:rPr>
      </w:pPr>
      <w:r>
        <w:rPr>
          <w:rStyle w:val="af5"/>
        </w:rPr>
        <w:footnoteRef/>
      </w:r>
      <w:r>
        <w:rPr>
          <w:lang w:val="ru-RU"/>
        </w:rPr>
        <w:t xml:space="preserve"> http://www.ereport.ru/</w:t>
      </w:r>
    </w:p>
  </w:footnote>
  <w:footnote w:id="4">
    <w:p w:rsidR="008303F0" w:rsidRDefault="008303F0" w:rsidP="008440EF">
      <w:pPr>
        <w:pStyle w:val="af1"/>
        <w:rPr>
          <w:lang w:val="ru-RU"/>
        </w:rPr>
      </w:pPr>
      <w:r>
        <w:rPr>
          <w:rStyle w:val="af5"/>
        </w:rPr>
        <w:footnoteRef/>
      </w:r>
      <w:r>
        <w:rPr>
          <w:lang w:val="ru-RU"/>
        </w:rPr>
        <w:t xml:space="preserve"> Стерник Г. М. «Анализ рынка недвижимости для профессионалов», ЗАО «Издательство «Экономика», 2009</w:t>
      </w:r>
    </w:p>
  </w:footnote>
  <w:footnote w:id="5">
    <w:p w:rsidR="008303F0" w:rsidRDefault="008303F0" w:rsidP="0061127A">
      <w:pPr>
        <w:jc w:val="both"/>
      </w:pPr>
      <w:r>
        <w:rPr>
          <w:rStyle w:val="af5"/>
        </w:rPr>
        <w:footnoteRef/>
      </w:r>
      <w:r>
        <w:t xml:space="preserve"> </w:t>
      </w:r>
      <w:r w:rsidRPr="0061127A">
        <w:rPr>
          <w:rFonts w:asciiTheme="majorHAnsi" w:hAnsiTheme="majorHAnsi"/>
          <w:sz w:val="18"/>
          <w:szCs w:val="18"/>
        </w:rPr>
        <w:t>В качестве объектов-аналогов используются объекты недвижимости, которые относятся к одному с оцениваемым объектом сегменту рынка и сопоставимы с ним по ценообразующим факторам. Если рынок недвижимости неразвит и данных, позволяющих составить представление о ценах сделок и (или) предложений с сопоставимыми объектами недвижимости, недостаточно, допускается расширить территорию исследования за счет территорий, схожих по экономическим характеристикам с местоположением оцениваемого объекта.</w:t>
      </w:r>
    </w:p>
  </w:footnote>
  <w:footnote w:id="6">
    <w:p w:rsidR="008303F0" w:rsidRPr="00E514BD" w:rsidRDefault="008303F0" w:rsidP="0061127A">
      <w:pPr>
        <w:pStyle w:val="af1"/>
        <w:rPr>
          <w:rFonts w:ascii="Cambria" w:hAnsi="Cambria"/>
          <w:lang w:val="ru-RU"/>
        </w:rPr>
      </w:pPr>
      <w:r>
        <w:rPr>
          <w:rStyle w:val="af5"/>
          <w:rFonts w:ascii="Cambria" w:hAnsi="Cambria"/>
        </w:rPr>
        <w:footnoteRef/>
      </w:r>
      <w:r w:rsidRPr="00E514BD">
        <w:rPr>
          <w:lang w:val="ru-RU"/>
        </w:rPr>
        <w:t xml:space="preserve"> </w:t>
      </w:r>
      <w:r>
        <w:t>http</w:t>
      </w:r>
      <w:r w:rsidRPr="00E514BD">
        <w:rPr>
          <w:lang w:val="ru-RU"/>
        </w:rPr>
        <w:t>://</w:t>
      </w:r>
      <w:r>
        <w:t>www</w:t>
      </w:r>
      <w:r w:rsidRPr="00E514BD">
        <w:rPr>
          <w:lang w:val="ru-RU"/>
        </w:rPr>
        <w:t>.</w:t>
      </w:r>
      <w:r>
        <w:t>ocenchik</w:t>
      </w:r>
      <w:r w:rsidRPr="00E514BD">
        <w:rPr>
          <w:lang w:val="ru-RU"/>
        </w:rPr>
        <w:t>.</w:t>
      </w:r>
      <w:r>
        <w:t>ru</w:t>
      </w:r>
      <w:r w:rsidRPr="00E514BD">
        <w:rPr>
          <w:lang w:val="ru-RU"/>
        </w:rPr>
        <w:t>/</w:t>
      </w:r>
      <w:r>
        <w:t>docs</w:t>
      </w:r>
      <w:r w:rsidRPr="00E514BD">
        <w:rPr>
          <w:lang w:val="ru-RU"/>
        </w:rPr>
        <w:t>/242.</w:t>
      </w:r>
      <w:r>
        <w:t>html</w:t>
      </w:r>
    </w:p>
  </w:footnote>
  <w:footnote w:id="7">
    <w:p w:rsidR="008303F0" w:rsidRDefault="008303F0" w:rsidP="0025196A">
      <w:pPr>
        <w:pStyle w:val="af1"/>
        <w:rPr>
          <w:lang w:val="ru-RU"/>
        </w:rPr>
      </w:pPr>
      <w:r>
        <w:rPr>
          <w:rStyle w:val="af5"/>
        </w:rPr>
        <w:footnoteRef/>
      </w:r>
      <w:r>
        <w:rPr>
          <w:lang w:val="ru-RU"/>
        </w:rPr>
        <w:t xml:space="preserve"> http://www.smolsoc.ru/index.php/home/2009-12-28-13-47-51/42-2010-08-30-12-18-24/879-2011-01-16-15-47-11</w:t>
      </w:r>
    </w:p>
  </w:footnote>
  <w:footnote w:id="8">
    <w:p w:rsidR="008303F0" w:rsidRPr="00384181" w:rsidRDefault="008303F0" w:rsidP="006C1CD3">
      <w:pPr>
        <w:pStyle w:val="af1"/>
        <w:rPr>
          <w:sz w:val="18"/>
          <w:szCs w:val="18"/>
          <w:lang w:val="ru-RU"/>
        </w:rPr>
      </w:pPr>
      <w:r>
        <w:rPr>
          <w:rStyle w:val="af5"/>
        </w:rPr>
        <w:footnoteRef/>
      </w:r>
      <w:r w:rsidRPr="006C1CD3">
        <w:rPr>
          <w:lang w:val="ru-RU"/>
        </w:rPr>
        <w:t xml:space="preserve"> </w:t>
      </w:r>
      <w:r w:rsidRPr="006C1CD3">
        <w:rPr>
          <w:sz w:val="18"/>
          <w:szCs w:val="18"/>
          <w:lang w:val="ru-RU"/>
        </w:rPr>
        <w:t xml:space="preserve">Приволжский центр финансового консалтинга и оценки. Справочник оценщика недвижимости, том 2 «Текущие и прогнозные характеристики рынка для доходного подхода». </w:t>
      </w:r>
      <w:r w:rsidRPr="00384181">
        <w:rPr>
          <w:sz w:val="18"/>
          <w:szCs w:val="18"/>
          <w:lang w:val="ru-RU"/>
        </w:rPr>
        <w:t>Издание третье актуализированное и расширенное. Нижний Новгород 2014 год.</w:t>
      </w:r>
    </w:p>
  </w:footnote>
  <w:footnote w:id="9">
    <w:p w:rsidR="008303F0" w:rsidRPr="006C1CD3" w:rsidRDefault="008303F0">
      <w:pPr>
        <w:pStyle w:val="af1"/>
        <w:rPr>
          <w:lang w:val="ru-RU"/>
        </w:rPr>
      </w:pPr>
      <w:r>
        <w:rPr>
          <w:rStyle w:val="af5"/>
        </w:rPr>
        <w:footnoteRef/>
      </w:r>
      <w:r w:rsidRPr="006C1CD3">
        <w:rPr>
          <w:lang w:val="ru-RU"/>
        </w:rPr>
        <w:t xml:space="preserve"> </w:t>
      </w:r>
      <w:r w:rsidRPr="006C1CD3">
        <w:rPr>
          <w:sz w:val="18"/>
          <w:szCs w:val="18"/>
          <w:lang w:val="ru-RU"/>
        </w:rPr>
        <w:t>Справочник оценщика недвижимости, Н. Новгород, редакция Лейфер Л. А. 2014, т. 2 стр. 37</w:t>
      </w:r>
    </w:p>
  </w:footnote>
  <w:footnote w:id="10">
    <w:p w:rsidR="008303F0" w:rsidRPr="00384181" w:rsidRDefault="008303F0" w:rsidP="002176D6">
      <w:pPr>
        <w:pStyle w:val="af1"/>
        <w:rPr>
          <w:sz w:val="18"/>
          <w:szCs w:val="18"/>
          <w:lang w:val="ru-RU"/>
        </w:rPr>
      </w:pPr>
      <w:r>
        <w:rPr>
          <w:rStyle w:val="af5"/>
        </w:rPr>
        <w:footnoteRef/>
      </w:r>
      <w:r w:rsidRPr="006C1CD3">
        <w:rPr>
          <w:lang w:val="ru-RU"/>
        </w:rPr>
        <w:t xml:space="preserve"> </w:t>
      </w:r>
      <w:r w:rsidRPr="006C1CD3">
        <w:rPr>
          <w:sz w:val="18"/>
          <w:szCs w:val="18"/>
          <w:lang w:val="ru-RU"/>
        </w:rPr>
        <w:t xml:space="preserve">Приволжский центр финансового консалтинга и оценки. Справочник оценщика недвижимости, том 2 «Текущие и прогнозные характеристики рынка для доходного подхода». </w:t>
      </w:r>
      <w:r w:rsidRPr="00384181">
        <w:rPr>
          <w:sz w:val="18"/>
          <w:szCs w:val="18"/>
          <w:lang w:val="ru-RU"/>
        </w:rPr>
        <w:t>Издание третье актуализированное и расширенное. Нижний Новгород 2014 год.</w:t>
      </w:r>
    </w:p>
  </w:footnote>
  <w:footnote w:id="11">
    <w:p w:rsidR="008303F0" w:rsidRPr="006C1CD3" w:rsidRDefault="008303F0" w:rsidP="002176D6">
      <w:pPr>
        <w:pStyle w:val="af1"/>
        <w:rPr>
          <w:lang w:val="ru-RU"/>
        </w:rPr>
      </w:pPr>
      <w:r>
        <w:rPr>
          <w:rStyle w:val="af5"/>
        </w:rPr>
        <w:footnoteRef/>
      </w:r>
      <w:r w:rsidRPr="006C1CD3">
        <w:rPr>
          <w:lang w:val="ru-RU"/>
        </w:rPr>
        <w:t xml:space="preserve"> </w:t>
      </w:r>
      <w:r w:rsidRPr="006C1CD3">
        <w:rPr>
          <w:sz w:val="18"/>
          <w:szCs w:val="18"/>
          <w:lang w:val="ru-RU"/>
        </w:rPr>
        <w:t>Справочник оценщика недвижимости, Н. Новгород, редакция Лейфер Л. А. 2014, т. 2 стр. 37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5ED21496"/>
    <w:lvl w:ilvl="0">
      <w:numFmt w:val="bullet"/>
      <w:lvlText w:val="*"/>
      <w:lvlJc w:val="left"/>
      <w:pPr>
        <w:ind w:left="0" w:firstLine="0"/>
      </w:pPr>
    </w:lvl>
  </w:abstractNum>
  <w:abstractNum w:abstractNumId="1" w15:restartNumberingAfterBreak="0">
    <w:nsid w:val="00000004"/>
    <w:multiLevelType w:val="multilevel"/>
    <w:tmpl w:val="00000004"/>
    <w:name w:val="WW8Num4"/>
    <w:lvl w:ilvl="0">
      <w:start w:val="1"/>
      <w:numFmt w:val="bullet"/>
      <w:lvlText w:val=""/>
      <w:lvlJc w:val="left"/>
      <w:pPr>
        <w:tabs>
          <w:tab w:val="num" w:pos="1004"/>
        </w:tabs>
        <w:ind w:left="1004" w:hanging="360"/>
      </w:pPr>
      <w:rPr>
        <w:rFonts w:ascii="Symbol" w:hAnsi="Symbol"/>
        <w:sz w:val="20"/>
      </w:rPr>
    </w:lvl>
    <w:lvl w:ilvl="1">
      <w:start w:val="1"/>
      <w:numFmt w:val="bullet"/>
      <w:lvlText w:val="o"/>
      <w:lvlJc w:val="left"/>
      <w:pPr>
        <w:tabs>
          <w:tab w:val="num" w:pos="1724"/>
        </w:tabs>
        <w:ind w:left="1724" w:hanging="360"/>
      </w:pPr>
      <w:rPr>
        <w:rFonts w:ascii="Courier New" w:hAnsi="Courier New"/>
        <w:sz w:val="20"/>
      </w:rPr>
    </w:lvl>
    <w:lvl w:ilvl="2">
      <w:start w:val="1"/>
      <w:numFmt w:val="bullet"/>
      <w:lvlText w:val=""/>
      <w:lvlJc w:val="left"/>
      <w:pPr>
        <w:tabs>
          <w:tab w:val="num" w:pos="2444"/>
        </w:tabs>
        <w:ind w:left="2444" w:hanging="360"/>
      </w:pPr>
      <w:rPr>
        <w:rFonts w:ascii="Wingdings" w:hAnsi="Wingdings"/>
        <w:sz w:val="20"/>
      </w:rPr>
    </w:lvl>
    <w:lvl w:ilvl="3">
      <w:start w:val="1"/>
      <w:numFmt w:val="bullet"/>
      <w:lvlText w:val=""/>
      <w:lvlJc w:val="left"/>
      <w:pPr>
        <w:tabs>
          <w:tab w:val="num" w:pos="3164"/>
        </w:tabs>
        <w:ind w:left="3164" w:hanging="360"/>
      </w:pPr>
      <w:rPr>
        <w:rFonts w:ascii="Wingdings" w:hAnsi="Wingdings"/>
        <w:sz w:val="20"/>
      </w:rPr>
    </w:lvl>
    <w:lvl w:ilvl="4">
      <w:start w:val="1"/>
      <w:numFmt w:val="bullet"/>
      <w:lvlText w:val=""/>
      <w:lvlJc w:val="left"/>
      <w:pPr>
        <w:tabs>
          <w:tab w:val="num" w:pos="3884"/>
        </w:tabs>
        <w:ind w:left="3884" w:hanging="360"/>
      </w:pPr>
      <w:rPr>
        <w:rFonts w:ascii="Wingdings" w:hAnsi="Wingdings"/>
        <w:sz w:val="20"/>
      </w:rPr>
    </w:lvl>
    <w:lvl w:ilvl="5">
      <w:start w:val="1"/>
      <w:numFmt w:val="bullet"/>
      <w:lvlText w:val=""/>
      <w:lvlJc w:val="left"/>
      <w:pPr>
        <w:tabs>
          <w:tab w:val="num" w:pos="4604"/>
        </w:tabs>
        <w:ind w:left="4604" w:hanging="360"/>
      </w:pPr>
      <w:rPr>
        <w:rFonts w:ascii="Wingdings" w:hAnsi="Wingdings"/>
        <w:sz w:val="20"/>
      </w:rPr>
    </w:lvl>
    <w:lvl w:ilvl="6">
      <w:start w:val="1"/>
      <w:numFmt w:val="bullet"/>
      <w:lvlText w:val=""/>
      <w:lvlJc w:val="left"/>
      <w:pPr>
        <w:tabs>
          <w:tab w:val="num" w:pos="5324"/>
        </w:tabs>
        <w:ind w:left="5324" w:hanging="360"/>
      </w:pPr>
      <w:rPr>
        <w:rFonts w:ascii="Wingdings" w:hAnsi="Wingdings"/>
        <w:sz w:val="20"/>
      </w:rPr>
    </w:lvl>
    <w:lvl w:ilvl="7">
      <w:start w:val="1"/>
      <w:numFmt w:val="bullet"/>
      <w:lvlText w:val=""/>
      <w:lvlJc w:val="left"/>
      <w:pPr>
        <w:tabs>
          <w:tab w:val="num" w:pos="6044"/>
        </w:tabs>
        <w:ind w:left="6044" w:hanging="360"/>
      </w:pPr>
      <w:rPr>
        <w:rFonts w:ascii="Wingdings" w:hAnsi="Wingdings"/>
        <w:sz w:val="20"/>
      </w:rPr>
    </w:lvl>
    <w:lvl w:ilvl="8">
      <w:start w:val="1"/>
      <w:numFmt w:val="bullet"/>
      <w:lvlText w:val=""/>
      <w:lvlJc w:val="left"/>
      <w:pPr>
        <w:tabs>
          <w:tab w:val="num" w:pos="6764"/>
        </w:tabs>
        <w:ind w:left="6764" w:hanging="360"/>
      </w:pPr>
      <w:rPr>
        <w:rFonts w:ascii="Wingdings" w:hAnsi="Wingdings"/>
        <w:sz w:val="20"/>
      </w:rPr>
    </w:lvl>
  </w:abstractNum>
  <w:abstractNum w:abstractNumId="2" w15:restartNumberingAfterBreak="0">
    <w:nsid w:val="0000000B"/>
    <w:multiLevelType w:val="singleLevel"/>
    <w:tmpl w:val="0000000B"/>
    <w:name w:val="WW8Num12"/>
    <w:lvl w:ilvl="0">
      <w:start w:val="1"/>
      <w:numFmt w:val="bullet"/>
      <w:lvlText w:val=""/>
      <w:lvlJc w:val="left"/>
      <w:pPr>
        <w:tabs>
          <w:tab w:val="num" w:pos="360"/>
        </w:tabs>
        <w:ind w:left="360" w:hanging="360"/>
      </w:pPr>
      <w:rPr>
        <w:rFonts w:ascii="Symbol" w:hAnsi="Symbol"/>
      </w:rPr>
    </w:lvl>
  </w:abstractNum>
  <w:abstractNum w:abstractNumId="3" w15:restartNumberingAfterBreak="0">
    <w:nsid w:val="0000000D"/>
    <w:multiLevelType w:val="singleLevel"/>
    <w:tmpl w:val="0000000D"/>
    <w:name w:val="WW8Num15"/>
    <w:lvl w:ilvl="0">
      <w:start w:val="1"/>
      <w:numFmt w:val="decimal"/>
      <w:lvlText w:val="%1."/>
      <w:lvlJc w:val="left"/>
      <w:pPr>
        <w:tabs>
          <w:tab w:val="num" w:pos="1264"/>
        </w:tabs>
        <w:ind w:left="1264" w:hanging="360"/>
      </w:pPr>
    </w:lvl>
  </w:abstractNum>
  <w:abstractNum w:abstractNumId="4" w15:restartNumberingAfterBreak="0">
    <w:nsid w:val="00000011"/>
    <w:multiLevelType w:val="singleLevel"/>
    <w:tmpl w:val="00000011"/>
    <w:name w:val="WW8Num19"/>
    <w:lvl w:ilvl="0">
      <w:start w:val="1"/>
      <w:numFmt w:val="bullet"/>
      <w:lvlText w:val=""/>
      <w:lvlJc w:val="left"/>
      <w:pPr>
        <w:tabs>
          <w:tab w:val="num" w:pos="1440"/>
        </w:tabs>
        <w:ind w:left="1440" w:hanging="360"/>
      </w:pPr>
      <w:rPr>
        <w:rFonts w:ascii="Symbol" w:hAnsi="Symbol"/>
      </w:rPr>
    </w:lvl>
  </w:abstractNum>
  <w:abstractNum w:abstractNumId="5" w15:restartNumberingAfterBreak="0">
    <w:nsid w:val="054E3122"/>
    <w:multiLevelType w:val="multilevel"/>
    <w:tmpl w:val="21E825F4"/>
    <w:lvl w:ilvl="0">
      <w:start w:val="6"/>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 w15:restartNumberingAfterBreak="0">
    <w:nsid w:val="07933A86"/>
    <w:multiLevelType w:val="hybridMultilevel"/>
    <w:tmpl w:val="BE0A1AD8"/>
    <w:lvl w:ilvl="0" w:tplc="7C4A97E4">
      <w:start w:val="1"/>
      <w:numFmt w:val="bullet"/>
      <w:lvlText w:val="-"/>
      <w:lvlJc w:val="left"/>
      <w:pPr>
        <w:ind w:left="1260" w:hanging="360"/>
      </w:pPr>
      <w:rPr>
        <w:rFonts w:ascii="Segoe UI" w:hAnsi="Segoe UI"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15:restartNumberingAfterBreak="0">
    <w:nsid w:val="086B2F55"/>
    <w:multiLevelType w:val="hybridMultilevel"/>
    <w:tmpl w:val="F7681D4A"/>
    <w:lvl w:ilvl="0" w:tplc="0419000D">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15:restartNumberingAfterBreak="0">
    <w:nsid w:val="089B5470"/>
    <w:multiLevelType w:val="multilevel"/>
    <w:tmpl w:val="267816C4"/>
    <w:lvl w:ilvl="0">
      <w:start w:val="3"/>
      <w:numFmt w:val="decimal"/>
      <w:lvlText w:val="%1."/>
      <w:lvlJc w:val="left"/>
      <w:pPr>
        <w:ind w:left="420" w:hanging="420"/>
      </w:pPr>
      <w:rPr>
        <w:rFonts w:ascii="Times New Roman" w:hAnsi="Times New Roman" w:cs="Times New Roman" w:hint="default"/>
        <w:sz w:val="28"/>
        <w:szCs w:val="28"/>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15:restartNumberingAfterBreak="0">
    <w:nsid w:val="0A616086"/>
    <w:multiLevelType w:val="hybridMultilevel"/>
    <w:tmpl w:val="66925D0A"/>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0" w15:restartNumberingAfterBreak="0">
    <w:nsid w:val="0C19470C"/>
    <w:multiLevelType w:val="hybridMultilevel"/>
    <w:tmpl w:val="CCAEAF78"/>
    <w:lvl w:ilvl="0" w:tplc="0419000B">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1" w15:restartNumberingAfterBreak="0">
    <w:nsid w:val="0E2F487E"/>
    <w:multiLevelType w:val="singleLevel"/>
    <w:tmpl w:val="95126C9A"/>
    <w:lvl w:ilvl="0">
      <w:start w:val="1"/>
      <w:numFmt w:val="decimal"/>
      <w:lvlText w:val="%1."/>
      <w:legacy w:legacy="1" w:legacySpace="0" w:legacyIndent="177"/>
      <w:lvlJc w:val="left"/>
      <w:pPr>
        <w:ind w:left="0" w:firstLine="0"/>
      </w:pPr>
      <w:rPr>
        <w:rFonts w:ascii="Times New Roman" w:hAnsi="Times New Roman" w:cs="Times New Roman" w:hint="default"/>
      </w:rPr>
    </w:lvl>
  </w:abstractNum>
  <w:abstractNum w:abstractNumId="12" w15:restartNumberingAfterBreak="0">
    <w:nsid w:val="13E73082"/>
    <w:multiLevelType w:val="multilevel"/>
    <w:tmpl w:val="ED149DE0"/>
    <w:styleLink w:val="2"/>
    <w:lvl w:ilvl="0">
      <w:start w:val="1"/>
      <w:numFmt w:val="russianLower"/>
      <w:lvlText w:val="%1."/>
      <w:lvlJc w:val="left"/>
      <w:pPr>
        <w:ind w:left="1069" w:hanging="360"/>
      </w:pPr>
      <w:rPr>
        <w:rFonts w:hint="default"/>
      </w:rPr>
    </w:lvl>
    <w:lvl w:ilvl="1">
      <w:start w:val="1"/>
      <w:numFmt w:val="none"/>
      <w:isLgl/>
      <w:lvlText w:val="А. а."/>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13" w15:restartNumberingAfterBreak="0">
    <w:nsid w:val="1882592A"/>
    <w:multiLevelType w:val="hybridMultilevel"/>
    <w:tmpl w:val="6B92377C"/>
    <w:lvl w:ilvl="0" w:tplc="FFFFFFFF">
      <w:start w:val="1"/>
      <w:numFmt w:val="bullet"/>
      <w:lvlText w:val=""/>
      <w:lvlJc w:val="left"/>
      <w:pPr>
        <w:ind w:left="1713"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15:restartNumberingAfterBreak="0">
    <w:nsid w:val="1BAD6096"/>
    <w:multiLevelType w:val="hybridMultilevel"/>
    <w:tmpl w:val="6AD4E830"/>
    <w:lvl w:ilvl="0" w:tplc="0419000B">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15:restartNumberingAfterBreak="0">
    <w:nsid w:val="1C9A6EFC"/>
    <w:multiLevelType w:val="hybridMultilevel"/>
    <w:tmpl w:val="35FC9312"/>
    <w:lvl w:ilvl="0" w:tplc="5C80F98A">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C200C1E"/>
    <w:multiLevelType w:val="multilevel"/>
    <w:tmpl w:val="B7E438C0"/>
    <w:lvl w:ilvl="0">
      <w:start w:val="1"/>
      <w:numFmt w:val="decimal"/>
      <w:lvlText w:val="%1."/>
      <w:lvlJc w:val="left"/>
      <w:pPr>
        <w:ind w:left="720" w:hanging="360"/>
      </w:pPr>
      <w:rPr>
        <w:rFonts w:asciiTheme="majorHAnsi" w:eastAsiaTheme="majorEastAsia" w:hAnsiTheme="majorHAnsi" w:cstheme="majorBidi"/>
        <w:b/>
      </w:r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2F9F1E92"/>
    <w:multiLevelType w:val="hybridMultilevel"/>
    <w:tmpl w:val="4C8C25A2"/>
    <w:lvl w:ilvl="0" w:tplc="FF62F116">
      <w:start w:val="1374"/>
      <w:numFmt w:val="bullet"/>
      <w:pStyle w:val="a"/>
      <w:lvlText w:val="-"/>
      <w:lvlJc w:val="left"/>
      <w:pPr>
        <w:tabs>
          <w:tab w:val="num" w:pos="360"/>
        </w:tabs>
        <w:ind w:left="360" w:firstLine="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15:restartNumberingAfterBreak="0">
    <w:nsid w:val="322C7791"/>
    <w:multiLevelType w:val="hybridMultilevel"/>
    <w:tmpl w:val="70AE2636"/>
    <w:lvl w:ilvl="0" w:tplc="04190001">
      <w:start w:val="1"/>
      <w:numFmt w:val="bullet"/>
      <w:lvlText w:val=""/>
      <w:lvlJc w:val="left"/>
      <w:pPr>
        <w:ind w:left="1571"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15:restartNumberingAfterBreak="0">
    <w:nsid w:val="3B11357B"/>
    <w:multiLevelType w:val="multilevel"/>
    <w:tmpl w:val="B8CE4690"/>
    <w:lvl w:ilvl="0">
      <w:start w:val="1"/>
      <w:numFmt w:val="russianUpper"/>
      <w:lvlText w:val="%1)"/>
      <w:lvlJc w:val="left"/>
      <w:pPr>
        <w:ind w:left="360" w:hanging="360"/>
      </w:pPr>
      <w:rPr>
        <w:rFonts w:hint="default"/>
      </w:rPr>
    </w:lvl>
    <w:lvl w:ilvl="1">
      <w:start w:val="1"/>
      <w:numFmt w:val="russianLow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E25639A"/>
    <w:multiLevelType w:val="hybridMultilevel"/>
    <w:tmpl w:val="B442EF44"/>
    <w:lvl w:ilvl="0" w:tplc="9DC62604">
      <w:start w:val="1"/>
      <w:numFmt w:val="bullet"/>
      <w:lvlText w:val=""/>
      <w:lvlJc w:val="left"/>
      <w:pPr>
        <w:ind w:left="1429" w:hanging="360"/>
      </w:pPr>
      <w:rPr>
        <w:rFonts w:ascii="Wingdings" w:hAnsi="Wingdings"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1" w15:restartNumberingAfterBreak="0">
    <w:nsid w:val="40BE696E"/>
    <w:multiLevelType w:val="multilevel"/>
    <w:tmpl w:val="B8CE4690"/>
    <w:lvl w:ilvl="0">
      <w:start w:val="1"/>
      <w:numFmt w:val="russianUpper"/>
      <w:lvlText w:val="%1)"/>
      <w:lvlJc w:val="left"/>
      <w:pPr>
        <w:ind w:left="360" w:hanging="360"/>
      </w:pPr>
      <w:rPr>
        <w:rFonts w:hint="default"/>
      </w:rPr>
    </w:lvl>
    <w:lvl w:ilvl="1">
      <w:start w:val="1"/>
      <w:numFmt w:val="russianLow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41284CE4"/>
    <w:multiLevelType w:val="multilevel"/>
    <w:tmpl w:val="2CF86C72"/>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15:restartNumberingAfterBreak="0">
    <w:nsid w:val="417432A2"/>
    <w:multiLevelType w:val="multilevel"/>
    <w:tmpl w:val="B8CE4690"/>
    <w:lvl w:ilvl="0">
      <w:start w:val="1"/>
      <w:numFmt w:val="russianUpper"/>
      <w:lvlText w:val="%1)"/>
      <w:lvlJc w:val="left"/>
      <w:pPr>
        <w:ind w:left="360" w:hanging="360"/>
      </w:pPr>
      <w:rPr>
        <w:rFonts w:hint="default"/>
      </w:rPr>
    </w:lvl>
    <w:lvl w:ilvl="1">
      <w:start w:val="1"/>
      <w:numFmt w:val="russianLow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426A2CA1"/>
    <w:multiLevelType w:val="multilevel"/>
    <w:tmpl w:val="E3FA8D82"/>
    <w:lvl w:ilvl="0">
      <w:start w:val="7"/>
      <w:numFmt w:val="decimal"/>
      <w:lvlText w:val="%1."/>
      <w:lvlJc w:val="left"/>
      <w:pPr>
        <w:ind w:left="720" w:hanging="360"/>
      </w:pPr>
      <w:rPr>
        <w:rFonts w:ascii="Times New Roman" w:hAnsi="Times New Roman" w:cs="Times New Roman" w:hint="default"/>
        <w:sz w:val="28"/>
        <w:szCs w:val="28"/>
      </w:rPr>
    </w:lvl>
    <w:lvl w:ilvl="1">
      <w:start w:val="1"/>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8280" w:hanging="2160"/>
      </w:pPr>
      <w:rPr>
        <w:rFonts w:hint="default"/>
      </w:rPr>
    </w:lvl>
  </w:abstractNum>
  <w:abstractNum w:abstractNumId="25" w15:restartNumberingAfterBreak="0">
    <w:nsid w:val="438F1A92"/>
    <w:multiLevelType w:val="multilevel"/>
    <w:tmpl w:val="325E9AB4"/>
    <w:lvl w:ilvl="0">
      <w:start w:val="1"/>
      <w:numFmt w:val="decimal"/>
      <w:lvlText w:val="%1."/>
      <w:lvlJc w:val="left"/>
      <w:pPr>
        <w:ind w:left="390" w:hanging="39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6" w15:restartNumberingAfterBreak="0">
    <w:nsid w:val="43B940AD"/>
    <w:multiLevelType w:val="hybridMultilevel"/>
    <w:tmpl w:val="737CCD22"/>
    <w:lvl w:ilvl="0" w:tplc="FFFFFFFF">
      <w:start w:val="1"/>
      <w:numFmt w:val="bullet"/>
      <w:lvlText w:val=""/>
      <w:lvlJc w:val="left"/>
      <w:pPr>
        <w:ind w:left="12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15:restartNumberingAfterBreak="0">
    <w:nsid w:val="440F3754"/>
    <w:multiLevelType w:val="hybridMultilevel"/>
    <w:tmpl w:val="885A46B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C995D25"/>
    <w:multiLevelType w:val="multilevel"/>
    <w:tmpl w:val="3676A33E"/>
    <w:lvl w:ilvl="0">
      <w:start w:val="9"/>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9" w15:restartNumberingAfterBreak="0">
    <w:nsid w:val="582C5342"/>
    <w:multiLevelType w:val="hybridMultilevel"/>
    <w:tmpl w:val="436A8982"/>
    <w:lvl w:ilvl="0" w:tplc="0419000F">
      <w:start w:val="5"/>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AD56CD5"/>
    <w:multiLevelType w:val="multilevel"/>
    <w:tmpl w:val="E1647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CC17F43"/>
    <w:multiLevelType w:val="multilevel"/>
    <w:tmpl w:val="B8CE4690"/>
    <w:lvl w:ilvl="0">
      <w:start w:val="1"/>
      <w:numFmt w:val="russianUpper"/>
      <w:lvlText w:val="%1)"/>
      <w:lvlJc w:val="left"/>
      <w:pPr>
        <w:ind w:left="360" w:hanging="360"/>
      </w:pPr>
      <w:rPr>
        <w:rFonts w:hint="default"/>
      </w:rPr>
    </w:lvl>
    <w:lvl w:ilvl="1">
      <w:start w:val="1"/>
      <w:numFmt w:val="russianLow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20"/>
  </w:num>
  <w:num w:numId="2">
    <w:abstractNumId w:val="15"/>
    <w:lvlOverride w:ilvl="0"/>
    <w:lvlOverride w:ilvl="1">
      <w:startOverride w:val="1"/>
    </w:lvlOverride>
    <w:lvlOverride w:ilvl="2"/>
    <w:lvlOverride w:ilvl="3"/>
    <w:lvlOverride w:ilvl="4"/>
    <w:lvlOverride w:ilvl="5"/>
    <w:lvlOverride w:ilvl="6"/>
    <w:lvlOverride w:ilvl="7"/>
    <w:lvlOverride w:ilvl="8"/>
  </w:num>
  <w:num w:numId="3">
    <w:abstractNumId w:val="27"/>
  </w:num>
  <w:num w:numId="4">
    <w:abstractNumId w:val="29"/>
  </w:num>
  <w:num w:numId="5">
    <w:abstractNumId w:val="25"/>
  </w:num>
  <w:num w:numId="6">
    <w:abstractNumId w:val="23"/>
  </w:num>
  <w:num w:numId="7">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num>
  <w:num w:numId="10">
    <w:abstractNumId w:val="8"/>
  </w:num>
  <w:num w:numId="11">
    <w:abstractNumId w:val="24"/>
  </w:num>
  <w:num w:numId="12">
    <w:abstractNumId w:val="16"/>
  </w:num>
  <w:num w:numId="13">
    <w:abstractNumId w:val="5"/>
  </w:num>
  <w:num w:numId="14">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num>
  <w:num w:numId="18">
    <w:abstractNumId w:val="0"/>
    <w:lvlOverride w:ilvl="0">
      <w:lvl w:ilvl="0">
        <w:numFmt w:val="bullet"/>
        <w:lvlText w:val="•"/>
        <w:legacy w:legacy="1" w:legacySpace="0" w:legacyIndent="206"/>
        <w:lvlJc w:val="left"/>
        <w:pPr>
          <w:ind w:left="0" w:firstLine="0"/>
        </w:pPr>
        <w:rPr>
          <w:rFonts w:ascii="Times New Roman" w:hAnsi="Times New Roman" w:cs="Times New Roman" w:hint="default"/>
        </w:rPr>
      </w:lvl>
    </w:lvlOverride>
  </w:num>
  <w:num w:numId="19">
    <w:abstractNumId w:val="10"/>
  </w:num>
  <w:num w:numId="20">
    <w:abstractNumId w:val="14"/>
  </w:num>
  <w:num w:numId="21">
    <w:abstractNumId w:val="9"/>
  </w:num>
  <w:num w:numId="22">
    <w:abstractNumId w:val="11"/>
    <w:lvlOverride w:ilvl="0">
      <w:startOverride w:val="1"/>
    </w:lvlOverride>
  </w:num>
  <w:num w:numId="23">
    <w:abstractNumId w:val="12"/>
  </w:num>
  <w:num w:numId="24">
    <w:abstractNumId w:val="31"/>
  </w:num>
  <w:num w:numId="25">
    <w:abstractNumId w:val="1"/>
  </w:num>
  <w:num w:numId="26">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
  </w:num>
  <w:num w:numId="28">
    <w:abstractNumId w:val="7"/>
  </w:num>
  <w:num w:numId="29">
    <w:abstractNumId w:val="15"/>
  </w:num>
  <w:num w:numId="30">
    <w:abstractNumId w:val="19"/>
  </w:num>
  <w:num w:numId="31">
    <w:abstractNumId w:val="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1"/>
  </w:num>
  <w:num w:numId="33">
    <w:abstractNumId w:val="31"/>
  </w:num>
  <w:num w:numId="34">
    <w:abstractNumId w:val="2"/>
  </w:num>
  <w:num w:numId="35">
    <w:abstractNumId w:val="2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readOnly" w:enforcement="0"/>
  <w:defaultTabStop w:val="708"/>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5278"/>
    <w:rsid w:val="00000EFB"/>
    <w:rsid w:val="00004150"/>
    <w:rsid w:val="00004A01"/>
    <w:rsid w:val="0000504E"/>
    <w:rsid w:val="00007373"/>
    <w:rsid w:val="00007C9A"/>
    <w:rsid w:val="00010529"/>
    <w:rsid w:val="0001080D"/>
    <w:rsid w:val="000117CB"/>
    <w:rsid w:val="000132A3"/>
    <w:rsid w:val="0001418E"/>
    <w:rsid w:val="00016277"/>
    <w:rsid w:val="00017AD8"/>
    <w:rsid w:val="000202A3"/>
    <w:rsid w:val="00020A08"/>
    <w:rsid w:val="00022F3A"/>
    <w:rsid w:val="00023E83"/>
    <w:rsid w:val="000240D2"/>
    <w:rsid w:val="00024EA0"/>
    <w:rsid w:val="000261D7"/>
    <w:rsid w:val="0002674C"/>
    <w:rsid w:val="00027816"/>
    <w:rsid w:val="00033140"/>
    <w:rsid w:val="000353DC"/>
    <w:rsid w:val="000358EB"/>
    <w:rsid w:val="00036E31"/>
    <w:rsid w:val="00037CCA"/>
    <w:rsid w:val="0004010F"/>
    <w:rsid w:val="00041C4A"/>
    <w:rsid w:val="000421D3"/>
    <w:rsid w:val="00042EA0"/>
    <w:rsid w:val="00044096"/>
    <w:rsid w:val="00044C93"/>
    <w:rsid w:val="00045306"/>
    <w:rsid w:val="00050342"/>
    <w:rsid w:val="00050D5A"/>
    <w:rsid w:val="000510DE"/>
    <w:rsid w:val="000517A8"/>
    <w:rsid w:val="00051D81"/>
    <w:rsid w:val="000522DE"/>
    <w:rsid w:val="000542B6"/>
    <w:rsid w:val="0005438F"/>
    <w:rsid w:val="00056765"/>
    <w:rsid w:val="00056BB5"/>
    <w:rsid w:val="00056F5F"/>
    <w:rsid w:val="00061EC7"/>
    <w:rsid w:val="00062300"/>
    <w:rsid w:val="00064796"/>
    <w:rsid w:val="00066781"/>
    <w:rsid w:val="00066BAC"/>
    <w:rsid w:val="00067C88"/>
    <w:rsid w:val="00071C2C"/>
    <w:rsid w:val="00071C3E"/>
    <w:rsid w:val="00072CAA"/>
    <w:rsid w:val="000746ED"/>
    <w:rsid w:val="00074EA3"/>
    <w:rsid w:val="000755C5"/>
    <w:rsid w:val="00076C7E"/>
    <w:rsid w:val="000778A9"/>
    <w:rsid w:val="00077C76"/>
    <w:rsid w:val="00077CDB"/>
    <w:rsid w:val="00080AF5"/>
    <w:rsid w:val="00080F7A"/>
    <w:rsid w:val="000854A9"/>
    <w:rsid w:val="000855B8"/>
    <w:rsid w:val="00086C49"/>
    <w:rsid w:val="000903D8"/>
    <w:rsid w:val="0009186E"/>
    <w:rsid w:val="00091DE4"/>
    <w:rsid w:val="00093F74"/>
    <w:rsid w:val="00096FBA"/>
    <w:rsid w:val="000A0873"/>
    <w:rsid w:val="000A4C9E"/>
    <w:rsid w:val="000A67F1"/>
    <w:rsid w:val="000A78F7"/>
    <w:rsid w:val="000A7BCE"/>
    <w:rsid w:val="000A7C2B"/>
    <w:rsid w:val="000B01FB"/>
    <w:rsid w:val="000B081D"/>
    <w:rsid w:val="000B3C53"/>
    <w:rsid w:val="000B4EEE"/>
    <w:rsid w:val="000B5440"/>
    <w:rsid w:val="000B739A"/>
    <w:rsid w:val="000B7405"/>
    <w:rsid w:val="000B7530"/>
    <w:rsid w:val="000C2D13"/>
    <w:rsid w:val="000C650E"/>
    <w:rsid w:val="000C6A88"/>
    <w:rsid w:val="000D27CF"/>
    <w:rsid w:val="000D3951"/>
    <w:rsid w:val="000D63AD"/>
    <w:rsid w:val="000D7A77"/>
    <w:rsid w:val="000E05F3"/>
    <w:rsid w:val="000E0990"/>
    <w:rsid w:val="000E1D53"/>
    <w:rsid w:val="000E2915"/>
    <w:rsid w:val="000E2E43"/>
    <w:rsid w:val="000E3D67"/>
    <w:rsid w:val="000E4C77"/>
    <w:rsid w:val="000E52DA"/>
    <w:rsid w:val="000E5B07"/>
    <w:rsid w:val="000E6093"/>
    <w:rsid w:val="000E6D5D"/>
    <w:rsid w:val="000F17D8"/>
    <w:rsid w:val="000F1F18"/>
    <w:rsid w:val="000F232B"/>
    <w:rsid w:val="000F2D75"/>
    <w:rsid w:val="000F3666"/>
    <w:rsid w:val="000F3B97"/>
    <w:rsid w:val="000F5B02"/>
    <w:rsid w:val="000F6F57"/>
    <w:rsid w:val="0010113F"/>
    <w:rsid w:val="0010256C"/>
    <w:rsid w:val="0010274C"/>
    <w:rsid w:val="00104505"/>
    <w:rsid w:val="00106497"/>
    <w:rsid w:val="00106A2C"/>
    <w:rsid w:val="00106A4F"/>
    <w:rsid w:val="00106FEF"/>
    <w:rsid w:val="0011293C"/>
    <w:rsid w:val="00112BA0"/>
    <w:rsid w:val="001130DB"/>
    <w:rsid w:val="001148A3"/>
    <w:rsid w:val="00114A3D"/>
    <w:rsid w:val="00115065"/>
    <w:rsid w:val="001173B9"/>
    <w:rsid w:val="00122488"/>
    <w:rsid w:val="00122CDA"/>
    <w:rsid w:val="00122E0F"/>
    <w:rsid w:val="00125502"/>
    <w:rsid w:val="001270D6"/>
    <w:rsid w:val="0012792A"/>
    <w:rsid w:val="00132B88"/>
    <w:rsid w:val="0013538A"/>
    <w:rsid w:val="00135C0E"/>
    <w:rsid w:val="001361AA"/>
    <w:rsid w:val="001361B9"/>
    <w:rsid w:val="00141969"/>
    <w:rsid w:val="00141DEA"/>
    <w:rsid w:val="00142882"/>
    <w:rsid w:val="0014305E"/>
    <w:rsid w:val="00143121"/>
    <w:rsid w:val="00143680"/>
    <w:rsid w:val="00143BA7"/>
    <w:rsid w:val="001475D9"/>
    <w:rsid w:val="001514F3"/>
    <w:rsid w:val="001526A9"/>
    <w:rsid w:val="00153615"/>
    <w:rsid w:val="00155777"/>
    <w:rsid w:val="001558CB"/>
    <w:rsid w:val="001577A0"/>
    <w:rsid w:val="001577D0"/>
    <w:rsid w:val="001609FB"/>
    <w:rsid w:val="0016120D"/>
    <w:rsid w:val="00162EA4"/>
    <w:rsid w:val="001634D4"/>
    <w:rsid w:val="001655A2"/>
    <w:rsid w:val="001667DB"/>
    <w:rsid w:val="0017089D"/>
    <w:rsid w:val="00170F57"/>
    <w:rsid w:val="00171772"/>
    <w:rsid w:val="00172B64"/>
    <w:rsid w:val="001730A5"/>
    <w:rsid w:val="00173312"/>
    <w:rsid w:val="00176EFD"/>
    <w:rsid w:val="00177B75"/>
    <w:rsid w:val="0018047A"/>
    <w:rsid w:val="00182807"/>
    <w:rsid w:val="00184211"/>
    <w:rsid w:val="00184484"/>
    <w:rsid w:val="00184BF7"/>
    <w:rsid w:val="0018522C"/>
    <w:rsid w:val="001862FE"/>
    <w:rsid w:val="001924EA"/>
    <w:rsid w:val="001957D5"/>
    <w:rsid w:val="0019654C"/>
    <w:rsid w:val="0019667F"/>
    <w:rsid w:val="00197FA8"/>
    <w:rsid w:val="001A0E33"/>
    <w:rsid w:val="001A3BBB"/>
    <w:rsid w:val="001A3D71"/>
    <w:rsid w:val="001A4C35"/>
    <w:rsid w:val="001A536F"/>
    <w:rsid w:val="001A7F44"/>
    <w:rsid w:val="001B1B91"/>
    <w:rsid w:val="001B4637"/>
    <w:rsid w:val="001B7137"/>
    <w:rsid w:val="001B726F"/>
    <w:rsid w:val="001B7B1E"/>
    <w:rsid w:val="001C0149"/>
    <w:rsid w:val="001C1C6C"/>
    <w:rsid w:val="001C228A"/>
    <w:rsid w:val="001C51F1"/>
    <w:rsid w:val="001C7020"/>
    <w:rsid w:val="001C79E0"/>
    <w:rsid w:val="001D041C"/>
    <w:rsid w:val="001D4470"/>
    <w:rsid w:val="001D61FD"/>
    <w:rsid w:val="001D6822"/>
    <w:rsid w:val="001E1548"/>
    <w:rsid w:val="001E1704"/>
    <w:rsid w:val="001E1923"/>
    <w:rsid w:val="001E286C"/>
    <w:rsid w:val="001E3745"/>
    <w:rsid w:val="001E3C3A"/>
    <w:rsid w:val="001E4062"/>
    <w:rsid w:val="001E4EEB"/>
    <w:rsid w:val="001E5220"/>
    <w:rsid w:val="001E7751"/>
    <w:rsid w:val="001E7E56"/>
    <w:rsid w:val="001E7F3C"/>
    <w:rsid w:val="001E7F6B"/>
    <w:rsid w:val="001F27EA"/>
    <w:rsid w:val="001F2A68"/>
    <w:rsid w:val="001F3B70"/>
    <w:rsid w:val="001F3F5C"/>
    <w:rsid w:val="0020257C"/>
    <w:rsid w:val="00204737"/>
    <w:rsid w:val="002067D1"/>
    <w:rsid w:val="00206FD1"/>
    <w:rsid w:val="00207297"/>
    <w:rsid w:val="0020751C"/>
    <w:rsid w:val="002117B2"/>
    <w:rsid w:val="00212FA7"/>
    <w:rsid w:val="0021311B"/>
    <w:rsid w:val="002176D6"/>
    <w:rsid w:val="00220BA1"/>
    <w:rsid w:val="0022177C"/>
    <w:rsid w:val="00224701"/>
    <w:rsid w:val="002251AC"/>
    <w:rsid w:val="002263F1"/>
    <w:rsid w:val="00226550"/>
    <w:rsid w:val="002303F5"/>
    <w:rsid w:val="00232D16"/>
    <w:rsid w:val="002341D2"/>
    <w:rsid w:val="00234315"/>
    <w:rsid w:val="00235278"/>
    <w:rsid w:val="00236876"/>
    <w:rsid w:val="0023724A"/>
    <w:rsid w:val="0024247F"/>
    <w:rsid w:val="002439AB"/>
    <w:rsid w:val="00246E4F"/>
    <w:rsid w:val="0025196A"/>
    <w:rsid w:val="002530C9"/>
    <w:rsid w:val="0025436D"/>
    <w:rsid w:val="002545BD"/>
    <w:rsid w:val="002568D7"/>
    <w:rsid w:val="00256DCD"/>
    <w:rsid w:val="002577F1"/>
    <w:rsid w:val="00257CE9"/>
    <w:rsid w:val="00260BFF"/>
    <w:rsid w:val="00265526"/>
    <w:rsid w:val="00265753"/>
    <w:rsid w:val="00266409"/>
    <w:rsid w:val="00266C09"/>
    <w:rsid w:val="0026729F"/>
    <w:rsid w:val="0027065C"/>
    <w:rsid w:val="0027188C"/>
    <w:rsid w:val="00271973"/>
    <w:rsid w:val="00272E67"/>
    <w:rsid w:val="002756F9"/>
    <w:rsid w:val="002762B1"/>
    <w:rsid w:val="0027637E"/>
    <w:rsid w:val="00276EA1"/>
    <w:rsid w:val="0028058D"/>
    <w:rsid w:val="002809B1"/>
    <w:rsid w:val="0028330E"/>
    <w:rsid w:val="00283495"/>
    <w:rsid w:val="00283F29"/>
    <w:rsid w:val="00284AA1"/>
    <w:rsid w:val="00285D95"/>
    <w:rsid w:val="00285F77"/>
    <w:rsid w:val="002861CB"/>
    <w:rsid w:val="002870BA"/>
    <w:rsid w:val="002873D0"/>
    <w:rsid w:val="00293547"/>
    <w:rsid w:val="00294203"/>
    <w:rsid w:val="002953CD"/>
    <w:rsid w:val="00295B9E"/>
    <w:rsid w:val="0029703D"/>
    <w:rsid w:val="002A2DD5"/>
    <w:rsid w:val="002A34A1"/>
    <w:rsid w:val="002A3983"/>
    <w:rsid w:val="002A57A3"/>
    <w:rsid w:val="002A5EDA"/>
    <w:rsid w:val="002A708D"/>
    <w:rsid w:val="002A725C"/>
    <w:rsid w:val="002A7984"/>
    <w:rsid w:val="002A7F82"/>
    <w:rsid w:val="002B064D"/>
    <w:rsid w:val="002B1630"/>
    <w:rsid w:val="002B4C93"/>
    <w:rsid w:val="002B7CA9"/>
    <w:rsid w:val="002C0AE7"/>
    <w:rsid w:val="002C1962"/>
    <w:rsid w:val="002C21A0"/>
    <w:rsid w:val="002C68F5"/>
    <w:rsid w:val="002C6D6C"/>
    <w:rsid w:val="002C712E"/>
    <w:rsid w:val="002D086E"/>
    <w:rsid w:val="002D20F9"/>
    <w:rsid w:val="002D23BD"/>
    <w:rsid w:val="002D26C8"/>
    <w:rsid w:val="002D40E1"/>
    <w:rsid w:val="002D4436"/>
    <w:rsid w:val="002D4EF0"/>
    <w:rsid w:val="002D599B"/>
    <w:rsid w:val="002D6663"/>
    <w:rsid w:val="002D6FCE"/>
    <w:rsid w:val="002D7AA1"/>
    <w:rsid w:val="002D7BB5"/>
    <w:rsid w:val="002E1CA1"/>
    <w:rsid w:val="002E3412"/>
    <w:rsid w:val="002E6E56"/>
    <w:rsid w:val="002F0B1F"/>
    <w:rsid w:val="002F20A2"/>
    <w:rsid w:val="002F4176"/>
    <w:rsid w:val="002F4E0F"/>
    <w:rsid w:val="002F5FF5"/>
    <w:rsid w:val="003017E4"/>
    <w:rsid w:val="003023C8"/>
    <w:rsid w:val="0030387A"/>
    <w:rsid w:val="0030504A"/>
    <w:rsid w:val="00305BC3"/>
    <w:rsid w:val="00306598"/>
    <w:rsid w:val="00307778"/>
    <w:rsid w:val="00310A18"/>
    <w:rsid w:val="00311E5C"/>
    <w:rsid w:val="0031231A"/>
    <w:rsid w:val="00312C03"/>
    <w:rsid w:val="00322180"/>
    <w:rsid w:val="00325117"/>
    <w:rsid w:val="00325131"/>
    <w:rsid w:val="0032528A"/>
    <w:rsid w:val="0032565A"/>
    <w:rsid w:val="0032567C"/>
    <w:rsid w:val="003262B9"/>
    <w:rsid w:val="003268F0"/>
    <w:rsid w:val="0032740E"/>
    <w:rsid w:val="0033416A"/>
    <w:rsid w:val="0033499A"/>
    <w:rsid w:val="00335176"/>
    <w:rsid w:val="00335314"/>
    <w:rsid w:val="003353D2"/>
    <w:rsid w:val="003355C1"/>
    <w:rsid w:val="00335BA0"/>
    <w:rsid w:val="00335E25"/>
    <w:rsid w:val="00340613"/>
    <w:rsid w:val="00341263"/>
    <w:rsid w:val="00341FCB"/>
    <w:rsid w:val="0034337A"/>
    <w:rsid w:val="00343388"/>
    <w:rsid w:val="00343BB2"/>
    <w:rsid w:val="00344590"/>
    <w:rsid w:val="00344ADC"/>
    <w:rsid w:val="003464F6"/>
    <w:rsid w:val="00346D80"/>
    <w:rsid w:val="00347AC7"/>
    <w:rsid w:val="00351BCD"/>
    <w:rsid w:val="00354168"/>
    <w:rsid w:val="00355C04"/>
    <w:rsid w:val="00364863"/>
    <w:rsid w:val="00365D42"/>
    <w:rsid w:val="00372432"/>
    <w:rsid w:val="00372655"/>
    <w:rsid w:val="00373776"/>
    <w:rsid w:val="00376803"/>
    <w:rsid w:val="00380CCC"/>
    <w:rsid w:val="00381B86"/>
    <w:rsid w:val="003825C5"/>
    <w:rsid w:val="00382A6B"/>
    <w:rsid w:val="00382F45"/>
    <w:rsid w:val="0038397A"/>
    <w:rsid w:val="00383BE8"/>
    <w:rsid w:val="00384181"/>
    <w:rsid w:val="00384A1B"/>
    <w:rsid w:val="00384A37"/>
    <w:rsid w:val="00390A68"/>
    <w:rsid w:val="0039202B"/>
    <w:rsid w:val="00394068"/>
    <w:rsid w:val="003961CF"/>
    <w:rsid w:val="0039667E"/>
    <w:rsid w:val="003A02CA"/>
    <w:rsid w:val="003A09BA"/>
    <w:rsid w:val="003A0AB0"/>
    <w:rsid w:val="003A1B07"/>
    <w:rsid w:val="003A281D"/>
    <w:rsid w:val="003A4E59"/>
    <w:rsid w:val="003A50BD"/>
    <w:rsid w:val="003A76E7"/>
    <w:rsid w:val="003B29D4"/>
    <w:rsid w:val="003B4C9C"/>
    <w:rsid w:val="003B69F7"/>
    <w:rsid w:val="003C2BCB"/>
    <w:rsid w:val="003C35AB"/>
    <w:rsid w:val="003C36F6"/>
    <w:rsid w:val="003C37E8"/>
    <w:rsid w:val="003C4BDB"/>
    <w:rsid w:val="003C581E"/>
    <w:rsid w:val="003C5A1E"/>
    <w:rsid w:val="003C6B9A"/>
    <w:rsid w:val="003C7B28"/>
    <w:rsid w:val="003C7BAF"/>
    <w:rsid w:val="003C7BF3"/>
    <w:rsid w:val="003D03FA"/>
    <w:rsid w:val="003D0467"/>
    <w:rsid w:val="003D0C70"/>
    <w:rsid w:val="003D15A3"/>
    <w:rsid w:val="003D16AC"/>
    <w:rsid w:val="003D1A80"/>
    <w:rsid w:val="003D38F0"/>
    <w:rsid w:val="003D3BC9"/>
    <w:rsid w:val="003D4140"/>
    <w:rsid w:val="003D58BC"/>
    <w:rsid w:val="003D638D"/>
    <w:rsid w:val="003E3281"/>
    <w:rsid w:val="003E5A1F"/>
    <w:rsid w:val="003E667F"/>
    <w:rsid w:val="003F0BDA"/>
    <w:rsid w:val="003F1428"/>
    <w:rsid w:val="003F230B"/>
    <w:rsid w:val="003F2EA6"/>
    <w:rsid w:val="003F465B"/>
    <w:rsid w:val="003F5AD9"/>
    <w:rsid w:val="00401171"/>
    <w:rsid w:val="004030C3"/>
    <w:rsid w:val="0040314B"/>
    <w:rsid w:val="00403D64"/>
    <w:rsid w:val="00404076"/>
    <w:rsid w:val="00406361"/>
    <w:rsid w:val="0040722B"/>
    <w:rsid w:val="00410F82"/>
    <w:rsid w:val="0041224F"/>
    <w:rsid w:val="00413E90"/>
    <w:rsid w:val="004155F7"/>
    <w:rsid w:val="0042153E"/>
    <w:rsid w:val="00424BE3"/>
    <w:rsid w:val="00424E59"/>
    <w:rsid w:val="0042512D"/>
    <w:rsid w:val="00425B88"/>
    <w:rsid w:val="00425CE9"/>
    <w:rsid w:val="004272EC"/>
    <w:rsid w:val="0042732E"/>
    <w:rsid w:val="00430706"/>
    <w:rsid w:val="0043263C"/>
    <w:rsid w:val="0043343C"/>
    <w:rsid w:val="004361D0"/>
    <w:rsid w:val="00440B03"/>
    <w:rsid w:val="00441B70"/>
    <w:rsid w:val="00442F99"/>
    <w:rsid w:val="00446FD6"/>
    <w:rsid w:val="004475DC"/>
    <w:rsid w:val="00450D94"/>
    <w:rsid w:val="00452B39"/>
    <w:rsid w:val="00454F23"/>
    <w:rsid w:val="0045561F"/>
    <w:rsid w:val="004558E8"/>
    <w:rsid w:val="00455EFF"/>
    <w:rsid w:val="0045763A"/>
    <w:rsid w:val="0045780B"/>
    <w:rsid w:val="004608BE"/>
    <w:rsid w:val="00460BD7"/>
    <w:rsid w:val="004612C1"/>
    <w:rsid w:val="004612DB"/>
    <w:rsid w:val="004632C5"/>
    <w:rsid w:val="00464AFB"/>
    <w:rsid w:val="00464CE6"/>
    <w:rsid w:val="00465AD6"/>
    <w:rsid w:val="00466619"/>
    <w:rsid w:val="004669EC"/>
    <w:rsid w:val="00467D13"/>
    <w:rsid w:val="0047053B"/>
    <w:rsid w:val="00471C8E"/>
    <w:rsid w:val="00472043"/>
    <w:rsid w:val="00472490"/>
    <w:rsid w:val="00474193"/>
    <w:rsid w:val="0047454F"/>
    <w:rsid w:val="0047468D"/>
    <w:rsid w:val="004748AF"/>
    <w:rsid w:val="00477537"/>
    <w:rsid w:val="00477B28"/>
    <w:rsid w:val="00477FCA"/>
    <w:rsid w:val="0048125B"/>
    <w:rsid w:val="00481CCB"/>
    <w:rsid w:val="0048277C"/>
    <w:rsid w:val="00482AB6"/>
    <w:rsid w:val="004845DD"/>
    <w:rsid w:val="00484CA4"/>
    <w:rsid w:val="00484EE0"/>
    <w:rsid w:val="00484F9C"/>
    <w:rsid w:val="00485000"/>
    <w:rsid w:val="00485F2B"/>
    <w:rsid w:val="004900FC"/>
    <w:rsid w:val="00491100"/>
    <w:rsid w:val="00491C40"/>
    <w:rsid w:val="00491D3F"/>
    <w:rsid w:val="00494E8C"/>
    <w:rsid w:val="0049568C"/>
    <w:rsid w:val="00496DE3"/>
    <w:rsid w:val="00496EA7"/>
    <w:rsid w:val="004A0DEE"/>
    <w:rsid w:val="004A0FA3"/>
    <w:rsid w:val="004A1DA7"/>
    <w:rsid w:val="004A280F"/>
    <w:rsid w:val="004A28DF"/>
    <w:rsid w:val="004B0641"/>
    <w:rsid w:val="004B22E9"/>
    <w:rsid w:val="004B271B"/>
    <w:rsid w:val="004B2F8E"/>
    <w:rsid w:val="004B4053"/>
    <w:rsid w:val="004B7C5D"/>
    <w:rsid w:val="004C1758"/>
    <w:rsid w:val="004C23BD"/>
    <w:rsid w:val="004C30E4"/>
    <w:rsid w:val="004C38D7"/>
    <w:rsid w:val="004C3DD6"/>
    <w:rsid w:val="004C4C0E"/>
    <w:rsid w:val="004C5915"/>
    <w:rsid w:val="004C6359"/>
    <w:rsid w:val="004C79E3"/>
    <w:rsid w:val="004D0594"/>
    <w:rsid w:val="004D4DA0"/>
    <w:rsid w:val="004D4E4C"/>
    <w:rsid w:val="004D6A3A"/>
    <w:rsid w:val="004D79D9"/>
    <w:rsid w:val="004E02F2"/>
    <w:rsid w:val="004E132B"/>
    <w:rsid w:val="004E34C4"/>
    <w:rsid w:val="004E4531"/>
    <w:rsid w:val="004E4789"/>
    <w:rsid w:val="004E5A9E"/>
    <w:rsid w:val="004E60FE"/>
    <w:rsid w:val="004E6AE5"/>
    <w:rsid w:val="004E7078"/>
    <w:rsid w:val="004E7465"/>
    <w:rsid w:val="004F0C80"/>
    <w:rsid w:val="004F13E8"/>
    <w:rsid w:val="004F45FF"/>
    <w:rsid w:val="004F632A"/>
    <w:rsid w:val="004F7915"/>
    <w:rsid w:val="00501AA0"/>
    <w:rsid w:val="00504AF9"/>
    <w:rsid w:val="00504EBD"/>
    <w:rsid w:val="0051405C"/>
    <w:rsid w:val="005144A4"/>
    <w:rsid w:val="00515049"/>
    <w:rsid w:val="0051622B"/>
    <w:rsid w:val="00516324"/>
    <w:rsid w:val="00516588"/>
    <w:rsid w:val="00517AB5"/>
    <w:rsid w:val="00520AB8"/>
    <w:rsid w:val="00522523"/>
    <w:rsid w:val="00523286"/>
    <w:rsid w:val="005235FF"/>
    <w:rsid w:val="005255C9"/>
    <w:rsid w:val="005275DD"/>
    <w:rsid w:val="00530A95"/>
    <w:rsid w:val="005340B5"/>
    <w:rsid w:val="00536BB3"/>
    <w:rsid w:val="00536C6A"/>
    <w:rsid w:val="005402C6"/>
    <w:rsid w:val="005409CC"/>
    <w:rsid w:val="00542D1F"/>
    <w:rsid w:val="005433F9"/>
    <w:rsid w:val="005434BB"/>
    <w:rsid w:val="00543B11"/>
    <w:rsid w:val="005475E9"/>
    <w:rsid w:val="0055078F"/>
    <w:rsid w:val="00551F38"/>
    <w:rsid w:val="0055383E"/>
    <w:rsid w:val="00554D52"/>
    <w:rsid w:val="0055598B"/>
    <w:rsid w:val="005636E3"/>
    <w:rsid w:val="00563A76"/>
    <w:rsid w:val="005658C8"/>
    <w:rsid w:val="00566F30"/>
    <w:rsid w:val="00571DFA"/>
    <w:rsid w:val="005757CC"/>
    <w:rsid w:val="00577ACC"/>
    <w:rsid w:val="005824F8"/>
    <w:rsid w:val="00582569"/>
    <w:rsid w:val="00582749"/>
    <w:rsid w:val="00583347"/>
    <w:rsid w:val="00585BC2"/>
    <w:rsid w:val="00585F79"/>
    <w:rsid w:val="005864F2"/>
    <w:rsid w:val="00586915"/>
    <w:rsid w:val="00586D2B"/>
    <w:rsid w:val="00587F95"/>
    <w:rsid w:val="0059034C"/>
    <w:rsid w:val="00590A2D"/>
    <w:rsid w:val="005912C8"/>
    <w:rsid w:val="00593406"/>
    <w:rsid w:val="005945BC"/>
    <w:rsid w:val="005974D1"/>
    <w:rsid w:val="005A06A0"/>
    <w:rsid w:val="005A1553"/>
    <w:rsid w:val="005A3539"/>
    <w:rsid w:val="005A5867"/>
    <w:rsid w:val="005A6224"/>
    <w:rsid w:val="005B192A"/>
    <w:rsid w:val="005B19C8"/>
    <w:rsid w:val="005B1FFC"/>
    <w:rsid w:val="005B5517"/>
    <w:rsid w:val="005B6E40"/>
    <w:rsid w:val="005B795E"/>
    <w:rsid w:val="005C05BC"/>
    <w:rsid w:val="005C1038"/>
    <w:rsid w:val="005C1484"/>
    <w:rsid w:val="005C20F3"/>
    <w:rsid w:val="005C330B"/>
    <w:rsid w:val="005C4683"/>
    <w:rsid w:val="005C46B8"/>
    <w:rsid w:val="005C54EC"/>
    <w:rsid w:val="005C5EC0"/>
    <w:rsid w:val="005C6D12"/>
    <w:rsid w:val="005D2C95"/>
    <w:rsid w:val="005D48FE"/>
    <w:rsid w:val="005D51C8"/>
    <w:rsid w:val="005D6960"/>
    <w:rsid w:val="005D7791"/>
    <w:rsid w:val="005D77D9"/>
    <w:rsid w:val="005E1176"/>
    <w:rsid w:val="005E1F32"/>
    <w:rsid w:val="005E3C0A"/>
    <w:rsid w:val="005E3F5F"/>
    <w:rsid w:val="005E4EA4"/>
    <w:rsid w:val="005E6374"/>
    <w:rsid w:val="005F03EF"/>
    <w:rsid w:val="005F2DDB"/>
    <w:rsid w:val="005F5DF8"/>
    <w:rsid w:val="005F6178"/>
    <w:rsid w:val="005F727A"/>
    <w:rsid w:val="00600407"/>
    <w:rsid w:val="00601157"/>
    <w:rsid w:val="006025A3"/>
    <w:rsid w:val="006032A6"/>
    <w:rsid w:val="00605B46"/>
    <w:rsid w:val="006068EE"/>
    <w:rsid w:val="006077CA"/>
    <w:rsid w:val="00610E2E"/>
    <w:rsid w:val="0061127A"/>
    <w:rsid w:val="006116C7"/>
    <w:rsid w:val="006116F8"/>
    <w:rsid w:val="00612870"/>
    <w:rsid w:val="00613025"/>
    <w:rsid w:val="0061347C"/>
    <w:rsid w:val="00616B7F"/>
    <w:rsid w:val="0061706C"/>
    <w:rsid w:val="0061715C"/>
    <w:rsid w:val="0062193F"/>
    <w:rsid w:val="00622E55"/>
    <w:rsid w:val="00622EFD"/>
    <w:rsid w:val="00623A8F"/>
    <w:rsid w:val="006246E7"/>
    <w:rsid w:val="006247BA"/>
    <w:rsid w:val="00624C87"/>
    <w:rsid w:val="0062527F"/>
    <w:rsid w:val="006256C9"/>
    <w:rsid w:val="00625F0C"/>
    <w:rsid w:val="006262DE"/>
    <w:rsid w:val="00630675"/>
    <w:rsid w:val="00630AF1"/>
    <w:rsid w:val="00631C59"/>
    <w:rsid w:val="006348CA"/>
    <w:rsid w:val="006358BA"/>
    <w:rsid w:val="006363EE"/>
    <w:rsid w:val="006372C5"/>
    <w:rsid w:val="00640963"/>
    <w:rsid w:val="00640BD3"/>
    <w:rsid w:val="00640EF1"/>
    <w:rsid w:val="00642473"/>
    <w:rsid w:val="00643805"/>
    <w:rsid w:val="00643A6F"/>
    <w:rsid w:val="00644CD7"/>
    <w:rsid w:val="00646B0B"/>
    <w:rsid w:val="0064725F"/>
    <w:rsid w:val="006506FA"/>
    <w:rsid w:val="00650D0C"/>
    <w:rsid w:val="006511BF"/>
    <w:rsid w:val="0065434F"/>
    <w:rsid w:val="00654ABE"/>
    <w:rsid w:val="00654BC9"/>
    <w:rsid w:val="006551F1"/>
    <w:rsid w:val="006618E1"/>
    <w:rsid w:val="006623A8"/>
    <w:rsid w:val="00662682"/>
    <w:rsid w:val="00662C81"/>
    <w:rsid w:val="00662DA6"/>
    <w:rsid w:val="00665E35"/>
    <w:rsid w:val="00666077"/>
    <w:rsid w:val="00666338"/>
    <w:rsid w:val="00666394"/>
    <w:rsid w:val="00667CD5"/>
    <w:rsid w:val="006716E5"/>
    <w:rsid w:val="006718DE"/>
    <w:rsid w:val="006726DC"/>
    <w:rsid w:val="00672DDD"/>
    <w:rsid w:val="006739CC"/>
    <w:rsid w:val="00675FCE"/>
    <w:rsid w:val="00676FA8"/>
    <w:rsid w:val="00677D47"/>
    <w:rsid w:val="0068046E"/>
    <w:rsid w:val="006823EF"/>
    <w:rsid w:val="00682BE1"/>
    <w:rsid w:val="0068381D"/>
    <w:rsid w:val="00684972"/>
    <w:rsid w:val="006908D8"/>
    <w:rsid w:val="00691AE6"/>
    <w:rsid w:val="0069268B"/>
    <w:rsid w:val="006929E5"/>
    <w:rsid w:val="00693C04"/>
    <w:rsid w:val="00694404"/>
    <w:rsid w:val="0069482A"/>
    <w:rsid w:val="0069576C"/>
    <w:rsid w:val="00695AC3"/>
    <w:rsid w:val="00695FBE"/>
    <w:rsid w:val="006A23E1"/>
    <w:rsid w:val="006A45F1"/>
    <w:rsid w:val="006A7A2B"/>
    <w:rsid w:val="006A7B56"/>
    <w:rsid w:val="006B2867"/>
    <w:rsid w:val="006B4368"/>
    <w:rsid w:val="006B43EC"/>
    <w:rsid w:val="006B62D0"/>
    <w:rsid w:val="006B7424"/>
    <w:rsid w:val="006B74FA"/>
    <w:rsid w:val="006C0F84"/>
    <w:rsid w:val="006C1CD3"/>
    <w:rsid w:val="006C24AA"/>
    <w:rsid w:val="006C25C7"/>
    <w:rsid w:val="006C3A33"/>
    <w:rsid w:val="006C6293"/>
    <w:rsid w:val="006D0C1A"/>
    <w:rsid w:val="006D6798"/>
    <w:rsid w:val="006E40DC"/>
    <w:rsid w:val="006E55C6"/>
    <w:rsid w:val="006E5D43"/>
    <w:rsid w:val="006E5D6D"/>
    <w:rsid w:val="006E7B6E"/>
    <w:rsid w:val="006F1EE5"/>
    <w:rsid w:val="006F2493"/>
    <w:rsid w:val="006F436E"/>
    <w:rsid w:val="006F4705"/>
    <w:rsid w:val="00700821"/>
    <w:rsid w:val="0070155C"/>
    <w:rsid w:val="00702221"/>
    <w:rsid w:val="007034B5"/>
    <w:rsid w:val="00705C7C"/>
    <w:rsid w:val="00705DFE"/>
    <w:rsid w:val="007067C4"/>
    <w:rsid w:val="007107B8"/>
    <w:rsid w:val="007109B8"/>
    <w:rsid w:val="00711FC6"/>
    <w:rsid w:val="0071398A"/>
    <w:rsid w:val="00714794"/>
    <w:rsid w:val="00715B10"/>
    <w:rsid w:val="00715FAC"/>
    <w:rsid w:val="007222D6"/>
    <w:rsid w:val="00722D7B"/>
    <w:rsid w:val="00722E82"/>
    <w:rsid w:val="00722ED7"/>
    <w:rsid w:val="007236E4"/>
    <w:rsid w:val="00724BB7"/>
    <w:rsid w:val="00726872"/>
    <w:rsid w:val="00727691"/>
    <w:rsid w:val="007321FF"/>
    <w:rsid w:val="007340C8"/>
    <w:rsid w:val="00734A6C"/>
    <w:rsid w:val="00735AD9"/>
    <w:rsid w:val="00736C59"/>
    <w:rsid w:val="00736FEA"/>
    <w:rsid w:val="00740680"/>
    <w:rsid w:val="00741182"/>
    <w:rsid w:val="00742C8D"/>
    <w:rsid w:val="00742E15"/>
    <w:rsid w:val="00744519"/>
    <w:rsid w:val="007478E8"/>
    <w:rsid w:val="007525C1"/>
    <w:rsid w:val="007526CF"/>
    <w:rsid w:val="00752FF4"/>
    <w:rsid w:val="007564B5"/>
    <w:rsid w:val="0075713E"/>
    <w:rsid w:val="00757162"/>
    <w:rsid w:val="00762106"/>
    <w:rsid w:val="00762575"/>
    <w:rsid w:val="00763177"/>
    <w:rsid w:val="007633EB"/>
    <w:rsid w:val="007634FA"/>
    <w:rsid w:val="00763982"/>
    <w:rsid w:val="00764C53"/>
    <w:rsid w:val="007650F1"/>
    <w:rsid w:val="00765756"/>
    <w:rsid w:val="007660AC"/>
    <w:rsid w:val="007664C2"/>
    <w:rsid w:val="00766ED9"/>
    <w:rsid w:val="0076708C"/>
    <w:rsid w:val="0076735A"/>
    <w:rsid w:val="00770A9D"/>
    <w:rsid w:val="00771E6A"/>
    <w:rsid w:val="0077546D"/>
    <w:rsid w:val="00777B4D"/>
    <w:rsid w:val="0078187C"/>
    <w:rsid w:val="007829A2"/>
    <w:rsid w:val="00782EE3"/>
    <w:rsid w:val="00782FA3"/>
    <w:rsid w:val="00783085"/>
    <w:rsid w:val="00783241"/>
    <w:rsid w:val="00783505"/>
    <w:rsid w:val="007861FF"/>
    <w:rsid w:val="00792C50"/>
    <w:rsid w:val="00794416"/>
    <w:rsid w:val="0079555F"/>
    <w:rsid w:val="007A055B"/>
    <w:rsid w:val="007A1ABB"/>
    <w:rsid w:val="007A1F7D"/>
    <w:rsid w:val="007A35E4"/>
    <w:rsid w:val="007A48C2"/>
    <w:rsid w:val="007B014E"/>
    <w:rsid w:val="007B1557"/>
    <w:rsid w:val="007B318D"/>
    <w:rsid w:val="007B4112"/>
    <w:rsid w:val="007B4299"/>
    <w:rsid w:val="007B4428"/>
    <w:rsid w:val="007B44DE"/>
    <w:rsid w:val="007B4E1E"/>
    <w:rsid w:val="007B5056"/>
    <w:rsid w:val="007C0A4B"/>
    <w:rsid w:val="007C0E59"/>
    <w:rsid w:val="007C17E4"/>
    <w:rsid w:val="007C661C"/>
    <w:rsid w:val="007C70A8"/>
    <w:rsid w:val="007C7169"/>
    <w:rsid w:val="007C7DFD"/>
    <w:rsid w:val="007D2A2A"/>
    <w:rsid w:val="007D67CF"/>
    <w:rsid w:val="007E0100"/>
    <w:rsid w:val="007E305B"/>
    <w:rsid w:val="007E645D"/>
    <w:rsid w:val="007E7765"/>
    <w:rsid w:val="007F1687"/>
    <w:rsid w:val="007F1710"/>
    <w:rsid w:val="007F182D"/>
    <w:rsid w:val="007F417A"/>
    <w:rsid w:val="007F5725"/>
    <w:rsid w:val="007F69F5"/>
    <w:rsid w:val="007F7655"/>
    <w:rsid w:val="00800704"/>
    <w:rsid w:val="00801192"/>
    <w:rsid w:val="00801D7C"/>
    <w:rsid w:val="0080218B"/>
    <w:rsid w:val="008028E0"/>
    <w:rsid w:val="008050FC"/>
    <w:rsid w:val="00805641"/>
    <w:rsid w:val="00805A30"/>
    <w:rsid w:val="0081187A"/>
    <w:rsid w:val="0081591C"/>
    <w:rsid w:val="00815F95"/>
    <w:rsid w:val="008161F8"/>
    <w:rsid w:val="0081744E"/>
    <w:rsid w:val="008203B9"/>
    <w:rsid w:val="0082276A"/>
    <w:rsid w:val="008244BD"/>
    <w:rsid w:val="00824880"/>
    <w:rsid w:val="00825DA6"/>
    <w:rsid w:val="00827AF2"/>
    <w:rsid w:val="00827C56"/>
    <w:rsid w:val="00827EB6"/>
    <w:rsid w:val="008303F0"/>
    <w:rsid w:val="008319B5"/>
    <w:rsid w:val="00831CBE"/>
    <w:rsid w:val="00833A14"/>
    <w:rsid w:val="00835C2F"/>
    <w:rsid w:val="0084025A"/>
    <w:rsid w:val="008435CF"/>
    <w:rsid w:val="008440EF"/>
    <w:rsid w:val="00845151"/>
    <w:rsid w:val="00845E65"/>
    <w:rsid w:val="0084645C"/>
    <w:rsid w:val="00846725"/>
    <w:rsid w:val="00847317"/>
    <w:rsid w:val="008474D3"/>
    <w:rsid w:val="00847B48"/>
    <w:rsid w:val="008503AF"/>
    <w:rsid w:val="008506AC"/>
    <w:rsid w:val="008507B7"/>
    <w:rsid w:val="008523FB"/>
    <w:rsid w:val="00852477"/>
    <w:rsid w:val="00855FAA"/>
    <w:rsid w:val="00857F40"/>
    <w:rsid w:val="0086051B"/>
    <w:rsid w:val="008614C4"/>
    <w:rsid w:val="008615BA"/>
    <w:rsid w:val="008619B9"/>
    <w:rsid w:val="00861A77"/>
    <w:rsid w:val="00864040"/>
    <w:rsid w:val="00865D33"/>
    <w:rsid w:val="00865DF8"/>
    <w:rsid w:val="00866648"/>
    <w:rsid w:val="00870DE9"/>
    <w:rsid w:val="00871CC2"/>
    <w:rsid w:val="00873D4F"/>
    <w:rsid w:val="008753EB"/>
    <w:rsid w:val="00882B14"/>
    <w:rsid w:val="0088649C"/>
    <w:rsid w:val="00891D06"/>
    <w:rsid w:val="00892150"/>
    <w:rsid w:val="00893190"/>
    <w:rsid w:val="0089596D"/>
    <w:rsid w:val="008960B7"/>
    <w:rsid w:val="00897146"/>
    <w:rsid w:val="008A0DDC"/>
    <w:rsid w:val="008A1517"/>
    <w:rsid w:val="008A16F6"/>
    <w:rsid w:val="008A2592"/>
    <w:rsid w:val="008A34F7"/>
    <w:rsid w:val="008A50A1"/>
    <w:rsid w:val="008A7A48"/>
    <w:rsid w:val="008B13F3"/>
    <w:rsid w:val="008B27F8"/>
    <w:rsid w:val="008B304C"/>
    <w:rsid w:val="008B34DF"/>
    <w:rsid w:val="008B3EA7"/>
    <w:rsid w:val="008B4A1D"/>
    <w:rsid w:val="008B55FA"/>
    <w:rsid w:val="008B59E0"/>
    <w:rsid w:val="008C0116"/>
    <w:rsid w:val="008C1C27"/>
    <w:rsid w:val="008C2C3D"/>
    <w:rsid w:val="008C2F49"/>
    <w:rsid w:val="008C3D4B"/>
    <w:rsid w:val="008C41B2"/>
    <w:rsid w:val="008C5D46"/>
    <w:rsid w:val="008C61F9"/>
    <w:rsid w:val="008C71AB"/>
    <w:rsid w:val="008C77FD"/>
    <w:rsid w:val="008D17C5"/>
    <w:rsid w:val="008D4D24"/>
    <w:rsid w:val="008D4D35"/>
    <w:rsid w:val="008D5EC5"/>
    <w:rsid w:val="008D68A9"/>
    <w:rsid w:val="008E1109"/>
    <w:rsid w:val="008E1819"/>
    <w:rsid w:val="008E67CC"/>
    <w:rsid w:val="008E6C75"/>
    <w:rsid w:val="008E7EBE"/>
    <w:rsid w:val="008F1CBB"/>
    <w:rsid w:val="008F1FC2"/>
    <w:rsid w:val="008F2092"/>
    <w:rsid w:val="008F2AD6"/>
    <w:rsid w:val="008F39B7"/>
    <w:rsid w:val="008F4D24"/>
    <w:rsid w:val="008F55C7"/>
    <w:rsid w:val="008F5DEA"/>
    <w:rsid w:val="008F5E3C"/>
    <w:rsid w:val="008F5F75"/>
    <w:rsid w:val="009005FA"/>
    <w:rsid w:val="00901346"/>
    <w:rsid w:val="00902AB0"/>
    <w:rsid w:val="00904A6A"/>
    <w:rsid w:val="00904C32"/>
    <w:rsid w:val="00906B6A"/>
    <w:rsid w:val="0090711F"/>
    <w:rsid w:val="0090722D"/>
    <w:rsid w:val="0090764B"/>
    <w:rsid w:val="009100DC"/>
    <w:rsid w:val="00911769"/>
    <w:rsid w:val="0091337B"/>
    <w:rsid w:val="00913D5B"/>
    <w:rsid w:val="00914632"/>
    <w:rsid w:val="00914F86"/>
    <w:rsid w:val="00915A12"/>
    <w:rsid w:val="009176B3"/>
    <w:rsid w:val="0092129C"/>
    <w:rsid w:val="0092273D"/>
    <w:rsid w:val="00923A49"/>
    <w:rsid w:val="0092774D"/>
    <w:rsid w:val="0092793A"/>
    <w:rsid w:val="00930B97"/>
    <w:rsid w:val="00932266"/>
    <w:rsid w:val="0093421F"/>
    <w:rsid w:val="00934599"/>
    <w:rsid w:val="00934646"/>
    <w:rsid w:val="009348AC"/>
    <w:rsid w:val="00936DDF"/>
    <w:rsid w:val="009374A6"/>
    <w:rsid w:val="0094103E"/>
    <w:rsid w:val="00941667"/>
    <w:rsid w:val="00941BB6"/>
    <w:rsid w:val="00941D6E"/>
    <w:rsid w:val="00946077"/>
    <w:rsid w:val="0095051E"/>
    <w:rsid w:val="0095176C"/>
    <w:rsid w:val="00951F49"/>
    <w:rsid w:val="009533CF"/>
    <w:rsid w:val="009567E5"/>
    <w:rsid w:val="0095725F"/>
    <w:rsid w:val="009572A6"/>
    <w:rsid w:val="009573F6"/>
    <w:rsid w:val="00957A19"/>
    <w:rsid w:val="00960AA7"/>
    <w:rsid w:val="00960AC6"/>
    <w:rsid w:val="00960D9B"/>
    <w:rsid w:val="00961146"/>
    <w:rsid w:val="00961C91"/>
    <w:rsid w:val="00963702"/>
    <w:rsid w:val="009644D4"/>
    <w:rsid w:val="0096749E"/>
    <w:rsid w:val="00970B78"/>
    <w:rsid w:val="00971829"/>
    <w:rsid w:val="00972639"/>
    <w:rsid w:val="00973371"/>
    <w:rsid w:val="0097504D"/>
    <w:rsid w:val="009808E3"/>
    <w:rsid w:val="00981325"/>
    <w:rsid w:val="00982103"/>
    <w:rsid w:val="0098278A"/>
    <w:rsid w:val="00983490"/>
    <w:rsid w:val="00983B0A"/>
    <w:rsid w:val="00986E54"/>
    <w:rsid w:val="009875F1"/>
    <w:rsid w:val="00987863"/>
    <w:rsid w:val="00990F14"/>
    <w:rsid w:val="00991118"/>
    <w:rsid w:val="0099170F"/>
    <w:rsid w:val="00991BA1"/>
    <w:rsid w:val="009973EB"/>
    <w:rsid w:val="00997A04"/>
    <w:rsid w:val="009A039D"/>
    <w:rsid w:val="009A2F56"/>
    <w:rsid w:val="009A3434"/>
    <w:rsid w:val="009A5CB1"/>
    <w:rsid w:val="009A640F"/>
    <w:rsid w:val="009A73B4"/>
    <w:rsid w:val="009A7A98"/>
    <w:rsid w:val="009B4757"/>
    <w:rsid w:val="009B55A4"/>
    <w:rsid w:val="009B59B6"/>
    <w:rsid w:val="009B6BA0"/>
    <w:rsid w:val="009B7B4E"/>
    <w:rsid w:val="009C09E1"/>
    <w:rsid w:val="009C2E93"/>
    <w:rsid w:val="009C2FD1"/>
    <w:rsid w:val="009C3269"/>
    <w:rsid w:val="009C53E4"/>
    <w:rsid w:val="009C53EB"/>
    <w:rsid w:val="009C7533"/>
    <w:rsid w:val="009C77CD"/>
    <w:rsid w:val="009C7805"/>
    <w:rsid w:val="009D3741"/>
    <w:rsid w:val="009D402F"/>
    <w:rsid w:val="009D4508"/>
    <w:rsid w:val="009D48D3"/>
    <w:rsid w:val="009D4E8C"/>
    <w:rsid w:val="009D75BF"/>
    <w:rsid w:val="009D7CFF"/>
    <w:rsid w:val="009E0B7B"/>
    <w:rsid w:val="009E29D4"/>
    <w:rsid w:val="009E384B"/>
    <w:rsid w:val="009E3F7D"/>
    <w:rsid w:val="009E41EB"/>
    <w:rsid w:val="009E4F63"/>
    <w:rsid w:val="009E5FEB"/>
    <w:rsid w:val="009E790B"/>
    <w:rsid w:val="009E7F68"/>
    <w:rsid w:val="009F054E"/>
    <w:rsid w:val="009F0AF4"/>
    <w:rsid w:val="009F0F7E"/>
    <w:rsid w:val="009F17DB"/>
    <w:rsid w:val="009F1E06"/>
    <w:rsid w:val="009F2632"/>
    <w:rsid w:val="009F2C26"/>
    <w:rsid w:val="009F4742"/>
    <w:rsid w:val="009F4748"/>
    <w:rsid w:val="009F5746"/>
    <w:rsid w:val="009F6E2E"/>
    <w:rsid w:val="00A02D80"/>
    <w:rsid w:val="00A04C75"/>
    <w:rsid w:val="00A05E05"/>
    <w:rsid w:val="00A0653A"/>
    <w:rsid w:val="00A12B97"/>
    <w:rsid w:val="00A1511D"/>
    <w:rsid w:val="00A15D62"/>
    <w:rsid w:val="00A162C0"/>
    <w:rsid w:val="00A216A3"/>
    <w:rsid w:val="00A21C8B"/>
    <w:rsid w:val="00A23F4C"/>
    <w:rsid w:val="00A25009"/>
    <w:rsid w:val="00A26210"/>
    <w:rsid w:val="00A2756E"/>
    <w:rsid w:val="00A33ED2"/>
    <w:rsid w:val="00A348B0"/>
    <w:rsid w:val="00A34D62"/>
    <w:rsid w:val="00A34EC8"/>
    <w:rsid w:val="00A36983"/>
    <w:rsid w:val="00A36B6C"/>
    <w:rsid w:val="00A36B95"/>
    <w:rsid w:val="00A37079"/>
    <w:rsid w:val="00A373E7"/>
    <w:rsid w:val="00A42100"/>
    <w:rsid w:val="00A42C15"/>
    <w:rsid w:val="00A43443"/>
    <w:rsid w:val="00A451FC"/>
    <w:rsid w:val="00A453C0"/>
    <w:rsid w:val="00A4566D"/>
    <w:rsid w:val="00A45FC9"/>
    <w:rsid w:val="00A4778D"/>
    <w:rsid w:val="00A528E7"/>
    <w:rsid w:val="00A52E9E"/>
    <w:rsid w:val="00A537B1"/>
    <w:rsid w:val="00A55454"/>
    <w:rsid w:val="00A569B0"/>
    <w:rsid w:val="00A56F61"/>
    <w:rsid w:val="00A574BE"/>
    <w:rsid w:val="00A57A00"/>
    <w:rsid w:val="00A57DE0"/>
    <w:rsid w:val="00A6262A"/>
    <w:rsid w:val="00A630DC"/>
    <w:rsid w:val="00A6391D"/>
    <w:rsid w:val="00A65C21"/>
    <w:rsid w:val="00A67D23"/>
    <w:rsid w:val="00A701B2"/>
    <w:rsid w:val="00A71F24"/>
    <w:rsid w:val="00A75130"/>
    <w:rsid w:val="00A75D53"/>
    <w:rsid w:val="00A77BD3"/>
    <w:rsid w:val="00A77DE7"/>
    <w:rsid w:val="00A80BED"/>
    <w:rsid w:val="00A80C50"/>
    <w:rsid w:val="00A81C38"/>
    <w:rsid w:val="00A82E8C"/>
    <w:rsid w:val="00A836CD"/>
    <w:rsid w:val="00A872CB"/>
    <w:rsid w:val="00A93794"/>
    <w:rsid w:val="00A939D2"/>
    <w:rsid w:val="00A93B1C"/>
    <w:rsid w:val="00A93FD6"/>
    <w:rsid w:val="00A94986"/>
    <w:rsid w:val="00A9505F"/>
    <w:rsid w:val="00A95F07"/>
    <w:rsid w:val="00A96700"/>
    <w:rsid w:val="00A96E52"/>
    <w:rsid w:val="00A97145"/>
    <w:rsid w:val="00A9726E"/>
    <w:rsid w:val="00AA1A63"/>
    <w:rsid w:val="00AA2A2B"/>
    <w:rsid w:val="00AA41F5"/>
    <w:rsid w:val="00AA4925"/>
    <w:rsid w:val="00AA5204"/>
    <w:rsid w:val="00AA5274"/>
    <w:rsid w:val="00AA714B"/>
    <w:rsid w:val="00AA79E3"/>
    <w:rsid w:val="00AB19C6"/>
    <w:rsid w:val="00AB2825"/>
    <w:rsid w:val="00AB2C9D"/>
    <w:rsid w:val="00AB4575"/>
    <w:rsid w:val="00AB665C"/>
    <w:rsid w:val="00AB7F41"/>
    <w:rsid w:val="00AB7FBE"/>
    <w:rsid w:val="00AC0C31"/>
    <w:rsid w:val="00AC1619"/>
    <w:rsid w:val="00AC1B77"/>
    <w:rsid w:val="00AC6FD9"/>
    <w:rsid w:val="00AD034F"/>
    <w:rsid w:val="00AD0F79"/>
    <w:rsid w:val="00AD233E"/>
    <w:rsid w:val="00AD4C92"/>
    <w:rsid w:val="00AD501D"/>
    <w:rsid w:val="00AD51E2"/>
    <w:rsid w:val="00AD7286"/>
    <w:rsid w:val="00AD7D0A"/>
    <w:rsid w:val="00AE033B"/>
    <w:rsid w:val="00AE075A"/>
    <w:rsid w:val="00AE32A2"/>
    <w:rsid w:val="00AE3348"/>
    <w:rsid w:val="00AE3A1A"/>
    <w:rsid w:val="00AE3A7A"/>
    <w:rsid w:val="00AE5C64"/>
    <w:rsid w:val="00AE69C4"/>
    <w:rsid w:val="00AE7D7D"/>
    <w:rsid w:val="00AE7D9D"/>
    <w:rsid w:val="00AF04CB"/>
    <w:rsid w:val="00AF1232"/>
    <w:rsid w:val="00AF2437"/>
    <w:rsid w:val="00AF2EB8"/>
    <w:rsid w:val="00AF33FB"/>
    <w:rsid w:val="00AF4196"/>
    <w:rsid w:val="00AF423F"/>
    <w:rsid w:val="00AF7A55"/>
    <w:rsid w:val="00B01DED"/>
    <w:rsid w:val="00B0276F"/>
    <w:rsid w:val="00B03D28"/>
    <w:rsid w:val="00B0642A"/>
    <w:rsid w:val="00B07B9F"/>
    <w:rsid w:val="00B1082A"/>
    <w:rsid w:val="00B11F7E"/>
    <w:rsid w:val="00B138C1"/>
    <w:rsid w:val="00B154EE"/>
    <w:rsid w:val="00B1600E"/>
    <w:rsid w:val="00B2010D"/>
    <w:rsid w:val="00B2372A"/>
    <w:rsid w:val="00B237BE"/>
    <w:rsid w:val="00B23C31"/>
    <w:rsid w:val="00B251A5"/>
    <w:rsid w:val="00B25999"/>
    <w:rsid w:val="00B259B1"/>
    <w:rsid w:val="00B25F6D"/>
    <w:rsid w:val="00B31AFA"/>
    <w:rsid w:val="00B3230A"/>
    <w:rsid w:val="00B3690A"/>
    <w:rsid w:val="00B36BA9"/>
    <w:rsid w:val="00B3716C"/>
    <w:rsid w:val="00B4007B"/>
    <w:rsid w:val="00B40242"/>
    <w:rsid w:val="00B40CE3"/>
    <w:rsid w:val="00B41965"/>
    <w:rsid w:val="00B41FB0"/>
    <w:rsid w:val="00B4248D"/>
    <w:rsid w:val="00B42C3D"/>
    <w:rsid w:val="00B4381B"/>
    <w:rsid w:val="00B44019"/>
    <w:rsid w:val="00B45796"/>
    <w:rsid w:val="00B46B62"/>
    <w:rsid w:val="00B46E9A"/>
    <w:rsid w:val="00B47456"/>
    <w:rsid w:val="00B55FE3"/>
    <w:rsid w:val="00B566E4"/>
    <w:rsid w:val="00B606BA"/>
    <w:rsid w:val="00B6639A"/>
    <w:rsid w:val="00B667A9"/>
    <w:rsid w:val="00B6751A"/>
    <w:rsid w:val="00B70262"/>
    <w:rsid w:val="00B7410A"/>
    <w:rsid w:val="00B77FD2"/>
    <w:rsid w:val="00B8395F"/>
    <w:rsid w:val="00B839EF"/>
    <w:rsid w:val="00B87053"/>
    <w:rsid w:val="00B90F0B"/>
    <w:rsid w:val="00B91CF4"/>
    <w:rsid w:val="00B921CB"/>
    <w:rsid w:val="00B92347"/>
    <w:rsid w:val="00B9302C"/>
    <w:rsid w:val="00B95C77"/>
    <w:rsid w:val="00B962F9"/>
    <w:rsid w:val="00B96F63"/>
    <w:rsid w:val="00B97D0A"/>
    <w:rsid w:val="00BA0A4F"/>
    <w:rsid w:val="00BA2029"/>
    <w:rsid w:val="00BA29BE"/>
    <w:rsid w:val="00BA3551"/>
    <w:rsid w:val="00BA5C46"/>
    <w:rsid w:val="00BA6438"/>
    <w:rsid w:val="00BA6842"/>
    <w:rsid w:val="00BB10BF"/>
    <w:rsid w:val="00BB1F70"/>
    <w:rsid w:val="00BB32AE"/>
    <w:rsid w:val="00BB46BA"/>
    <w:rsid w:val="00BB47B5"/>
    <w:rsid w:val="00BB7A7B"/>
    <w:rsid w:val="00BC0471"/>
    <w:rsid w:val="00BC21C5"/>
    <w:rsid w:val="00BC2A49"/>
    <w:rsid w:val="00BC2B2B"/>
    <w:rsid w:val="00BC3359"/>
    <w:rsid w:val="00BC579E"/>
    <w:rsid w:val="00BC6E63"/>
    <w:rsid w:val="00BD01AB"/>
    <w:rsid w:val="00BD02CA"/>
    <w:rsid w:val="00BD087A"/>
    <w:rsid w:val="00BD3560"/>
    <w:rsid w:val="00BD35F0"/>
    <w:rsid w:val="00BD53FD"/>
    <w:rsid w:val="00BE0D7A"/>
    <w:rsid w:val="00BE0EF3"/>
    <w:rsid w:val="00BE1B32"/>
    <w:rsid w:val="00BE2AAE"/>
    <w:rsid w:val="00BE36AF"/>
    <w:rsid w:val="00BE3BFA"/>
    <w:rsid w:val="00BE4A8C"/>
    <w:rsid w:val="00BE5B9F"/>
    <w:rsid w:val="00BF12D0"/>
    <w:rsid w:val="00BF694E"/>
    <w:rsid w:val="00C0197B"/>
    <w:rsid w:val="00C03A0E"/>
    <w:rsid w:val="00C05317"/>
    <w:rsid w:val="00C05E40"/>
    <w:rsid w:val="00C06CAF"/>
    <w:rsid w:val="00C0773E"/>
    <w:rsid w:val="00C11ACA"/>
    <w:rsid w:val="00C12339"/>
    <w:rsid w:val="00C14EB3"/>
    <w:rsid w:val="00C14FD0"/>
    <w:rsid w:val="00C155BE"/>
    <w:rsid w:val="00C156C4"/>
    <w:rsid w:val="00C1665C"/>
    <w:rsid w:val="00C16A2D"/>
    <w:rsid w:val="00C21423"/>
    <w:rsid w:val="00C219F9"/>
    <w:rsid w:val="00C21F0D"/>
    <w:rsid w:val="00C22187"/>
    <w:rsid w:val="00C227A5"/>
    <w:rsid w:val="00C22BD7"/>
    <w:rsid w:val="00C275A4"/>
    <w:rsid w:val="00C325FC"/>
    <w:rsid w:val="00C33953"/>
    <w:rsid w:val="00C34674"/>
    <w:rsid w:val="00C352AF"/>
    <w:rsid w:val="00C354B1"/>
    <w:rsid w:val="00C35B38"/>
    <w:rsid w:val="00C37B25"/>
    <w:rsid w:val="00C4072E"/>
    <w:rsid w:val="00C4130C"/>
    <w:rsid w:val="00C41EB3"/>
    <w:rsid w:val="00C42012"/>
    <w:rsid w:val="00C425BD"/>
    <w:rsid w:val="00C42A07"/>
    <w:rsid w:val="00C43A16"/>
    <w:rsid w:val="00C43B13"/>
    <w:rsid w:val="00C45C51"/>
    <w:rsid w:val="00C51D33"/>
    <w:rsid w:val="00C52216"/>
    <w:rsid w:val="00C558CC"/>
    <w:rsid w:val="00C56A73"/>
    <w:rsid w:val="00C57024"/>
    <w:rsid w:val="00C57C6A"/>
    <w:rsid w:val="00C607C3"/>
    <w:rsid w:val="00C61485"/>
    <w:rsid w:val="00C614C7"/>
    <w:rsid w:val="00C61D8F"/>
    <w:rsid w:val="00C62E15"/>
    <w:rsid w:val="00C63DE8"/>
    <w:rsid w:val="00C64D32"/>
    <w:rsid w:val="00C64DDD"/>
    <w:rsid w:val="00C66457"/>
    <w:rsid w:val="00C66FD4"/>
    <w:rsid w:val="00C713EA"/>
    <w:rsid w:val="00C71C50"/>
    <w:rsid w:val="00C72A1D"/>
    <w:rsid w:val="00C76690"/>
    <w:rsid w:val="00C7691D"/>
    <w:rsid w:val="00C77A56"/>
    <w:rsid w:val="00C77E18"/>
    <w:rsid w:val="00C80C3C"/>
    <w:rsid w:val="00C8150F"/>
    <w:rsid w:val="00C81692"/>
    <w:rsid w:val="00C81CF0"/>
    <w:rsid w:val="00C87075"/>
    <w:rsid w:val="00C87A72"/>
    <w:rsid w:val="00C90807"/>
    <w:rsid w:val="00C92419"/>
    <w:rsid w:val="00C93BA3"/>
    <w:rsid w:val="00C948D3"/>
    <w:rsid w:val="00C961EA"/>
    <w:rsid w:val="00CA0F09"/>
    <w:rsid w:val="00CA48E5"/>
    <w:rsid w:val="00CA5A1F"/>
    <w:rsid w:val="00CA65D4"/>
    <w:rsid w:val="00CA686C"/>
    <w:rsid w:val="00CB137D"/>
    <w:rsid w:val="00CB5F00"/>
    <w:rsid w:val="00CC0DAC"/>
    <w:rsid w:val="00CC3043"/>
    <w:rsid w:val="00CC3D58"/>
    <w:rsid w:val="00CC46D0"/>
    <w:rsid w:val="00CC52BB"/>
    <w:rsid w:val="00CC6027"/>
    <w:rsid w:val="00CC6674"/>
    <w:rsid w:val="00CC6890"/>
    <w:rsid w:val="00CC6F2B"/>
    <w:rsid w:val="00CD08E3"/>
    <w:rsid w:val="00CD1E25"/>
    <w:rsid w:val="00CD20A2"/>
    <w:rsid w:val="00CD3849"/>
    <w:rsid w:val="00CD3949"/>
    <w:rsid w:val="00CD71FA"/>
    <w:rsid w:val="00CD7415"/>
    <w:rsid w:val="00CE0FA4"/>
    <w:rsid w:val="00CE159C"/>
    <w:rsid w:val="00CE183B"/>
    <w:rsid w:val="00CE3389"/>
    <w:rsid w:val="00CE4C50"/>
    <w:rsid w:val="00CE7340"/>
    <w:rsid w:val="00CE7350"/>
    <w:rsid w:val="00CE766F"/>
    <w:rsid w:val="00CF03B2"/>
    <w:rsid w:val="00CF03E2"/>
    <w:rsid w:val="00CF2B75"/>
    <w:rsid w:val="00CF332B"/>
    <w:rsid w:val="00CF35E7"/>
    <w:rsid w:val="00CF4765"/>
    <w:rsid w:val="00CF4FCF"/>
    <w:rsid w:val="00CF5366"/>
    <w:rsid w:val="00CF58BC"/>
    <w:rsid w:val="00D00711"/>
    <w:rsid w:val="00D01583"/>
    <w:rsid w:val="00D01CA7"/>
    <w:rsid w:val="00D03D96"/>
    <w:rsid w:val="00D04B88"/>
    <w:rsid w:val="00D0628B"/>
    <w:rsid w:val="00D0709D"/>
    <w:rsid w:val="00D070E7"/>
    <w:rsid w:val="00D07D75"/>
    <w:rsid w:val="00D105C0"/>
    <w:rsid w:val="00D10C27"/>
    <w:rsid w:val="00D111D0"/>
    <w:rsid w:val="00D12628"/>
    <w:rsid w:val="00D129F0"/>
    <w:rsid w:val="00D1448D"/>
    <w:rsid w:val="00D15A17"/>
    <w:rsid w:val="00D15ABE"/>
    <w:rsid w:val="00D17BDA"/>
    <w:rsid w:val="00D2131F"/>
    <w:rsid w:val="00D220CC"/>
    <w:rsid w:val="00D22C81"/>
    <w:rsid w:val="00D24199"/>
    <w:rsid w:val="00D245D6"/>
    <w:rsid w:val="00D26A82"/>
    <w:rsid w:val="00D309A3"/>
    <w:rsid w:val="00D3174A"/>
    <w:rsid w:val="00D31F5E"/>
    <w:rsid w:val="00D321A1"/>
    <w:rsid w:val="00D33474"/>
    <w:rsid w:val="00D35AB0"/>
    <w:rsid w:val="00D36C5C"/>
    <w:rsid w:val="00D36DB0"/>
    <w:rsid w:val="00D409CA"/>
    <w:rsid w:val="00D435CF"/>
    <w:rsid w:val="00D4434F"/>
    <w:rsid w:val="00D461C3"/>
    <w:rsid w:val="00D46797"/>
    <w:rsid w:val="00D51B4F"/>
    <w:rsid w:val="00D524C0"/>
    <w:rsid w:val="00D55767"/>
    <w:rsid w:val="00D60E40"/>
    <w:rsid w:val="00D610F6"/>
    <w:rsid w:val="00D6222A"/>
    <w:rsid w:val="00D626BD"/>
    <w:rsid w:val="00D64D48"/>
    <w:rsid w:val="00D676E5"/>
    <w:rsid w:val="00D707F5"/>
    <w:rsid w:val="00D714F5"/>
    <w:rsid w:val="00D71F8D"/>
    <w:rsid w:val="00D727D6"/>
    <w:rsid w:val="00D72DFF"/>
    <w:rsid w:val="00D73C64"/>
    <w:rsid w:val="00D74F8E"/>
    <w:rsid w:val="00D777BA"/>
    <w:rsid w:val="00D77CDA"/>
    <w:rsid w:val="00D80751"/>
    <w:rsid w:val="00D811D8"/>
    <w:rsid w:val="00D82B0D"/>
    <w:rsid w:val="00D84BD8"/>
    <w:rsid w:val="00D851AE"/>
    <w:rsid w:val="00D852A5"/>
    <w:rsid w:val="00D912CE"/>
    <w:rsid w:val="00D91830"/>
    <w:rsid w:val="00D95038"/>
    <w:rsid w:val="00D952E9"/>
    <w:rsid w:val="00D957F1"/>
    <w:rsid w:val="00D96670"/>
    <w:rsid w:val="00D96B24"/>
    <w:rsid w:val="00D96E7D"/>
    <w:rsid w:val="00D97AE8"/>
    <w:rsid w:val="00DA0327"/>
    <w:rsid w:val="00DA16FA"/>
    <w:rsid w:val="00DA2066"/>
    <w:rsid w:val="00DA3AB9"/>
    <w:rsid w:val="00DA4437"/>
    <w:rsid w:val="00DA4A66"/>
    <w:rsid w:val="00DA7E43"/>
    <w:rsid w:val="00DB28F4"/>
    <w:rsid w:val="00DB3B45"/>
    <w:rsid w:val="00DB40FD"/>
    <w:rsid w:val="00DB43E3"/>
    <w:rsid w:val="00DB5797"/>
    <w:rsid w:val="00DB5E06"/>
    <w:rsid w:val="00DB6A64"/>
    <w:rsid w:val="00DB6ECB"/>
    <w:rsid w:val="00DB6EF5"/>
    <w:rsid w:val="00DB7A9A"/>
    <w:rsid w:val="00DC09A7"/>
    <w:rsid w:val="00DC365C"/>
    <w:rsid w:val="00DD06F2"/>
    <w:rsid w:val="00DD1A8F"/>
    <w:rsid w:val="00DD2CE0"/>
    <w:rsid w:val="00DD6ADE"/>
    <w:rsid w:val="00DD7730"/>
    <w:rsid w:val="00DE1459"/>
    <w:rsid w:val="00DE155A"/>
    <w:rsid w:val="00DE2331"/>
    <w:rsid w:val="00DE67B6"/>
    <w:rsid w:val="00DE7682"/>
    <w:rsid w:val="00DF14D1"/>
    <w:rsid w:val="00DF21E4"/>
    <w:rsid w:val="00DF2995"/>
    <w:rsid w:val="00DF31B0"/>
    <w:rsid w:val="00DF3F70"/>
    <w:rsid w:val="00DF580A"/>
    <w:rsid w:val="00DF7AE5"/>
    <w:rsid w:val="00E03510"/>
    <w:rsid w:val="00E05404"/>
    <w:rsid w:val="00E05A60"/>
    <w:rsid w:val="00E061BE"/>
    <w:rsid w:val="00E07435"/>
    <w:rsid w:val="00E076C1"/>
    <w:rsid w:val="00E1105A"/>
    <w:rsid w:val="00E13A39"/>
    <w:rsid w:val="00E16210"/>
    <w:rsid w:val="00E166AB"/>
    <w:rsid w:val="00E25B69"/>
    <w:rsid w:val="00E274EC"/>
    <w:rsid w:val="00E300F3"/>
    <w:rsid w:val="00E31F48"/>
    <w:rsid w:val="00E320F9"/>
    <w:rsid w:val="00E32861"/>
    <w:rsid w:val="00E334EE"/>
    <w:rsid w:val="00E33B92"/>
    <w:rsid w:val="00E34A9E"/>
    <w:rsid w:val="00E42AAE"/>
    <w:rsid w:val="00E42AD3"/>
    <w:rsid w:val="00E42D53"/>
    <w:rsid w:val="00E43118"/>
    <w:rsid w:val="00E449C3"/>
    <w:rsid w:val="00E462FD"/>
    <w:rsid w:val="00E4634B"/>
    <w:rsid w:val="00E4635E"/>
    <w:rsid w:val="00E5331B"/>
    <w:rsid w:val="00E53F49"/>
    <w:rsid w:val="00E53F9F"/>
    <w:rsid w:val="00E5487D"/>
    <w:rsid w:val="00E562DD"/>
    <w:rsid w:val="00E56B1C"/>
    <w:rsid w:val="00E57DA2"/>
    <w:rsid w:val="00E61F73"/>
    <w:rsid w:val="00E6305A"/>
    <w:rsid w:val="00E64808"/>
    <w:rsid w:val="00E7094C"/>
    <w:rsid w:val="00E70A12"/>
    <w:rsid w:val="00E71B1B"/>
    <w:rsid w:val="00E7419B"/>
    <w:rsid w:val="00E744DC"/>
    <w:rsid w:val="00E74EE6"/>
    <w:rsid w:val="00E7534F"/>
    <w:rsid w:val="00E80F35"/>
    <w:rsid w:val="00E81BFD"/>
    <w:rsid w:val="00E82F80"/>
    <w:rsid w:val="00E833AB"/>
    <w:rsid w:val="00E83B6F"/>
    <w:rsid w:val="00E8430D"/>
    <w:rsid w:val="00E856EB"/>
    <w:rsid w:val="00E86653"/>
    <w:rsid w:val="00E867A0"/>
    <w:rsid w:val="00E86FA0"/>
    <w:rsid w:val="00E87250"/>
    <w:rsid w:val="00E872AB"/>
    <w:rsid w:val="00E87F60"/>
    <w:rsid w:val="00E9008F"/>
    <w:rsid w:val="00E9095C"/>
    <w:rsid w:val="00E911C0"/>
    <w:rsid w:val="00E917FE"/>
    <w:rsid w:val="00E934AF"/>
    <w:rsid w:val="00E94DE8"/>
    <w:rsid w:val="00E95318"/>
    <w:rsid w:val="00E959DB"/>
    <w:rsid w:val="00EA043D"/>
    <w:rsid w:val="00EA1247"/>
    <w:rsid w:val="00EA1779"/>
    <w:rsid w:val="00EA3034"/>
    <w:rsid w:val="00EA594A"/>
    <w:rsid w:val="00EA5A22"/>
    <w:rsid w:val="00EA7339"/>
    <w:rsid w:val="00EA7E48"/>
    <w:rsid w:val="00EB0C29"/>
    <w:rsid w:val="00EB0E65"/>
    <w:rsid w:val="00EB12C6"/>
    <w:rsid w:val="00EB1D25"/>
    <w:rsid w:val="00EB2E47"/>
    <w:rsid w:val="00EB2F7A"/>
    <w:rsid w:val="00EB4078"/>
    <w:rsid w:val="00EB544D"/>
    <w:rsid w:val="00EB5794"/>
    <w:rsid w:val="00EB6EA5"/>
    <w:rsid w:val="00EB7D46"/>
    <w:rsid w:val="00EC034A"/>
    <w:rsid w:val="00EC06B8"/>
    <w:rsid w:val="00EC217B"/>
    <w:rsid w:val="00EC5E9E"/>
    <w:rsid w:val="00EC7906"/>
    <w:rsid w:val="00ED0361"/>
    <w:rsid w:val="00ED1A78"/>
    <w:rsid w:val="00ED1ED2"/>
    <w:rsid w:val="00ED2499"/>
    <w:rsid w:val="00ED3577"/>
    <w:rsid w:val="00ED3CFA"/>
    <w:rsid w:val="00ED42CC"/>
    <w:rsid w:val="00EE3B51"/>
    <w:rsid w:val="00EE5FFB"/>
    <w:rsid w:val="00EE6A9A"/>
    <w:rsid w:val="00EE7099"/>
    <w:rsid w:val="00EE7382"/>
    <w:rsid w:val="00EF0F90"/>
    <w:rsid w:val="00EF20A9"/>
    <w:rsid w:val="00EF28D5"/>
    <w:rsid w:val="00EF3F5D"/>
    <w:rsid w:val="00EF5ED6"/>
    <w:rsid w:val="00EF6F51"/>
    <w:rsid w:val="00F00CA6"/>
    <w:rsid w:val="00F01038"/>
    <w:rsid w:val="00F01135"/>
    <w:rsid w:val="00F012B2"/>
    <w:rsid w:val="00F0245B"/>
    <w:rsid w:val="00F03B99"/>
    <w:rsid w:val="00F0477F"/>
    <w:rsid w:val="00F0721E"/>
    <w:rsid w:val="00F0750D"/>
    <w:rsid w:val="00F10F21"/>
    <w:rsid w:val="00F1330D"/>
    <w:rsid w:val="00F15959"/>
    <w:rsid w:val="00F15C34"/>
    <w:rsid w:val="00F22068"/>
    <w:rsid w:val="00F24431"/>
    <w:rsid w:val="00F25CFC"/>
    <w:rsid w:val="00F26699"/>
    <w:rsid w:val="00F2780F"/>
    <w:rsid w:val="00F31AC6"/>
    <w:rsid w:val="00F3210A"/>
    <w:rsid w:val="00F326B2"/>
    <w:rsid w:val="00F336AB"/>
    <w:rsid w:val="00F34923"/>
    <w:rsid w:val="00F35AA3"/>
    <w:rsid w:val="00F3732F"/>
    <w:rsid w:val="00F40B61"/>
    <w:rsid w:val="00F423FF"/>
    <w:rsid w:val="00F42ABC"/>
    <w:rsid w:val="00F42AF8"/>
    <w:rsid w:val="00F42DAA"/>
    <w:rsid w:val="00F44D12"/>
    <w:rsid w:val="00F453DC"/>
    <w:rsid w:val="00F4673A"/>
    <w:rsid w:val="00F47774"/>
    <w:rsid w:val="00F47947"/>
    <w:rsid w:val="00F47F98"/>
    <w:rsid w:val="00F503CE"/>
    <w:rsid w:val="00F51AB0"/>
    <w:rsid w:val="00F53874"/>
    <w:rsid w:val="00F55BDD"/>
    <w:rsid w:val="00F60987"/>
    <w:rsid w:val="00F6740E"/>
    <w:rsid w:val="00F71187"/>
    <w:rsid w:val="00F71B38"/>
    <w:rsid w:val="00F72350"/>
    <w:rsid w:val="00F75D02"/>
    <w:rsid w:val="00F7786D"/>
    <w:rsid w:val="00F81CAD"/>
    <w:rsid w:val="00F824AC"/>
    <w:rsid w:val="00F829DD"/>
    <w:rsid w:val="00F85223"/>
    <w:rsid w:val="00F854F5"/>
    <w:rsid w:val="00F867FB"/>
    <w:rsid w:val="00F870E4"/>
    <w:rsid w:val="00F91AF1"/>
    <w:rsid w:val="00F91CD6"/>
    <w:rsid w:val="00F9306C"/>
    <w:rsid w:val="00F95FB1"/>
    <w:rsid w:val="00F97472"/>
    <w:rsid w:val="00FA1079"/>
    <w:rsid w:val="00FA3805"/>
    <w:rsid w:val="00FA3E22"/>
    <w:rsid w:val="00FA44A6"/>
    <w:rsid w:val="00FA5757"/>
    <w:rsid w:val="00FA66F1"/>
    <w:rsid w:val="00FB07A7"/>
    <w:rsid w:val="00FB70F3"/>
    <w:rsid w:val="00FC1067"/>
    <w:rsid w:val="00FC1BE8"/>
    <w:rsid w:val="00FC1C36"/>
    <w:rsid w:val="00FC25EE"/>
    <w:rsid w:val="00FC2900"/>
    <w:rsid w:val="00FC3922"/>
    <w:rsid w:val="00FC3F0F"/>
    <w:rsid w:val="00FC5395"/>
    <w:rsid w:val="00FC6B4D"/>
    <w:rsid w:val="00FC75BB"/>
    <w:rsid w:val="00FC78D9"/>
    <w:rsid w:val="00FD035A"/>
    <w:rsid w:val="00FD2CFC"/>
    <w:rsid w:val="00FD7B09"/>
    <w:rsid w:val="00FE0949"/>
    <w:rsid w:val="00FE1384"/>
    <w:rsid w:val="00FE1A72"/>
    <w:rsid w:val="00FE52C8"/>
    <w:rsid w:val="00FE574C"/>
    <w:rsid w:val="00FE5926"/>
    <w:rsid w:val="00FE7693"/>
    <w:rsid w:val="00FE7A2E"/>
    <w:rsid w:val="00FF5263"/>
    <w:rsid w:val="00FF5C20"/>
    <w:rsid w:val="00FF60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49DC038D-479D-41FC-9AD9-F6538F13C6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305BC3"/>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qFormat/>
    <w:rsid w:val="007B4112"/>
    <w:pPr>
      <w:keepNext/>
      <w:keepLines/>
      <w:spacing w:before="100" w:beforeAutospacing="1" w:after="100" w:afterAutospacing="1"/>
      <w:jc w:val="center"/>
      <w:outlineLvl w:val="0"/>
    </w:pPr>
    <w:rPr>
      <w:rFonts w:asciiTheme="majorHAnsi" w:eastAsiaTheme="majorEastAsia" w:hAnsiTheme="majorHAnsi" w:cstheme="majorBidi"/>
      <w:b/>
      <w:bCs/>
      <w:sz w:val="28"/>
      <w:szCs w:val="28"/>
    </w:rPr>
  </w:style>
  <w:style w:type="paragraph" w:styleId="20">
    <w:name w:val="heading 2"/>
    <w:basedOn w:val="a0"/>
    <w:next w:val="a0"/>
    <w:link w:val="21"/>
    <w:uiPriority w:val="9"/>
    <w:unhideWhenUsed/>
    <w:qFormat/>
    <w:rsid w:val="00464AFB"/>
    <w:pPr>
      <w:keepNext/>
      <w:keepLines/>
      <w:spacing w:before="100" w:beforeAutospacing="1" w:after="100" w:afterAutospacing="1"/>
      <w:jc w:val="center"/>
      <w:outlineLvl w:val="1"/>
    </w:pPr>
    <w:rPr>
      <w:rFonts w:asciiTheme="majorHAnsi" w:eastAsiaTheme="majorEastAsia" w:hAnsiTheme="majorHAnsi" w:cstheme="majorBidi"/>
      <w:b/>
      <w:bCs/>
      <w:sz w:val="26"/>
      <w:szCs w:val="26"/>
    </w:rPr>
  </w:style>
  <w:style w:type="paragraph" w:styleId="3">
    <w:name w:val="heading 3"/>
    <w:basedOn w:val="a0"/>
    <w:next w:val="a0"/>
    <w:link w:val="30"/>
    <w:uiPriority w:val="9"/>
    <w:unhideWhenUsed/>
    <w:qFormat/>
    <w:rsid w:val="002A725C"/>
    <w:pPr>
      <w:keepNext/>
      <w:keepLines/>
      <w:spacing w:before="100" w:beforeAutospacing="1" w:after="100" w:afterAutospacing="1"/>
      <w:jc w:val="center"/>
      <w:outlineLvl w:val="2"/>
    </w:pPr>
    <w:rPr>
      <w:rFonts w:asciiTheme="majorHAnsi" w:eastAsiaTheme="majorEastAsia" w:hAnsiTheme="majorHAnsi" w:cstheme="majorBidi"/>
      <w:b/>
      <w:bCs/>
      <w:caps/>
    </w:rPr>
  </w:style>
  <w:style w:type="paragraph" w:styleId="4">
    <w:name w:val="heading 4"/>
    <w:basedOn w:val="a0"/>
    <w:next w:val="a0"/>
    <w:link w:val="40"/>
    <w:uiPriority w:val="9"/>
    <w:unhideWhenUsed/>
    <w:qFormat/>
    <w:rsid w:val="001475D9"/>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uiPriority w:val="9"/>
    <w:unhideWhenUsed/>
    <w:qFormat/>
    <w:rsid w:val="003262B9"/>
    <w:pPr>
      <w:keepNext/>
      <w:keepLines/>
      <w:spacing w:before="200"/>
      <w:ind w:firstLine="709"/>
      <w:jc w:val="both"/>
      <w:outlineLvl w:val="4"/>
    </w:pPr>
    <w:rPr>
      <w:rFonts w:asciiTheme="majorHAnsi" w:eastAsiaTheme="majorEastAsia" w:hAnsiTheme="majorHAnsi" w:cstheme="majorBidi"/>
      <w:color w:val="243F60" w:themeColor="accent1" w:themeShade="7F"/>
      <w:lang w:val="en-US" w:bidi="en-US"/>
    </w:rPr>
  </w:style>
  <w:style w:type="paragraph" w:styleId="6">
    <w:name w:val="heading 6"/>
    <w:basedOn w:val="a0"/>
    <w:next w:val="a0"/>
    <w:link w:val="60"/>
    <w:uiPriority w:val="99"/>
    <w:unhideWhenUsed/>
    <w:qFormat/>
    <w:rsid w:val="000A0873"/>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uiPriority w:val="99"/>
    <w:unhideWhenUsed/>
    <w:qFormat/>
    <w:rsid w:val="00A67D23"/>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uiPriority w:val="9"/>
    <w:semiHidden/>
    <w:unhideWhenUsed/>
    <w:qFormat/>
    <w:rsid w:val="003262B9"/>
    <w:pPr>
      <w:keepNext/>
      <w:keepLines/>
      <w:spacing w:before="200"/>
      <w:ind w:firstLine="709"/>
      <w:jc w:val="both"/>
      <w:outlineLvl w:val="7"/>
    </w:pPr>
    <w:rPr>
      <w:rFonts w:asciiTheme="majorHAnsi" w:eastAsiaTheme="majorEastAsia" w:hAnsiTheme="majorHAnsi" w:cstheme="majorBidi"/>
      <w:color w:val="404040" w:themeColor="text1" w:themeTint="BF"/>
      <w:sz w:val="20"/>
      <w:szCs w:val="20"/>
      <w:lang w:val="en-US" w:bidi="en-US"/>
    </w:rPr>
  </w:style>
  <w:style w:type="paragraph" w:styleId="9">
    <w:name w:val="heading 9"/>
    <w:basedOn w:val="a0"/>
    <w:next w:val="a0"/>
    <w:link w:val="90"/>
    <w:uiPriority w:val="9"/>
    <w:semiHidden/>
    <w:unhideWhenUsed/>
    <w:qFormat/>
    <w:rsid w:val="003262B9"/>
    <w:pPr>
      <w:keepNext/>
      <w:keepLines/>
      <w:spacing w:before="200"/>
      <w:ind w:firstLine="709"/>
      <w:jc w:val="both"/>
      <w:outlineLvl w:val="8"/>
    </w:pPr>
    <w:rPr>
      <w:rFonts w:asciiTheme="majorHAnsi" w:eastAsiaTheme="majorEastAsia" w:hAnsiTheme="majorHAnsi" w:cstheme="majorBidi"/>
      <w:i/>
      <w:iCs/>
      <w:color w:val="404040" w:themeColor="text1" w:themeTint="BF"/>
      <w:sz w:val="20"/>
      <w:szCs w:val="20"/>
      <w:lang w:val="en-US" w:bidi="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aliases w:val="Header Char"/>
    <w:basedOn w:val="a0"/>
    <w:link w:val="a5"/>
    <w:uiPriority w:val="99"/>
    <w:unhideWhenUsed/>
    <w:qFormat/>
    <w:rsid w:val="002A7F82"/>
    <w:pPr>
      <w:tabs>
        <w:tab w:val="center" w:pos="4677"/>
        <w:tab w:val="right" w:pos="9355"/>
      </w:tabs>
    </w:pPr>
  </w:style>
  <w:style w:type="character" w:customStyle="1" w:styleId="a5">
    <w:name w:val="Верхний колонтитул Знак"/>
    <w:aliases w:val="Header Char Знак"/>
    <w:basedOn w:val="a1"/>
    <w:link w:val="a4"/>
    <w:uiPriority w:val="99"/>
    <w:rsid w:val="002A7F82"/>
  </w:style>
  <w:style w:type="paragraph" w:styleId="a6">
    <w:name w:val="footer"/>
    <w:basedOn w:val="a0"/>
    <w:link w:val="a7"/>
    <w:uiPriority w:val="99"/>
    <w:unhideWhenUsed/>
    <w:rsid w:val="002A7F82"/>
    <w:pPr>
      <w:tabs>
        <w:tab w:val="center" w:pos="4677"/>
        <w:tab w:val="right" w:pos="9355"/>
      </w:tabs>
    </w:pPr>
  </w:style>
  <w:style w:type="character" w:customStyle="1" w:styleId="a7">
    <w:name w:val="Нижний колонтитул Знак"/>
    <w:basedOn w:val="a1"/>
    <w:link w:val="a6"/>
    <w:uiPriority w:val="99"/>
    <w:rsid w:val="002A7F82"/>
  </w:style>
  <w:style w:type="paragraph" w:styleId="a8">
    <w:name w:val="Balloon Text"/>
    <w:basedOn w:val="a0"/>
    <w:link w:val="a9"/>
    <w:uiPriority w:val="99"/>
    <w:semiHidden/>
    <w:unhideWhenUsed/>
    <w:rsid w:val="002A7F82"/>
    <w:rPr>
      <w:rFonts w:ascii="Tahoma" w:hAnsi="Tahoma" w:cs="Tahoma"/>
      <w:sz w:val="16"/>
      <w:szCs w:val="16"/>
    </w:rPr>
  </w:style>
  <w:style w:type="character" w:customStyle="1" w:styleId="a9">
    <w:name w:val="Текст выноски Знак"/>
    <w:basedOn w:val="a1"/>
    <w:link w:val="a8"/>
    <w:uiPriority w:val="99"/>
    <w:semiHidden/>
    <w:rsid w:val="002A7F82"/>
    <w:rPr>
      <w:rFonts w:ascii="Tahoma" w:hAnsi="Tahoma" w:cs="Tahoma"/>
      <w:sz w:val="16"/>
      <w:szCs w:val="16"/>
    </w:rPr>
  </w:style>
  <w:style w:type="paragraph" w:styleId="22">
    <w:name w:val="Quote"/>
    <w:basedOn w:val="a0"/>
    <w:next w:val="a0"/>
    <w:link w:val="23"/>
    <w:uiPriority w:val="29"/>
    <w:qFormat/>
    <w:rsid w:val="004C23BD"/>
    <w:rPr>
      <w:rFonts w:eastAsiaTheme="minorEastAsia"/>
      <w:i/>
      <w:iCs/>
      <w:color w:val="000000" w:themeColor="text1"/>
    </w:rPr>
  </w:style>
  <w:style w:type="character" w:customStyle="1" w:styleId="23">
    <w:name w:val="Цитата 2 Знак"/>
    <w:basedOn w:val="a1"/>
    <w:link w:val="22"/>
    <w:uiPriority w:val="29"/>
    <w:rsid w:val="004C23BD"/>
    <w:rPr>
      <w:rFonts w:eastAsiaTheme="minorEastAsia"/>
      <w:i/>
      <w:iCs/>
      <w:color w:val="000000" w:themeColor="text1"/>
      <w:lang w:eastAsia="ru-RU"/>
    </w:rPr>
  </w:style>
  <w:style w:type="character" w:customStyle="1" w:styleId="10">
    <w:name w:val="Заголовок 1 Знак"/>
    <w:basedOn w:val="a1"/>
    <w:link w:val="1"/>
    <w:rsid w:val="007B4112"/>
    <w:rPr>
      <w:rFonts w:asciiTheme="majorHAnsi" w:eastAsiaTheme="majorEastAsia" w:hAnsiTheme="majorHAnsi" w:cstheme="majorBidi"/>
      <w:b/>
      <w:bCs/>
      <w:sz w:val="28"/>
      <w:szCs w:val="28"/>
    </w:rPr>
  </w:style>
  <w:style w:type="character" w:customStyle="1" w:styleId="21">
    <w:name w:val="Заголовок 2 Знак"/>
    <w:basedOn w:val="a1"/>
    <w:link w:val="20"/>
    <w:uiPriority w:val="9"/>
    <w:rsid w:val="00464AFB"/>
    <w:rPr>
      <w:rFonts w:asciiTheme="majorHAnsi" w:eastAsiaTheme="majorEastAsia" w:hAnsiTheme="majorHAnsi" w:cstheme="majorBidi"/>
      <w:b/>
      <w:bCs/>
      <w:sz w:val="26"/>
      <w:szCs w:val="26"/>
    </w:rPr>
  </w:style>
  <w:style w:type="paragraph" w:styleId="aa">
    <w:name w:val="No Spacing"/>
    <w:link w:val="ab"/>
    <w:uiPriority w:val="1"/>
    <w:qFormat/>
    <w:rsid w:val="00384A37"/>
    <w:pPr>
      <w:spacing w:after="0" w:line="240" w:lineRule="auto"/>
    </w:pPr>
  </w:style>
  <w:style w:type="paragraph" w:styleId="ac">
    <w:name w:val="Subtitle"/>
    <w:basedOn w:val="a0"/>
    <w:next w:val="a0"/>
    <w:link w:val="ad"/>
    <w:uiPriority w:val="11"/>
    <w:qFormat/>
    <w:rsid w:val="00056765"/>
    <w:pPr>
      <w:numPr>
        <w:ilvl w:val="1"/>
      </w:numPr>
    </w:pPr>
    <w:rPr>
      <w:rFonts w:asciiTheme="majorHAnsi" w:eastAsiaTheme="majorEastAsia" w:hAnsiTheme="majorHAnsi" w:cstheme="majorBidi"/>
      <w:i/>
      <w:iCs/>
      <w:color w:val="4F81BD" w:themeColor="accent1"/>
      <w:spacing w:val="15"/>
    </w:rPr>
  </w:style>
  <w:style w:type="character" w:customStyle="1" w:styleId="ad">
    <w:name w:val="Подзаголовок Знак"/>
    <w:basedOn w:val="a1"/>
    <w:link w:val="ac"/>
    <w:uiPriority w:val="11"/>
    <w:rsid w:val="00056765"/>
    <w:rPr>
      <w:rFonts w:asciiTheme="majorHAnsi" w:eastAsiaTheme="majorEastAsia" w:hAnsiTheme="majorHAnsi" w:cstheme="majorBidi"/>
      <w:i/>
      <w:iCs/>
      <w:color w:val="4F81BD" w:themeColor="accent1"/>
      <w:spacing w:val="15"/>
      <w:sz w:val="24"/>
      <w:szCs w:val="24"/>
    </w:rPr>
  </w:style>
  <w:style w:type="paragraph" w:styleId="ae">
    <w:name w:val="Intense Quote"/>
    <w:basedOn w:val="a0"/>
    <w:next w:val="a0"/>
    <w:link w:val="af"/>
    <w:uiPriority w:val="30"/>
    <w:qFormat/>
    <w:rsid w:val="00CD7415"/>
    <w:pPr>
      <w:pBdr>
        <w:bottom w:val="single" w:sz="4" w:space="4" w:color="4F81BD" w:themeColor="accent1"/>
      </w:pBdr>
      <w:spacing w:before="200" w:after="280"/>
      <w:ind w:left="936" w:right="936"/>
    </w:pPr>
    <w:rPr>
      <w:b/>
      <w:bCs/>
      <w:i/>
      <w:iCs/>
    </w:rPr>
  </w:style>
  <w:style w:type="character" w:customStyle="1" w:styleId="af">
    <w:name w:val="Выделенная цитата Знак"/>
    <w:basedOn w:val="a1"/>
    <w:link w:val="ae"/>
    <w:uiPriority w:val="30"/>
    <w:rsid w:val="00CD7415"/>
    <w:rPr>
      <w:rFonts w:ascii="Times New Roman" w:hAnsi="Times New Roman"/>
      <w:b/>
      <w:bCs/>
      <w:i/>
      <w:iCs/>
    </w:rPr>
  </w:style>
  <w:style w:type="character" w:styleId="af0">
    <w:name w:val="Hyperlink"/>
    <w:basedOn w:val="a1"/>
    <w:uiPriority w:val="99"/>
    <w:unhideWhenUsed/>
    <w:rsid w:val="00C62E15"/>
    <w:rPr>
      <w:color w:val="0000FF" w:themeColor="hyperlink"/>
      <w:u w:val="single"/>
    </w:rPr>
  </w:style>
  <w:style w:type="paragraph" w:styleId="af1">
    <w:name w:val="footnote text"/>
    <w:aliases w:val="Table_Footnote_last,Текст сноски Знак1 Знак,Текст сноски Знак Знак Знак,Текст сноски Знак1 Знак Знак Знак,Текст сноски Знак Знак Знак Знак Знак,Текст сноски Знак1 Знак Знак Знак Знак Знак,Footnote Text Char Char1, Знак,Schriftart: 9 p,З"/>
    <w:basedOn w:val="a0"/>
    <w:link w:val="af2"/>
    <w:uiPriority w:val="99"/>
    <w:unhideWhenUsed/>
    <w:qFormat/>
    <w:rsid w:val="00C62E15"/>
    <w:pPr>
      <w:ind w:firstLine="709"/>
      <w:jc w:val="both"/>
    </w:pPr>
    <w:rPr>
      <w:rFonts w:eastAsiaTheme="minorEastAsia"/>
      <w:sz w:val="20"/>
      <w:szCs w:val="20"/>
      <w:lang w:val="en-US" w:bidi="en-US"/>
    </w:rPr>
  </w:style>
  <w:style w:type="character" w:customStyle="1" w:styleId="af2">
    <w:name w:val="Текст сноски Знак"/>
    <w:aliases w:val="Table_Footnote_last Знак,Текст сноски Знак1 Знак Знак,Текст сноски Знак Знак Знак Знак,Текст сноски Знак1 Знак Знак Знак Знак,Текст сноски Знак Знак Знак Знак Знак Знак,Текст сноски Знак1 Знак Знак Знак Знак Знак Знак, Знак Знак,З Знак"/>
    <w:basedOn w:val="a1"/>
    <w:link w:val="af1"/>
    <w:uiPriority w:val="99"/>
    <w:rsid w:val="00C62E15"/>
    <w:rPr>
      <w:rFonts w:ascii="Times New Roman" w:eastAsiaTheme="minorEastAsia" w:hAnsi="Times New Roman"/>
      <w:sz w:val="20"/>
      <w:szCs w:val="20"/>
      <w:lang w:val="en-US" w:bidi="en-US"/>
    </w:rPr>
  </w:style>
  <w:style w:type="paragraph" w:styleId="af3">
    <w:name w:val="List Paragraph"/>
    <w:basedOn w:val="a0"/>
    <w:link w:val="af4"/>
    <w:uiPriority w:val="34"/>
    <w:qFormat/>
    <w:rsid w:val="00C62E15"/>
    <w:pPr>
      <w:spacing w:before="120" w:after="120"/>
      <w:ind w:left="720" w:firstLine="709"/>
      <w:contextualSpacing/>
      <w:jc w:val="both"/>
    </w:pPr>
    <w:rPr>
      <w:rFonts w:eastAsiaTheme="minorEastAsia"/>
      <w:lang w:val="en-US" w:bidi="en-US"/>
    </w:rPr>
  </w:style>
  <w:style w:type="character" w:styleId="af5">
    <w:name w:val="footnote reference"/>
    <w:aliases w:val="Знак сноски-FN,Знак сноски 1,сноска,fr,Used by Word for Help footnote symbols,вески,СНОСКА,сноска1,Ciae niinee-FN,Referencia nota al pie,SUPERS,Avg - Знак сноски,ftref,Avg,avg-Знак сноски,ООО Знак сноски,ХИА_ЗС"/>
    <w:basedOn w:val="a1"/>
    <w:uiPriority w:val="99"/>
    <w:unhideWhenUsed/>
    <w:qFormat/>
    <w:rsid w:val="00C62E15"/>
    <w:rPr>
      <w:vertAlign w:val="superscript"/>
    </w:rPr>
  </w:style>
  <w:style w:type="paragraph" w:styleId="af6">
    <w:name w:val="Normal (Web)"/>
    <w:aliases w:val="Обычный (веб)2,Обычный (Web)1,Обычный (Web)11,Обычный (Web)111,Обычный (Web), Знак Знак Знак Знак,Знак Знак,Знак,Знак Знак Знак Знак,Знак Знак Знак,Знак Знак Знак Знак Знак Знак,Знак Знак Знак Знак Знак,Знак1,Текст сноски Знак1"/>
    <w:basedOn w:val="a0"/>
    <w:uiPriority w:val="99"/>
    <w:unhideWhenUsed/>
    <w:qFormat/>
    <w:rsid w:val="00A0653A"/>
    <w:pPr>
      <w:spacing w:before="120" w:after="120"/>
      <w:ind w:firstLine="709"/>
      <w:jc w:val="both"/>
    </w:pPr>
  </w:style>
  <w:style w:type="character" w:customStyle="1" w:styleId="af7">
    <w:name w:val="Основной текст Знак"/>
    <w:aliases w:val="Основной текст Знак Знак Знак,Основной текст2 Знак,Основной текст Знак12 Знак,Основной текст Знак Знак2 Знак,Знак Знак Знак4 Знак,Знак Знак12 Знак,Основной текст Знак3 Знак,Знак Знак1 Знак Знак Знак2 Знак,Знак Знак1 Знак2 Знак"/>
    <w:basedOn w:val="a1"/>
    <w:link w:val="af8"/>
    <w:locked/>
    <w:rsid w:val="00A04C75"/>
    <w:rPr>
      <w:rFonts w:ascii="Times New Roman" w:eastAsia="Times New Roman" w:hAnsi="Times New Roman" w:cs="Times New Roman"/>
      <w:sz w:val="24"/>
      <w:szCs w:val="20"/>
      <w:lang w:eastAsia="ru-RU"/>
    </w:rPr>
  </w:style>
  <w:style w:type="paragraph" w:styleId="af8">
    <w:name w:val="Body Text"/>
    <w:aliases w:val="Основной текст Знак Знак,Основной текст2,Основной текст Знак12,Основной текст Знак Знак2,Знак Знак Знак4,Знак Знак12,Основной текст Знак3,Знак Знак1 Знак Знак Знак2,Знак Знак1 Знак2,Подпись1,bt"/>
    <w:basedOn w:val="a0"/>
    <w:link w:val="af7"/>
    <w:unhideWhenUsed/>
    <w:qFormat/>
    <w:rsid w:val="00A04C75"/>
    <w:pPr>
      <w:ind w:firstLine="709"/>
      <w:jc w:val="both"/>
    </w:pPr>
    <w:rPr>
      <w:szCs w:val="20"/>
    </w:rPr>
  </w:style>
  <w:style w:type="character" w:customStyle="1" w:styleId="11">
    <w:name w:val="Основной текст Знак1"/>
    <w:aliases w:val="Основной текст Знак Знак Знак1,Основной текст2 Знак1,Основной текст Знак12 Знак1,Основной текст Знак Знак2 Знак1,Знак Знак Знак4 Знак1,Знак Знак12 Знак1,Основной текст Знак3 Знак1,Знак Знак1 Знак Знак Знак2 Знак1,Подпись1 Знак"/>
    <w:basedOn w:val="a1"/>
    <w:uiPriority w:val="99"/>
    <w:semiHidden/>
    <w:rsid w:val="00A04C75"/>
    <w:rPr>
      <w:rFonts w:ascii="Times New Roman" w:hAnsi="Times New Roman"/>
    </w:rPr>
  </w:style>
  <w:style w:type="paragraph" w:styleId="af9">
    <w:name w:val="Body Text Indent"/>
    <w:basedOn w:val="a0"/>
    <w:link w:val="afa"/>
    <w:uiPriority w:val="99"/>
    <w:unhideWhenUsed/>
    <w:rsid w:val="00A04C75"/>
    <w:pPr>
      <w:spacing w:before="120" w:after="120"/>
      <w:ind w:left="283" w:firstLine="709"/>
      <w:jc w:val="both"/>
    </w:pPr>
    <w:rPr>
      <w:rFonts w:eastAsiaTheme="minorEastAsia"/>
      <w:lang w:val="en-US" w:bidi="en-US"/>
    </w:rPr>
  </w:style>
  <w:style w:type="character" w:customStyle="1" w:styleId="afa">
    <w:name w:val="Основной текст с отступом Знак"/>
    <w:basedOn w:val="a1"/>
    <w:link w:val="af9"/>
    <w:uiPriority w:val="99"/>
    <w:rsid w:val="00A04C75"/>
    <w:rPr>
      <w:rFonts w:ascii="Times New Roman" w:eastAsiaTheme="minorEastAsia" w:hAnsi="Times New Roman"/>
      <w:sz w:val="24"/>
      <w:lang w:val="en-US" w:bidi="en-US"/>
    </w:rPr>
  </w:style>
  <w:style w:type="character" w:styleId="afb">
    <w:name w:val="Subtle Reference"/>
    <w:basedOn w:val="a1"/>
    <w:uiPriority w:val="31"/>
    <w:qFormat/>
    <w:rsid w:val="00464AFB"/>
    <w:rPr>
      <w:smallCaps/>
      <w:color w:val="auto"/>
      <w:u w:val="single"/>
    </w:rPr>
  </w:style>
  <w:style w:type="character" w:styleId="afc">
    <w:name w:val="Intense Reference"/>
    <w:basedOn w:val="a1"/>
    <w:uiPriority w:val="32"/>
    <w:qFormat/>
    <w:rsid w:val="00464AFB"/>
    <w:rPr>
      <w:b/>
      <w:bCs/>
      <w:smallCaps/>
      <w:color w:val="auto"/>
      <w:spacing w:val="5"/>
      <w:u w:val="single"/>
    </w:rPr>
  </w:style>
  <w:style w:type="character" w:styleId="afd">
    <w:name w:val="Strong"/>
    <w:basedOn w:val="a1"/>
    <w:uiPriority w:val="22"/>
    <w:qFormat/>
    <w:rsid w:val="0013538A"/>
    <w:rPr>
      <w:b/>
      <w:bCs/>
    </w:rPr>
  </w:style>
  <w:style w:type="character" w:styleId="afe">
    <w:name w:val="Subtle Emphasis"/>
    <w:basedOn w:val="a1"/>
    <w:uiPriority w:val="19"/>
    <w:qFormat/>
    <w:rsid w:val="00AE033B"/>
    <w:rPr>
      <w:i/>
      <w:iCs/>
      <w:color w:val="808080" w:themeColor="text1" w:themeTint="7F"/>
    </w:rPr>
  </w:style>
  <w:style w:type="paragraph" w:customStyle="1" w:styleId="12">
    <w:name w:val="Стиль1"/>
    <w:basedOn w:val="a0"/>
    <w:uiPriority w:val="30"/>
    <w:qFormat/>
    <w:rsid w:val="00800704"/>
    <w:pPr>
      <w:suppressAutoHyphens/>
      <w:spacing w:before="240"/>
      <w:ind w:left="284"/>
      <w:jc w:val="both"/>
    </w:pPr>
    <w:rPr>
      <w:szCs w:val="20"/>
      <w:lang w:eastAsia="ar-SA"/>
    </w:rPr>
  </w:style>
  <w:style w:type="character" w:styleId="aff">
    <w:name w:val="Intense Emphasis"/>
    <w:basedOn w:val="a1"/>
    <w:uiPriority w:val="21"/>
    <w:qFormat/>
    <w:rsid w:val="00B47456"/>
    <w:rPr>
      <w:b/>
      <w:bCs/>
      <w:i/>
      <w:iCs/>
      <w:color w:val="auto"/>
    </w:rPr>
  </w:style>
  <w:style w:type="character" w:customStyle="1" w:styleId="30">
    <w:name w:val="Заголовок 3 Знак"/>
    <w:basedOn w:val="a1"/>
    <w:link w:val="3"/>
    <w:uiPriority w:val="9"/>
    <w:rsid w:val="002A725C"/>
    <w:rPr>
      <w:rFonts w:asciiTheme="majorHAnsi" w:eastAsiaTheme="majorEastAsia" w:hAnsiTheme="majorHAnsi" w:cstheme="majorBidi"/>
      <w:b/>
      <w:bCs/>
      <w:caps/>
    </w:rPr>
  </w:style>
  <w:style w:type="character" w:styleId="aff0">
    <w:name w:val="Emphasis"/>
    <w:basedOn w:val="a1"/>
    <w:uiPriority w:val="20"/>
    <w:qFormat/>
    <w:rsid w:val="004A28DF"/>
    <w:rPr>
      <w:i/>
      <w:iCs/>
    </w:rPr>
  </w:style>
  <w:style w:type="table" w:styleId="aff1">
    <w:name w:val="Table Grid"/>
    <w:basedOn w:val="a2"/>
    <w:uiPriority w:val="39"/>
    <w:rsid w:val="000903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TOC Heading"/>
    <w:basedOn w:val="1"/>
    <w:next w:val="a0"/>
    <w:uiPriority w:val="39"/>
    <w:unhideWhenUsed/>
    <w:qFormat/>
    <w:rsid w:val="008028E0"/>
    <w:pPr>
      <w:outlineLvl w:val="9"/>
    </w:pPr>
  </w:style>
  <w:style w:type="paragraph" w:styleId="13">
    <w:name w:val="toc 1"/>
    <w:basedOn w:val="a0"/>
    <w:next w:val="a0"/>
    <w:autoRedefine/>
    <w:uiPriority w:val="39"/>
    <w:unhideWhenUsed/>
    <w:rsid w:val="008303F0"/>
    <w:pPr>
      <w:tabs>
        <w:tab w:val="right" w:pos="10479"/>
      </w:tabs>
      <w:spacing w:line="360" w:lineRule="auto"/>
      <w:ind w:right="141"/>
      <w:jc w:val="both"/>
    </w:pPr>
    <w:rPr>
      <w:rFonts w:asciiTheme="majorHAnsi" w:eastAsiaTheme="majorEastAsia" w:hAnsiTheme="majorHAnsi" w:cstheme="majorBidi"/>
      <w:b/>
      <w:bCs/>
      <w:noProof/>
      <w:sz w:val="20"/>
      <w:szCs w:val="20"/>
    </w:rPr>
  </w:style>
  <w:style w:type="paragraph" w:styleId="24">
    <w:name w:val="toc 2"/>
    <w:basedOn w:val="a0"/>
    <w:next w:val="a0"/>
    <w:autoRedefine/>
    <w:uiPriority w:val="39"/>
    <w:unhideWhenUsed/>
    <w:rsid w:val="008303F0"/>
    <w:pPr>
      <w:tabs>
        <w:tab w:val="right" w:leader="dot" w:pos="10348"/>
        <w:tab w:val="right" w:pos="10489"/>
      </w:tabs>
      <w:spacing w:line="360" w:lineRule="auto"/>
      <w:jc w:val="both"/>
    </w:pPr>
    <w:rPr>
      <w:rFonts w:asciiTheme="majorHAnsi" w:eastAsiaTheme="majorEastAsia" w:hAnsiTheme="majorHAnsi" w:cstheme="majorBidi"/>
      <w:b/>
      <w:bCs/>
      <w:noProof/>
      <w:sz w:val="20"/>
      <w:szCs w:val="20"/>
      <w:lang w:bidi="en-US"/>
    </w:rPr>
  </w:style>
  <w:style w:type="character" w:styleId="aff3">
    <w:name w:val="FollowedHyperlink"/>
    <w:basedOn w:val="a1"/>
    <w:uiPriority w:val="99"/>
    <w:semiHidden/>
    <w:unhideWhenUsed/>
    <w:rsid w:val="00372655"/>
    <w:rPr>
      <w:color w:val="800080" w:themeColor="followedHyperlink"/>
      <w:u w:val="single"/>
    </w:rPr>
  </w:style>
  <w:style w:type="paragraph" w:customStyle="1" w:styleId="210">
    <w:name w:val="Основной текст с отступом 21"/>
    <w:basedOn w:val="a0"/>
    <w:uiPriority w:val="39"/>
    <w:qFormat/>
    <w:rsid w:val="000421D3"/>
    <w:pPr>
      <w:suppressAutoHyphens/>
      <w:ind w:firstLine="709"/>
      <w:jc w:val="both"/>
    </w:pPr>
    <w:rPr>
      <w:b/>
      <w:sz w:val="28"/>
      <w:szCs w:val="20"/>
      <w:lang w:eastAsia="ar-SA"/>
    </w:rPr>
  </w:style>
  <w:style w:type="paragraph" w:customStyle="1" w:styleId="31">
    <w:name w:val="Основной текст 31"/>
    <w:basedOn w:val="a0"/>
    <w:uiPriority w:val="39"/>
    <w:qFormat/>
    <w:rsid w:val="000421D3"/>
    <w:pPr>
      <w:suppressAutoHyphens/>
      <w:jc w:val="center"/>
    </w:pPr>
    <w:rPr>
      <w:sz w:val="20"/>
      <w:szCs w:val="20"/>
      <w:lang w:eastAsia="ar-SA"/>
    </w:rPr>
  </w:style>
  <w:style w:type="paragraph" w:customStyle="1" w:styleId="Style19">
    <w:name w:val="Style19"/>
    <w:basedOn w:val="a0"/>
    <w:uiPriority w:val="99"/>
    <w:qFormat/>
    <w:rsid w:val="00A05E05"/>
    <w:pPr>
      <w:widowControl w:val="0"/>
      <w:autoSpaceDE w:val="0"/>
      <w:autoSpaceDN w:val="0"/>
      <w:adjustRightInd w:val="0"/>
      <w:spacing w:line="245" w:lineRule="exact"/>
      <w:ind w:firstLine="638"/>
      <w:jc w:val="both"/>
    </w:pPr>
    <w:rPr>
      <w:rFonts w:ascii="MS Reference Sans Serif" w:hAnsi="MS Reference Sans Serif"/>
    </w:rPr>
  </w:style>
  <w:style w:type="character" w:customStyle="1" w:styleId="FontStyle37">
    <w:name w:val="Font Style37"/>
    <w:basedOn w:val="a1"/>
    <w:uiPriority w:val="99"/>
    <w:rsid w:val="00A05E05"/>
    <w:rPr>
      <w:rFonts w:ascii="Verdana" w:hAnsi="Verdana" w:cs="Verdana" w:hint="default"/>
      <w:sz w:val="18"/>
      <w:szCs w:val="18"/>
    </w:rPr>
  </w:style>
  <w:style w:type="character" w:customStyle="1" w:styleId="FontStyle25">
    <w:name w:val="Font Style25"/>
    <w:basedOn w:val="a1"/>
    <w:uiPriority w:val="99"/>
    <w:rsid w:val="00A05E05"/>
    <w:rPr>
      <w:rFonts w:ascii="Verdana" w:hAnsi="Verdana" w:cs="Verdana" w:hint="default"/>
      <w:b/>
      <w:bCs/>
      <w:sz w:val="18"/>
      <w:szCs w:val="18"/>
    </w:rPr>
  </w:style>
  <w:style w:type="paragraph" w:customStyle="1" w:styleId="Style11">
    <w:name w:val="Style11"/>
    <w:basedOn w:val="a0"/>
    <w:uiPriority w:val="99"/>
    <w:qFormat/>
    <w:rsid w:val="00441B70"/>
    <w:pPr>
      <w:widowControl w:val="0"/>
      <w:autoSpaceDE w:val="0"/>
      <w:autoSpaceDN w:val="0"/>
      <w:adjustRightInd w:val="0"/>
    </w:pPr>
    <w:rPr>
      <w:rFonts w:ascii="MS Reference Sans Serif" w:hAnsi="MS Reference Sans Serif"/>
    </w:rPr>
  </w:style>
  <w:style w:type="paragraph" w:customStyle="1" w:styleId="Style4">
    <w:name w:val="Style4"/>
    <w:basedOn w:val="a0"/>
    <w:uiPriority w:val="99"/>
    <w:qFormat/>
    <w:rsid w:val="00C76690"/>
    <w:pPr>
      <w:widowControl w:val="0"/>
      <w:autoSpaceDE w:val="0"/>
      <w:autoSpaceDN w:val="0"/>
      <w:adjustRightInd w:val="0"/>
      <w:ind w:firstLine="709"/>
    </w:pPr>
    <w:rPr>
      <w:rFonts w:ascii="Arial Unicode MS" w:eastAsia="Arial Unicode MS" w:hAnsi="Calibri" w:cs="Arial Unicode MS"/>
    </w:rPr>
  </w:style>
  <w:style w:type="paragraph" w:customStyle="1" w:styleId="Style16">
    <w:name w:val="Style16"/>
    <w:basedOn w:val="a0"/>
    <w:uiPriority w:val="99"/>
    <w:qFormat/>
    <w:rsid w:val="00C76690"/>
    <w:pPr>
      <w:widowControl w:val="0"/>
      <w:autoSpaceDE w:val="0"/>
      <w:autoSpaceDN w:val="0"/>
      <w:adjustRightInd w:val="0"/>
      <w:spacing w:line="244" w:lineRule="exact"/>
      <w:ind w:firstLine="667"/>
      <w:jc w:val="both"/>
    </w:pPr>
    <w:rPr>
      <w:rFonts w:ascii="MS Reference Sans Serif" w:hAnsi="MS Reference Sans Serif"/>
    </w:rPr>
  </w:style>
  <w:style w:type="character" w:customStyle="1" w:styleId="FontStyle85">
    <w:name w:val="Font Style85"/>
    <w:basedOn w:val="a1"/>
    <w:uiPriority w:val="99"/>
    <w:rsid w:val="00C76690"/>
    <w:rPr>
      <w:rFonts w:ascii="Verdana" w:hAnsi="Verdana" w:cs="Verdana"/>
      <w:sz w:val="12"/>
      <w:szCs w:val="12"/>
    </w:rPr>
  </w:style>
  <w:style w:type="character" w:customStyle="1" w:styleId="mw-headline">
    <w:name w:val="mw-headline"/>
    <w:basedOn w:val="a1"/>
    <w:rsid w:val="000A78F7"/>
  </w:style>
  <w:style w:type="character" w:customStyle="1" w:styleId="editsection">
    <w:name w:val="editsection"/>
    <w:basedOn w:val="a1"/>
    <w:uiPriority w:val="99"/>
    <w:rsid w:val="000A78F7"/>
  </w:style>
  <w:style w:type="paragraph" w:styleId="aff4">
    <w:name w:val="caption"/>
    <w:basedOn w:val="a0"/>
    <w:next w:val="a0"/>
    <w:uiPriority w:val="99"/>
    <w:unhideWhenUsed/>
    <w:qFormat/>
    <w:rsid w:val="00695AC3"/>
    <w:rPr>
      <w:rFonts w:asciiTheme="minorHAnsi" w:eastAsiaTheme="minorEastAsia" w:hAnsiTheme="minorHAnsi"/>
      <w:b/>
      <w:bCs/>
      <w:color w:val="4F81BD" w:themeColor="accent1"/>
      <w:sz w:val="18"/>
      <w:szCs w:val="18"/>
    </w:rPr>
  </w:style>
  <w:style w:type="paragraph" w:customStyle="1" w:styleId="Style5">
    <w:name w:val="Style5"/>
    <w:basedOn w:val="a0"/>
    <w:uiPriority w:val="99"/>
    <w:qFormat/>
    <w:rsid w:val="00695AC3"/>
    <w:pPr>
      <w:widowControl w:val="0"/>
      <w:autoSpaceDE w:val="0"/>
      <w:autoSpaceDN w:val="0"/>
      <w:adjustRightInd w:val="0"/>
      <w:spacing w:line="245" w:lineRule="exact"/>
      <w:ind w:firstLine="317"/>
      <w:jc w:val="both"/>
    </w:pPr>
    <w:rPr>
      <w:rFonts w:eastAsiaTheme="minorEastAsia"/>
    </w:rPr>
  </w:style>
  <w:style w:type="paragraph" w:customStyle="1" w:styleId="Style7">
    <w:name w:val="Style7"/>
    <w:basedOn w:val="a0"/>
    <w:uiPriority w:val="99"/>
    <w:qFormat/>
    <w:rsid w:val="00695AC3"/>
    <w:pPr>
      <w:widowControl w:val="0"/>
      <w:autoSpaceDE w:val="0"/>
      <w:autoSpaceDN w:val="0"/>
      <w:adjustRightInd w:val="0"/>
    </w:pPr>
    <w:rPr>
      <w:rFonts w:eastAsiaTheme="minorEastAsia"/>
    </w:rPr>
  </w:style>
  <w:style w:type="paragraph" w:customStyle="1" w:styleId="Style6">
    <w:name w:val="Style6"/>
    <w:basedOn w:val="a0"/>
    <w:uiPriority w:val="99"/>
    <w:qFormat/>
    <w:rsid w:val="00695AC3"/>
    <w:pPr>
      <w:widowControl w:val="0"/>
      <w:autoSpaceDE w:val="0"/>
      <w:autoSpaceDN w:val="0"/>
      <w:adjustRightInd w:val="0"/>
      <w:spacing w:line="221" w:lineRule="exact"/>
      <w:jc w:val="both"/>
    </w:pPr>
    <w:rPr>
      <w:rFonts w:eastAsiaTheme="minorEastAsia"/>
    </w:rPr>
  </w:style>
  <w:style w:type="paragraph" w:customStyle="1" w:styleId="Style2">
    <w:name w:val="Style2"/>
    <w:basedOn w:val="a0"/>
    <w:uiPriority w:val="99"/>
    <w:qFormat/>
    <w:rsid w:val="00695AC3"/>
    <w:pPr>
      <w:widowControl w:val="0"/>
      <w:autoSpaceDE w:val="0"/>
      <w:autoSpaceDN w:val="0"/>
      <w:adjustRightInd w:val="0"/>
    </w:pPr>
    <w:rPr>
      <w:rFonts w:eastAsiaTheme="minorEastAsia"/>
    </w:rPr>
  </w:style>
  <w:style w:type="paragraph" w:customStyle="1" w:styleId="Style3">
    <w:name w:val="Style3"/>
    <w:basedOn w:val="a0"/>
    <w:uiPriority w:val="99"/>
    <w:qFormat/>
    <w:rsid w:val="00695AC3"/>
    <w:pPr>
      <w:widowControl w:val="0"/>
      <w:autoSpaceDE w:val="0"/>
      <w:autoSpaceDN w:val="0"/>
      <w:adjustRightInd w:val="0"/>
      <w:spacing w:line="247" w:lineRule="exact"/>
      <w:ind w:firstLine="226"/>
      <w:jc w:val="both"/>
    </w:pPr>
    <w:rPr>
      <w:rFonts w:eastAsiaTheme="minorEastAsia"/>
    </w:rPr>
  </w:style>
  <w:style w:type="paragraph" w:customStyle="1" w:styleId="Style1">
    <w:name w:val="Style1"/>
    <w:basedOn w:val="a0"/>
    <w:uiPriority w:val="99"/>
    <w:qFormat/>
    <w:rsid w:val="00695AC3"/>
    <w:pPr>
      <w:widowControl w:val="0"/>
      <w:autoSpaceDE w:val="0"/>
      <w:autoSpaceDN w:val="0"/>
      <w:adjustRightInd w:val="0"/>
      <w:spacing w:line="245" w:lineRule="exact"/>
      <w:jc w:val="both"/>
    </w:pPr>
    <w:rPr>
      <w:rFonts w:eastAsiaTheme="minorEastAsia"/>
    </w:rPr>
  </w:style>
  <w:style w:type="character" w:customStyle="1" w:styleId="FontStyle17">
    <w:name w:val="Font Style17"/>
    <w:basedOn w:val="a1"/>
    <w:uiPriority w:val="99"/>
    <w:rsid w:val="00695AC3"/>
    <w:rPr>
      <w:rFonts w:ascii="Times New Roman" w:hAnsi="Times New Roman" w:cs="Times New Roman" w:hint="default"/>
      <w:sz w:val="22"/>
      <w:szCs w:val="22"/>
    </w:rPr>
  </w:style>
  <w:style w:type="character" w:customStyle="1" w:styleId="FontStyle18">
    <w:name w:val="Font Style18"/>
    <w:basedOn w:val="a1"/>
    <w:uiPriority w:val="99"/>
    <w:rsid w:val="00695AC3"/>
    <w:rPr>
      <w:rFonts w:ascii="Times New Roman" w:hAnsi="Times New Roman" w:cs="Times New Roman" w:hint="default"/>
      <w:b/>
      <w:bCs/>
      <w:sz w:val="18"/>
      <w:szCs w:val="18"/>
    </w:rPr>
  </w:style>
  <w:style w:type="character" w:customStyle="1" w:styleId="FontStyle19">
    <w:name w:val="Font Style19"/>
    <w:basedOn w:val="a1"/>
    <w:uiPriority w:val="99"/>
    <w:rsid w:val="00695AC3"/>
    <w:rPr>
      <w:rFonts w:ascii="Franklin Gothic Medium" w:hAnsi="Franklin Gothic Medium" w:cs="Franklin Gothic Medium" w:hint="default"/>
      <w:b/>
      <w:bCs/>
      <w:spacing w:val="-10"/>
      <w:sz w:val="16"/>
      <w:szCs w:val="16"/>
    </w:rPr>
  </w:style>
  <w:style w:type="character" w:customStyle="1" w:styleId="FontStyle20">
    <w:name w:val="Font Style20"/>
    <w:basedOn w:val="a1"/>
    <w:uiPriority w:val="99"/>
    <w:rsid w:val="00695AC3"/>
    <w:rPr>
      <w:rFonts w:ascii="Times New Roman" w:hAnsi="Times New Roman" w:cs="Times New Roman" w:hint="default"/>
      <w:sz w:val="18"/>
      <w:szCs w:val="18"/>
    </w:rPr>
  </w:style>
  <w:style w:type="character" w:customStyle="1" w:styleId="FontStyle12">
    <w:name w:val="Font Style12"/>
    <w:basedOn w:val="a1"/>
    <w:uiPriority w:val="99"/>
    <w:rsid w:val="00695AC3"/>
    <w:rPr>
      <w:rFonts w:ascii="Times New Roman" w:hAnsi="Times New Roman" w:cs="Times New Roman" w:hint="default"/>
      <w:sz w:val="18"/>
      <w:szCs w:val="18"/>
    </w:rPr>
  </w:style>
  <w:style w:type="character" w:customStyle="1" w:styleId="FontStyle14">
    <w:name w:val="Font Style14"/>
    <w:basedOn w:val="a1"/>
    <w:uiPriority w:val="99"/>
    <w:rsid w:val="00695AC3"/>
    <w:rPr>
      <w:rFonts w:ascii="Times New Roman" w:hAnsi="Times New Roman" w:cs="Times New Roman" w:hint="default"/>
      <w:sz w:val="20"/>
      <w:szCs w:val="20"/>
    </w:rPr>
  </w:style>
  <w:style w:type="character" w:customStyle="1" w:styleId="FontStyle15">
    <w:name w:val="Font Style15"/>
    <w:basedOn w:val="a1"/>
    <w:uiPriority w:val="99"/>
    <w:rsid w:val="00695AC3"/>
    <w:rPr>
      <w:rFonts w:ascii="Times New Roman" w:hAnsi="Times New Roman" w:cs="Times New Roman" w:hint="default"/>
      <w:b/>
      <w:bCs/>
      <w:i/>
      <w:iCs/>
      <w:sz w:val="20"/>
      <w:szCs w:val="20"/>
    </w:rPr>
  </w:style>
  <w:style w:type="character" w:customStyle="1" w:styleId="FontStyle16">
    <w:name w:val="Font Style16"/>
    <w:basedOn w:val="a1"/>
    <w:uiPriority w:val="99"/>
    <w:rsid w:val="00695AC3"/>
    <w:rPr>
      <w:rFonts w:ascii="Times New Roman" w:hAnsi="Times New Roman" w:cs="Times New Roman" w:hint="default"/>
      <w:b/>
      <w:bCs/>
      <w:sz w:val="20"/>
      <w:szCs w:val="20"/>
    </w:rPr>
  </w:style>
  <w:style w:type="character" w:customStyle="1" w:styleId="FontStyle11">
    <w:name w:val="Font Style11"/>
    <w:basedOn w:val="a1"/>
    <w:uiPriority w:val="99"/>
    <w:rsid w:val="00695AC3"/>
    <w:rPr>
      <w:rFonts w:ascii="Times New Roman" w:hAnsi="Times New Roman" w:cs="Times New Roman" w:hint="default"/>
      <w:i/>
      <w:iCs/>
      <w:sz w:val="20"/>
      <w:szCs w:val="20"/>
    </w:rPr>
  </w:style>
  <w:style w:type="character" w:customStyle="1" w:styleId="FontStyle13">
    <w:name w:val="Font Style13"/>
    <w:basedOn w:val="a1"/>
    <w:uiPriority w:val="99"/>
    <w:rsid w:val="00695AC3"/>
    <w:rPr>
      <w:rFonts w:ascii="Times New Roman" w:hAnsi="Times New Roman" w:cs="Times New Roman" w:hint="default"/>
      <w:sz w:val="20"/>
      <w:szCs w:val="20"/>
    </w:rPr>
  </w:style>
  <w:style w:type="character" w:customStyle="1" w:styleId="FontStyle22">
    <w:name w:val="Font Style22"/>
    <w:basedOn w:val="a1"/>
    <w:uiPriority w:val="99"/>
    <w:rsid w:val="00695AC3"/>
    <w:rPr>
      <w:rFonts w:ascii="Times New Roman" w:hAnsi="Times New Roman" w:cs="Times New Roman" w:hint="default"/>
      <w:sz w:val="20"/>
      <w:szCs w:val="20"/>
    </w:rPr>
  </w:style>
  <w:style w:type="character" w:customStyle="1" w:styleId="FontStyle26">
    <w:name w:val="Font Style26"/>
    <w:basedOn w:val="a1"/>
    <w:uiPriority w:val="99"/>
    <w:rsid w:val="00695AC3"/>
    <w:rPr>
      <w:rFonts w:ascii="Times New Roman" w:hAnsi="Times New Roman" w:cs="Times New Roman" w:hint="default"/>
      <w:b/>
      <w:bCs/>
      <w:i/>
      <w:iCs/>
      <w:sz w:val="18"/>
      <w:szCs w:val="18"/>
    </w:rPr>
  </w:style>
  <w:style w:type="character" w:customStyle="1" w:styleId="FontStyle23">
    <w:name w:val="Font Style23"/>
    <w:basedOn w:val="a1"/>
    <w:uiPriority w:val="99"/>
    <w:rsid w:val="00695AC3"/>
    <w:rPr>
      <w:rFonts w:ascii="Times New Roman" w:hAnsi="Times New Roman" w:cs="Times New Roman" w:hint="default"/>
      <w:sz w:val="18"/>
      <w:szCs w:val="18"/>
    </w:rPr>
  </w:style>
  <w:style w:type="character" w:customStyle="1" w:styleId="FontStyle24">
    <w:name w:val="Font Style24"/>
    <w:basedOn w:val="a1"/>
    <w:uiPriority w:val="99"/>
    <w:rsid w:val="00695AC3"/>
    <w:rPr>
      <w:rFonts w:ascii="Times New Roman" w:hAnsi="Times New Roman" w:cs="Times New Roman" w:hint="default"/>
      <w:i/>
      <w:iCs/>
      <w:sz w:val="18"/>
      <w:szCs w:val="18"/>
    </w:rPr>
  </w:style>
  <w:style w:type="character" w:customStyle="1" w:styleId="FontStyle42">
    <w:name w:val="Font Style42"/>
    <w:basedOn w:val="a1"/>
    <w:uiPriority w:val="99"/>
    <w:rsid w:val="007D2A2A"/>
    <w:rPr>
      <w:rFonts w:ascii="MS Reference Sans Serif" w:hAnsi="MS Reference Sans Serif" w:cs="MS Reference Sans Serif" w:hint="default"/>
      <w:sz w:val="16"/>
      <w:szCs w:val="16"/>
    </w:rPr>
  </w:style>
  <w:style w:type="character" w:customStyle="1" w:styleId="FontStyle43">
    <w:name w:val="Font Style43"/>
    <w:basedOn w:val="a1"/>
    <w:uiPriority w:val="99"/>
    <w:rsid w:val="007D2A2A"/>
    <w:rPr>
      <w:rFonts w:ascii="MS Reference Sans Serif" w:hAnsi="MS Reference Sans Serif" w:cs="MS Reference Sans Serif" w:hint="default"/>
      <w:b/>
      <w:bCs/>
      <w:sz w:val="16"/>
      <w:szCs w:val="16"/>
    </w:rPr>
  </w:style>
  <w:style w:type="character" w:customStyle="1" w:styleId="FontStyle95">
    <w:name w:val="Font Style95"/>
    <w:basedOn w:val="a1"/>
    <w:uiPriority w:val="99"/>
    <w:rsid w:val="003F1428"/>
    <w:rPr>
      <w:rFonts w:ascii="Verdana" w:hAnsi="Verdana" w:cs="Verdana" w:hint="default"/>
      <w:sz w:val="16"/>
      <w:szCs w:val="16"/>
    </w:rPr>
  </w:style>
  <w:style w:type="character" w:styleId="aff5">
    <w:name w:val="Placeholder Text"/>
    <w:basedOn w:val="a1"/>
    <w:uiPriority w:val="99"/>
    <w:semiHidden/>
    <w:rsid w:val="004B271B"/>
    <w:rPr>
      <w:color w:val="808080"/>
    </w:rPr>
  </w:style>
  <w:style w:type="paragraph" w:styleId="32">
    <w:name w:val="toc 3"/>
    <w:basedOn w:val="a0"/>
    <w:next w:val="a0"/>
    <w:autoRedefine/>
    <w:uiPriority w:val="39"/>
    <w:unhideWhenUsed/>
    <w:rsid w:val="008303F0"/>
    <w:pPr>
      <w:tabs>
        <w:tab w:val="left" w:pos="0"/>
        <w:tab w:val="left" w:pos="1320"/>
        <w:tab w:val="right" w:leader="dot" w:pos="9923"/>
      </w:tabs>
      <w:spacing w:line="360" w:lineRule="auto"/>
      <w:ind w:firstLine="709"/>
    </w:pPr>
    <w:rPr>
      <w:rFonts w:asciiTheme="majorHAnsi" w:eastAsiaTheme="majorEastAsia" w:hAnsiTheme="majorHAnsi" w:cstheme="majorBidi"/>
      <w:b/>
      <w:bCs/>
      <w:noProof/>
      <w:sz w:val="20"/>
      <w:szCs w:val="20"/>
    </w:rPr>
  </w:style>
  <w:style w:type="paragraph" w:styleId="aff6">
    <w:name w:val="List Number"/>
    <w:basedOn w:val="a0"/>
    <w:semiHidden/>
    <w:unhideWhenUsed/>
    <w:rsid w:val="00A0653A"/>
    <w:pPr>
      <w:tabs>
        <w:tab w:val="right" w:leader="dot" w:pos="7230"/>
      </w:tabs>
      <w:spacing w:after="60"/>
      <w:ind w:left="567" w:hanging="283"/>
      <w:jc w:val="both"/>
    </w:pPr>
    <w:rPr>
      <w:szCs w:val="20"/>
    </w:rPr>
  </w:style>
  <w:style w:type="paragraph" w:customStyle="1" w:styleId="ConsPlusTitle">
    <w:name w:val="ConsPlusTitle"/>
    <w:uiPriority w:val="39"/>
    <w:qFormat/>
    <w:rsid w:val="00A0653A"/>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FontStyle96">
    <w:name w:val="Font Style96"/>
    <w:basedOn w:val="a1"/>
    <w:uiPriority w:val="99"/>
    <w:rsid w:val="00A0653A"/>
    <w:rPr>
      <w:rFonts w:ascii="MS Reference Sans Serif" w:hAnsi="MS Reference Sans Serif" w:cs="MS Reference Sans Serif" w:hint="default"/>
      <w:i/>
      <w:iCs/>
      <w:spacing w:val="20"/>
      <w:sz w:val="16"/>
      <w:szCs w:val="16"/>
    </w:rPr>
  </w:style>
  <w:style w:type="paragraph" w:customStyle="1" w:styleId="WW-">
    <w:name w:val="WW-Текст"/>
    <w:basedOn w:val="a0"/>
    <w:uiPriority w:val="39"/>
    <w:qFormat/>
    <w:rsid w:val="00694404"/>
    <w:pPr>
      <w:suppressAutoHyphens/>
    </w:pPr>
    <w:rPr>
      <w:rFonts w:ascii="Courier New" w:hAnsi="Courier New"/>
      <w:sz w:val="20"/>
      <w:szCs w:val="20"/>
      <w:lang w:eastAsia="ar-SA"/>
    </w:rPr>
  </w:style>
  <w:style w:type="paragraph" w:styleId="aff7">
    <w:name w:val="Title"/>
    <w:basedOn w:val="a0"/>
    <w:next w:val="a0"/>
    <w:link w:val="aff8"/>
    <w:uiPriority w:val="10"/>
    <w:qFormat/>
    <w:rsid w:val="005B192A"/>
    <w:pPr>
      <w:pBdr>
        <w:bottom w:val="single" w:sz="8" w:space="4" w:color="4F81BD" w:themeColor="accent1"/>
      </w:pBdr>
      <w:spacing w:before="120" w:after="300"/>
      <w:ind w:firstLine="709"/>
      <w:contextualSpacing/>
      <w:jc w:val="both"/>
    </w:pPr>
    <w:rPr>
      <w:rFonts w:asciiTheme="majorHAnsi" w:eastAsiaTheme="majorEastAsia" w:hAnsiTheme="majorHAnsi" w:cstheme="majorBidi"/>
      <w:b/>
      <w:spacing w:val="5"/>
      <w:kern w:val="28"/>
      <w:sz w:val="28"/>
      <w:szCs w:val="52"/>
      <w:lang w:val="en-US" w:bidi="en-US"/>
    </w:rPr>
  </w:style>
  <w:style w:type="character" w:customStyle="1" w:styleId="aff8">
    <w:name w:val="Название Знак"/>
    <w:basedOn w:val="a1"/>
    <w:link w:val="aff7"/>
    <w:uiPriority w:val="10"/>
    <w:rsid w:val="005B192A"/>
    <w:rPr>
      <w:rFonts w:asciiTheme="majorHAnsi" w:eastAsiaTheme="majorEastAsia" w:hAnsiTheme="majorHAnsi" w:cstheme="majorBidi"/>
      <w:b/>
      <w:spacing w:val="5"/>
      <w:kern w:val="28"/>
      <w:sz w:val="28"/>
      <w:szCs w:val="52"/>
      <w:lang w:val="en-US" w:bidi="en-US"/>
    </w:rPr>
  </w:style>
  <w:style w:type="paragraph" w:customStyle="1" w:styleId="Aacao1">
    <w:name w:val="Aacao1"/>
    <w:basedOn w:val="a0"/>
    <w:qFormat/>
    <w:rsid w:val="00D852A5"/>
    <w:pPr>
      <w:widowControl w:val="0"/>
      <w:suppressAutoHyphens/>
      <w:overflowPunct w:val="0"/>
      <w:autoSpaceDE w:val="0"/>
      <w:spacing w:before="120" w:after="120"/>
      <w:ind w:firstLine="720"/>
      <w:jc w:val="both"/>
    </w:pPr>
    <w:rPr>
      <w:lang w:eastAsia="ar-SA"/>
    </w:rPr>
  </w:style>
  <w:style w:type="character" w:customStyle="1" w:styleId="60">
    <w:name w:val="Заголовок 6 Знак"/>
    <w:basedOn w:val="a1"/>
    <w:link w:val="6"/>
    <w:uiPriority w:val="99"/>
    <w:rsid w:val="000A0873"/>
    <w:rPr>
      <w:rFonts w:asciiTheme="majorHAnsi" w:eastAsiaTheme="majorEastAsia" w:hAnsiTheme="majorHAnsi" w:cstheme="majorBidi"/>
      <w:i/>
      <w:iCs/>
      <w:color w:val="243F60" w:themeColor="accent1" w:themeShade="7F"/>
    </w:rPr>
  </w:style>
  <w:style w:type="paragraph" w:customStyle="1" w:styleId="zag">
    <w:name w:val="zag"/>
    <w:basedOn w:val="a0"/>
    <w:uiPriority w:val="99"/>
    <w:qFormat/>
    <w:rsid w:val="004E4531"/>
    <w:pPr>
      <w:spacing w:before="100" w:beforeAutospacing="1" w:after="100" w:afterAutospacing="1"/>
    </w:pPr>
  </w:style>
  <w:style w:type="paragraph" w:customStyle="1" w:styleId="ind">
    <w:name w:val="ind"/>
    <w:basedOn w:val="a0"/>
    <w:uiPriority w:val="99"/>
    <w:qFormat/>
    <w:rsid w:val="004E4531"/>
    <w:pPr>
      <w:spacing w:before="100" w:beforeAutospacing="1" w:after="100" w:afterAutospacing="1"/>
    </w:pPr>
  </w:style>
  <w:style w:type="character" w:customStyle="1" w:styleId="40">
    <w:name w:val="Заголовок 4 Знак"/>
    <w:basedOn w:val="a1"/>
    <w:link w:val="4"/>
    <w:uiPriority w:val="9"/>
    <w:rsid w:val="001475D9"/>
    <w:rPr>
      <w:rFonts w:asciiTheme="majorHAnsi" w:eastAsiaTheme="majorEastAsia" w:hAnsiTheme="majorHAnsi" w:cstheme="majorBidi"/>
      <w:b/>
      <w:bCs/>
      <w:i/>
      <w:iCs/>
      <w:color w:val="4F81BD" w:themeColor="accent1"/>
    </w:rPr>
  </w:style>
  <w:style w:type="character" w:customStyle="1" w:styleId="70">
    <w:name w:val="Заголовок 7 Знак"/>
    <w:basedOn w:val="a1"/>
    <w:link w:val="7"/>
    <w:uiPriority w:val="99"/>
    <w:rsid w:val="00A67D23"/>
    <w:rPr>
      <w:rFonts w:asciiTheme="majorHAnsi" w:eastAsiaTheme="majorEastAsia" w:hAnsiTheme="majorHAnsi" w:cstheme="majorBidi"/>
      <w:i/>
      <w:iCs/>
      <w:color w:val="404040" w:themeColor="text1" w:themeTint="BF"/>
    </w:rPr>
  </w:style>
  <w:style w:type="numbering" w:customStyle="1" w:styleId="14">
    <w:name w:val="Нет списка1"/>
    <w:next w:val="a3"/>
    <w:uiPriority w:val="99"/>
    <w:semiHidden/>
    <w:unhideWhenUsed/>
    <w:rsid w:val="003825C5"/>
  </w:style>
  <w:style w:type="paragraph" w:customStyle="1" w:styleId="xl67">
    <w:name w:val="xl67"/>
    <w:basedOn w:val="a0"/>
    <w:qFormat/>
    <w:rsid w:val="0074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8">
    <w:name w:val="xl68"/>
    <w:basedOn w:val="a0"/>
    <w:qFormat/>
    <w:rsid w:val="00742C8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color w:val="000000"/>
      <w:sz w:val="20"/>
      <w:szCs w:val="20"/>
    </w:rPr>
  </w:style>
  <w:style w:type="paragraph" w:customStyle="1" w:styleId="xl69">
    <w:name w:val="xl69"/>
    <w:basedOn w:val="a0"/>
    <w:qFormat/>
    <w:rsid w:val="00742C8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sz w:val="20"/>
      <w:szCs w:val="20"/>
    </w:rPr>
  </w:style>
  <w:style w:type="paragraph" w:customStyle="1" w:styleId="xl70">
    <w:name w:val="xl70"/>
    <w:basedOn w:val="a0"/>
    <w:qFormat/>
    <w:rsid w:val="00742C8D"/>
    <w:pPr>
      <w:spacing w:before="100" w:beforeAutospacing="1" w:after="100" w:afterAutospacing="1"/>
      <w:jc w:val="center"/>
      <w:textAlignment w:val="center"/>
    </w:pPr>
    <w:rPr>
      <w:sz w:val="20"/>
      <w:szCs w:val="20"/>
    </w:rPr>
  </w:style>
  <w:style w:type="paragraph" w:customStyle="1" w:styleId="xl71">
    <w:name w:val="xl71"/>
    <w:basedOn w:val="a0"/>
    <w:qFormat/>
    <w:rsid w:val="00742C8D"/>
    <w:pPr>
      <w:pBdr>
        <w:top w:val="single" w:sz="4" w:space="0" w:color="auto"/>
        <w:left w:val="single" w:sz="4" w:space="0" w:color="auto"/>
        <w:bottom w:val="single" w:sz="4" w:space="0" w:color="auto"/>
        <w:right w:val="double" w:sz="6" w:space="0" w:color="auto"/>
      </w:pBdr>
      <w:shd w:val="clear" w:color="000000" w:fill="F2F2F2"/>
      <w:spacing w:before="100" w:beforeAutospacing="1" w:after="100" w:afterAutospacing="1"/>
      <w:jc w:val="center"/>
      <w:textAlignment w:val="center"/>
    </w:pPr>
    <w:rPr>
      <w:b/>
      <w:bCs/>
      <w:sz w:val="20"/>
      <w:szCs w:val="20"/>
    </w:rPr>
  </w:style>
  <w:style w:type="paragraph" w:customStyle="1" w:styleId="xl72">
    <w:name w:val="xl72"/>
    <w:basedOn w:val="a0"/>
    <w:qFormat/>
    <w:rsid w:val="00742C8D"/>
    <w:pPr>
      <w:pBdr>
        <w:top w:val="single" w:sz="4" w:space="0" w:color="auto"/>
        <w:left w:val="double" w:sz="6" w:space="0" w:color="auto"/>
        <w:bottom w:val="single" w:sz="4" w:space="0" w:color="auto"/>
        <w:right w:val="single" w:sz="4" w:space="0" w:color="auto"/>
      </w:pBdr>
      <w:shd w:val="clear" w:color="000000" w:fill="F2F2F2"/>
      <w:spacing w:before="100" w:beforeAutospacing="1" w:after="100" w:afterAutospacing="1"/>
      <w:jc w:val="center"/>
      <w:textAlignment w:val="center"/>
    </w:pPr>
    <w:rPr>
      <w:sz w:val="20"/>
      <w:szCs w:val="20"/>
    </w:rPr>
  </w:style>
  <w:style w:type="paragraph" w:customStyle="1" w:styleId="xl73">
    <w:name w:val="xl73"/>
    <w:basedOn w:val="a0"/>
    <w:qFormat/>
    <w:rsid w:val="00742C8D"/>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4">
    <w:name w:val="xl74"/>
    <w:basedOn w:val="a0"/>
    <w:qFormat/>
    <w:rsid w:val="00742C8D"/>
    <w:pPr>
      <w:pBdr>
        <w:top w:val="single" w:sz="4" w:space="0" w:color="auto"/>
        <w:left w:val="double" w:sz="6" w:space="0" w:color="auto"/>
        <w:bottom w:val="single" w:sz="4" w:space="0" w:color="auto"/>
        <w:right w:val="single" w:sz="4" w:space="0" w:color="auto"/>
      </w:pBdr>
      <w:shd w:val="clear" w:color="000000" w:fill="F2F2F2"/>
      <w:spacing w:before="100" w:beforeAutospacing="1" w:after="100" w:afterAutospacing="1"/>
      <w:jc w:val="center"/>
      <w:textAlignment w:val="center"/>
    </w:pPr>
    <w:rPr>
      <w:color w:val="000000"/>
      <w:sz w:val="20"/>
      <w:szCs w:val="20"/>
    </w:rPr>
  </w:style>
  <w:style w:type="paragraph" w:customStyle="1" w:styleId="xl75">
    <w:name w:val="xl75"/>
    <w:basedOn w:val="a0"/>
    <w:qFormat/>
    <w:rsid w:val="00742C8D"/>
    <w:pPr>
      <w:pBdr>
        <w:top w:val="single" w:sz="4" w:space="0" w:color="auto"/>
        <w:left w:val="double" w:sz="6" w:space="0" w:color="auto"/>
        <w:bottom w:val="double" w:sz="6" w:space="0" w:color="auto"/>
        <w:right w:val="single" w:sz="4" w:space="0" w:color="auto"/>
      </w:pBdr>
      <w:spacing w:before="100" w:beforeAutospacing="1" w:after="100" w:afterAutospacing="1"/>
      <w:jc w:val="center"/>
      <w:textAlignment w:val="center"/>
    </w:pPr>
    <w:rPr>
      <w:sz w:val="20"/>
      <w:szCs w:val="20"/>
    </w:rPr>
  </w:style>
  <w:style w:type="paragraph" w:customStyle="1" w:styleId="xl76">
    <w:name w:val="xl76"/>
    <w:basedOn w:val="a0"/>
    <w:qFormat/>
    <w:rsid w:val="00742C8D"/>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sz w:val="20"/>
      <w:szCs w:val="20"/>
    </w:rPr>
  </w:style>
  <w:style w:type="paragraph" w:customStyle="1" w:styleId="xl77">
    <w:name w:val="xl77"/>
    <w:basedOn w:val="a0"/>
    <w:qFormat/>
    <w:rsid w:val="00742C8D"/>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sz w:val="20"/>
      <w:szCs w:val="20"/>
    </w:rPr>
  </w:style>
  <w:style w:type="paragraph" w:customStyle="1" w:styleId="xl78">
    <w:name w:val="xl78"/>
    <w:basedOn w:val="a0"/>
    <w:uiPriority w:val="99"/>
    <w:qFormat/>
    <w:rsid w:val="00742C8D"/>
    <w:pPr>
      <w:pBdr>
        <w:top w:val="single" w:sz="4" w:space="0" w:color="auto"/>
        <w:left w:val="single" w:sz="4" w:space="0" w:color="auto"/>
        <w:bottom w:val="double" w:sz="6" w:space="0" w:color="auto"/>
        <w:right w:val="double" w:sz="6" w:space="0" w:color="auto"/>
      </w:pBdr>
      <w:spacing w:before="100" w:beforeAutospacing="1" w:after="100" w:afterAutospacing="1"/>
      <w:jc w:val="center"/>
      <w:textAlignment w:val="center"/>
    </w:pPr>
    <w:rPr>
      <w:sz w:val="20"/>
      <w:szCs w:val="20"/>
    </w:rPr>
  </w:style>
  <w:style w:type="paragraph" w:customStyle="1" w:styleId="xl79">
    <w:name w:val="xl79"/>
    <w:basedOn w:val="a0"/>
    <w:uiPriority w:val="99"/>
    <w:qFormat/>
    <w:rsid w:val="00742C8D"/>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sz w:val="20"/>
      <w:szCs w:val="20"/>
    </w:rPr>
  </w:style>
  <w:style w:type="paragraph" w:customStyle="1" w:styleId="xl80">
    <w:name w:val="xl80"/>
    <w:basedOn w:val="a0"/>
    <w:uiPriority w:val="99"/>
    <w:qFormat/>
    <w:rsid w:val="00742C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81">
    <w:name w:val="xl81"/>
    <w:basedOn w:val="a0"/>
    <w:uiPriority w:val="99"/>
    <w:qFormat/>
    <w:rsid w:val="00742C8D"/>
    <w:pPr>
      <w:pBdr>
        <w:top w:val="single" w:sz="4" w:space="0" w:color="auto"/>
        <w:left w:val="double" w:sz="6" w:space="0" w:color="auto"/>
        <w:bottom w:val="double" w:sz="6"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82">
    <w:name w:val="xl82"/>
    <w:basedOn w:val="a0"/>
    <w:uiPriority w:val="99"/>
    <w:qFormat/>
    <w:rsid w:val="00742C8D"/>
    <w:pPr>
      <w:pBdr>
        <w:top w:val="single" w:sz="4" w:space="0" w:color="auto"/>
        <w:left w:val="single" w:sz="4" w:space="0" w:color="auto"/>
        <w:bottom w:val="double" w:sz="6"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83">
    <w:name w:val="xl83"/>
    <w:basedOn w:val="a0"/>
    <w:uiPriority w:val="99"/>
    <w:qFormat/>
    <w:rsid w:val="00742C8D"/>
    <w:pPr>
      <w:pBdr>
        <w:top w:val="single" w:sz="4" w:space="0" w:color="auto"/>
        <w:left w:val="single" w:sz="4" w:space="0" w:color="auto"/>
        <w:bottom w:val="double" w:sz="6"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84">
    <w:name w:val="xl84"/>
    <w:basedOn w:val="a0"/>
    <w:uiPriority w:val="99"/>
    <w:qFormat/>
    <w:rsid w:val="00742C8D"/>
    <w:pPr>
      <w:pBdr>
        <w:top w:val="single" w:sz="4" w:space="0" w:color="auto"/>
        <w:left w:val="single" w:sz="4" w:space="0" w:color="auto"/>
        <w:bottom w:val="double" w:sz="6" w:space="0" w:color="auto"/>
        <w:right w:val="double" w:sz="6" w:space="0" w:color="auto"/>
      </w:pBdr>
      <w:shd w:val="clear" w:color="000000" w:fill="FFFFFF"/>
      <w:spacing w:before="100" w:beforeAutospacing="1" w:after="100" w:afterAutospacing="1"/>
      <w:jc w:val="center"/>
      <w:textAlignment w:val="center"/>
    </w:pPr>
    <w:rPr>
      <w:sz w:val="20"/>
      <w:szCs w:val="20"/>
    </w:rPr>
  </w:style>
  <w:style w:type="paragraph" w:customStyle="1" w:styleId="xl85">
    <w:name w:val="xl85"/>
    <w:basedOn w:val="a0"/>
    <w:uiPriority w:val="99"/>
    <w:qFormat/>
    <w:rsid w:val="00742C8D"/>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6">
    <w:name w:val="xl86"/>
    <w:basedOn w:val="a0"/>
    <w:uiPriority w:val="99"/>
    <w:qFormat/>
    <w:rsid w:val="00742C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7">
    <w:name w:val="xl87"/>
    <w:basedOn w:val="a0"/>
    <w:uiPriority w:val="99"/>
    <w:qFormat/>
    <w:rsid w:val="00742C8D"/>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b/>
      <w:bCs/>
      <w:sz w:val="20"/>
      <w:szCs w:val="20"/>
    </w:rPr>
  </w:style>
  <w:style w:type="paragraph" w:customStyle="1" w:styleId="xl88">
    <w:name w:val="xl88"/>
    <w:basedOn w:val="a0"/>
    <w:uiPriority w:val="99"/>
    <w:qFormat/>
    <w:rsid w:val="00742C8D"/>
    <w:pPr>
      <w:pBdr>
        <w:top w:val="double" w:sz="6" w:space="0" w:color="auto"/>
        <w:left w:val="double" w:sz="6"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9">
    <w:name w:val="xl89"/>
    <w:basedOn w:val="a0"/>
    <w:uiPriority w:val="99"/>
    <w:qFormat/>
    <w:rsid w:val="00742C8D"/>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90">
    <w:name w:val="xl90"/>
    <w:basedOn w:val="a0"/>
    <w:uiPriority w:val="99"/>
    <w:qFormat/>
    <w:rsid w:val="00742C8D"/>
    <w:pPr>
      <w:pBdr>
        <w:top w:val="double" w:sz="6" w:space="0" w:color="auto"/>
        <w:left w:val="single" w:sz="4" w:space="0" w:color="auto"/>
        <w:bottom w:val="single" w:sz="4" w:space="0" w:color="auto"/>
        <w:right w:val="double" w:sz="6" w:space="0" w:color="auto"/>
      </w:pBdr>
      <w:spacing w:before="100" w:beforeAutospacing="1" w:after="100" w:afterAutospacing="1"/>
      <w:jc w:val="center"/>
      <w:textAlignment w:val="center"/>
    </w:pPr>
    <w:rPr>
      <w:b/>
      <w:bCs/>
      <w:sz w:val="20"/>
      <w:szCs w:val="20"/>
    </w:rPr>
  </w:style>
  <w:style w:type="paragraph" w:customStyle="1" w:styleId="western">
    <w:name w:val="western"/>
    <w:basedOn w:val="a0"/>
    <w:qFormat/>
    <w:rsid w:val="0031231A"/>
    <w:pPr>
      <w:spacing w:before="100" w:beforeAutospacing="1" w:after="100" w:afterAutospacing="1"/>
    </w:pPr>
  </w:style>
  <w:style w:type="paragraph" w:customStyle="1" w:styleId="-">
    <w:name w:val="красная-строка"/>
    <w:basedOn w:val="a0"/>
    <w:uiPriority w:val="99"/>
    <w:qFormat/>
    <w:rsid w:val="0031231A"/>
    <w:pPr>
      <w:spacing w:before="100" w:beforeAutospacing="1" w:after="100" w:afterAutospacing="1"/>
    </w:pPr>
  </w:style>
  <w:style w:type="character" w:customStyle="1" w:styleId="apple-style-span">
    <w:name w:val="apple-style-span"/>
    <w:basedOn w:val="a1"/>
    <w:rsid w:val="00322180"/>
  </w:style>
  <w:style w:type="paragraph" w:customStyle="1" w:styleId="a00">
    <w:name w:val="a0"/>
    <w:basedOn w:val="a0"/>
    <w:qFormat/>
    <w:rsid w:val="00893190"/>
    <w:pPr>
      <w:spacing w:before="100" w:beforeAutospacing="1" w:after="100" w:afterAutospacing="1"/>
    </w:pPr>
  </w:style>
  <w:style w:type="paragraph" w:customStyle="1" w:styleId="aff9">
    <w:name w:val="a"/>
    <w:basedOn w:val="a0"/>
    <w:uiPriority w:val="99"/>
    <w:qFormat/>
    <w:rsid w:val="00893190"/>
    <w:pPr>
      <w:spacing w:before="100" w:beforeAutospacing="1" w:after="100" w:afterAutospacing="1"/>
    </w:pPr>
  </w:style>
  <w:style w:type="character" w:customStyle="1" w:styleId="grame">
    <w:name w:val="grame"/>
    <w:basedOn w:val="a1"/>
    <w:rsid w:val="00893190"/>
  </w:style>
  <w:style w:type="character" w:customStyle="1" w:styleId="spelle">
    <w:name w:val="spelle"/>
    <w:basedOn w:val="a1"/>
    <w:rsid w:val="00893190"/>
  </w:style>
  <w:style w:type="paragraph" w:customStyle="1" w:styleId="BodyText21">
    <w:name w:val="Body Text 21"/>
    <w:basedOn w:val="a0"/>
    <w:uiPriority w:val="99"/>
    <w:qFormat/>
    <w:rsid w:val="0023724A"/>
    <w:pPr>
      <w:spacing w:line="360" w:lineRule="auto"/>
      <w:ind w:firstLine="720"/>
      <w:jc w:val="both"/>
    </w:pPr>
    <w:rPr>
      <w:szCs w:val="20"/>
    </w:rPr>
  </w:style>
  <w:style w:type="character" w:customStyle="1" w:styleId="toctoggle">
    <w:name w:val="toctoggle"/>
    <w:basedOn w:val="a1"/>
    <w:uiPriority w:val="99"/>
    <w:rsid w:val="000E52DA"/>
  </w:style>
  <w:style w:type="character" w:customStyle="1" w:styleId="tocnumber">
    <w:name w:val="tocnumber"/>
    <w:basedOn w:val="a1"/>
    <w:rsid w:val="000E52DA"/>
  </w:style>
  <w:style w:type="character" w:customStyle="1" w:styleId="toctext">
    <w:name w:val="toctext"/>
    <w:basedOn w:val="a1"/>
    <w:rsid w:val="000E52DA"/>
  </w:style>
  <w:style w:type="numbering" w:customStyle="1" w:styleId="25">
    <w:name w:val="Нет списка2"/>
    <w:next w:val="a3"/>
    <w:uiPriority w:val="99"/>
    <w:semiHidden/>
    <w:unhideWhenUsed/>
    <w:rsid w:val="002D6663"/>
  </w:style>
  <w:style w:type="numbering" w:customStyle="1" w:styleId="110">
    <w:name w:val="Нет списка11"/>
    <w:next w:val="a3"/>
    <w:uiPriority w:val="99"/>
    <w:semiHidden/>
    <w:unhideWhenUsed/>
    <w:rsid w:val="002D6663"/>
  </w:style>
  <w:style w:type="character" w:customStyle="1" w:styleId="plainlinksneverexpand">
    <w:name w:val="plainlinksneverexpand"/>
    <w:basedOn w:val="a1"/>
    <w:uiPriority w:val="99"/>
    <w:rsid w:val="002D6663"/>
  </w:style>
  <w:style w:type="character" w:customStyle="1" w:styleId="geo-geo-dms">
    <w:name w:val="geo-geo-dms"/>
    <w:basedOn w:val="a1"/>
    <w:uiPriority w:val="99"/>
    <w:rsid w:val="002D6663"/>
  </w:style>
  <w:style w:type="character" w:customStyle="1" w:styleId="geo-dms">
    <w:name w:val="geo-dms"/>
    <w:basedOn w:val="a1"/>
    <w:uiPriority w:val="99"/>
    <w:rsid w:val="002D6663"/>
  </w:style>
  <w:style w:type="character" w:customStyle="1" w:styleId="geo-lat">
    <w:name w:val="geo-lat"/>
    <w:basedOn w:val="a1"/>
    <w:uiPriority w:val="99"/>
    <w:rsid w:val="002D6663"/>
  </w:style>
  <w:style w:type="character" w:customStyle="1" w:styleId="geo-lon">
    <w:name w:val="geo-lon"/>
    <w:basedOn w:val="a1"/>
    <w:uiPriority w:val="99"/>
    <w:rsid w:val="002D6663"/>
  </w:style>
  <w:style w:type="character" w:customStyle="1" w:styleId="noprint">
    <w:name w:val="noprint"/>
    <w:basedOn w:val="a1"/>
    <w:rsid w:val="002D6663"/>
  </w:style>
  <w:style w:type="paragraph" w:customStyle="1" w:styleId="310">
    <w:name w:val="Основной текст с отступом 31"/>
    <w:basedOn w:val="a0"/>
    <w:qFormat/>
    <w:rsid w:val="00EC217B"/>
    <w:pPr>
      <w:suppressAutoHyphens/>
      <w:ind w:firstLine="720"/>
      <w:jc w:val="both"/>
    </w:pPr>
    <w:rPr>
      <w:sz w:val="28"/>
      <w:szCs w:val="20"/>
      <w:lang w:eastAsia="ar-SA"/>
    </w:rPr>
  </w:style>
  <w:style w:type="paragraph" w:customStyle="1" w:styleId="Default">
    <w:name w:val="Default"/>
    <w:qFormat/>
    <w:rsid w:val="005235FF"/>
    <w:pPr>
      <w:autoSpaceDE w:val="0"/>
      <w:autoSpaceDN w:val="0"/>
      <w:adjustRightInd w:val="0"/>
      <w:spacing w:after="0" w:line="240" w:lineRule="auto"/>
    </w:pPr>
    <w:rPr>
      <w:rFonts w:ascii="Courier New" w:hAnsi="Courier New" w:cs="Courier New"/>
      <w:color w:val="000000"/>
      <w:sz w:val="24"/>
      <w:szCs w:val="24"/>
    </w:rPr>
  </w:style>
  <w:style w:type="numbering" w:customStyle="1" w:styleId="33">
    <w:name w:val="Нет списка3"/>
    <w:next w:val="a3"/>
    <w:uiPriority w:val="99"/>
    <w:semiHidden/>
    <w:unhideWhenUsed/>
    <w:rsid w:val="000B739A"/>
  </w:style>
  <w:style w:type="character" w:customStyle="1" w:styleId="BodyTextChar1">
    <w:name w:val="Body Text Char1"/>
    <w:aliases w:val="Основной текст Знак Знак Char1,Основной текст2 Char1,Основной текст Знак12 Char1,Основной текст Знак Знак2 Char1,Знак Знак Знак4 Char1,Знак Знак12 Char1,Основной текст Знак3 Char1,Знак Знак1 Знак Знак Знак2 Char1,Знак Знак1 Знак2 Char1"/>
    <w:uiPriority w:val="99"/>
    <w:semiHidden/>
    <w:rsid w:val="00847317"/>
    <w:rPr>
      <w:rFonts w:ascii="Times New Roman" w:hAnsi="Times New Roman"/>
      <w:lang w:eastAsia="en-US"/>
    </w:rPr>
  </w:style>
  <w:style w:type="table" w:customStyle="1" w:styleId="15">
    <w:name w:val="Сетка таблицы1"/>
    <w:basedOn w:val="a2"/>
    <w:next w:val="aff1"/>
    <w:uiPriority w:val="59"/>
    <w:rsid w:val="0084731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6">
    <w:name w:val="Body Text 2"/>
    <w:basedOn w:val="a0"/>
    <w:link w:val="27"/>
    <w:uiPriority w:val="99"/>
    <w:rsid w:val="00847317"/>
    <w:pPr>
      <w:spacing w:after="120" w:line="480" w:lineRule="auto"/>
    </w:pPr>
  </w:style>
  <w:style w:type="character" w:customStyle="1" w:styleId="27">
    <w:name w:val="Основной текст 2 Знак"/>
    <w:basedOn w:val="a1"/>
    <w:link w:val="26"/>
    <w:uiPriority w:val="99"/>
    <w:rsid w:val="00847317"/>
    <w:rPr>
      <w:rFonts w:ascii="Times New Roman" w:eastAsia="Times New Roman" w:hAnsi="Times New Roman" w:cs="Times New Roman"/>
      <w:sz w:val="24"/>
      <w:szCs w:val="24"/>
      <w:lang w:eastAsia="ru-RU"/>
    </w:rPr>
  </w:style>
  <w:style w:type="character" w:customStyle="1" w:styleId="wmi-callto">
    <w:name w:val="wmi-callto"/>
    <w:basedOn w:val="a1"/>
    <w:rsid w:val="00847317"/>
  </w:style>
  <w:style w:type="table" w:customStyle="1" w:styleId="28">
    <w:name w:val="Сетка таблицы2"/>
    <w:basedOn w:val="a2"/>
    <w:next w:val="aff1"/>
    <w:uiPriority w:val="39"/>
    <w:rsid w:val="004669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3"/>
    <w:uiPriority w:val="99"/>
    <w:semiHidden/>
    <w:unhideWhenUsed/>
    <w:rsid w:val="00BA0A4F"/>
  </w:style>
  <w:style w:type="table" w:customStyle="1" w:styleId="34">
    <w:name w:val="Сетка таблицы3"/>
    <w:basedOn w:val="a2"/>
    <w:next w:val="aff1"/>
    <w:uiPriority w:val="59"/>
    <w:rsid w:val="00BA0A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3"/>
    <w:uiPriority w:val="99"/>
    <w:semiHidden/>
    <w:unhideWhenUsed/>
    <w:rsid w:val="00BA0A4F"/>
  </w:style>
  <w:style w:type="numbering" w:customStyle="1" w:styleId="211">
    <w:name w:val="Нет списка21"/>
    <w:next w:val="a3"/>
    <w:uiPriority w:val="99"/>
    <w:semiHidden/>
    <w:unhideWhenUsed/>
    <w:rsid w:val="00BA0A4F"/>
  </w:style>
  <w:style w:type="numbering" w:customStyle="1" w:styleId="111">
    <w:name w:val="Нет списка111"/>
    <w:next w:val="a3"/>
    <w:uiPriority w:val="99"/>
    <w:semiHidden/>
    <w:unhideWhenUsed/>
    <w:rsid w:val="00BA0A4F"/>
  </w:style>
  <w:style w:type="numbering" w:customStyle="1" w:styleId="311">
    <w:name w:val="Нет списка31"/>
    <w:next w:val="a3"/>
    <w:uiPriority w:val="99"/>
    <w:semiHidden/>
    <w:unhideWhenUsed/>
    <w:rsid w:val="00BA0A4F"/>
  </w:style>
  <w:style w:type="table" w:customStyle="1" w:styleId="112">
    <w:name w:val="Сетка таблицы11"/>
    <w:basedOn w:val="a2"/>
    <w:next w:val="aff1"/>
    <w:uiPriority w:val="59"/>
    <w:rsid w:val="00BA0A4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1">
    <w:name w:val="xl91"/>
    <w:basedOn w:val="a0"/>
    <w:qFormat/>
    <w:rsid w:val="003349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92">
    <w:name w:val="xl92"/>
    <w:basedOn w:val="a0"/>
    <w:qFormat/>
    <w:rsid w:val="003349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93">
    <w:name w:val="xl93"/>
    <w:basedOn w:val="a0"/>
    <w:qFormat/>
    <w:rsid w:val="0033499A"/>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94">
    <w:name w:val="xl94"/>
    <w:basedOn w:val="a0"/>
    <w:qFormat/>
    <w:rsid w:val="0033499A"/>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95">
    <w:name w:val="xl95"/>
    <w:basedOn w:val="a0"/>
    <w:qFormat/>
    <w:rsid w:val="003A50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6">
    <w:name w:val="xl96"/>
    <w:basedOn w:val="a0"/>
    <w:qFormat/>
    <w:rsid w:val="003A50B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color w:val="000000"/>
      <w:sz w:val="20"/>
      <w:szCs w:val="20"/>
    </w:rPr>
  </w:style>
  <w:style w:type="paragraph" w:customStyle="1" w:styleId="xl97">
    <w:name w:val="xl97"/>
    <w:basedOn w:val="a0"/>
    <w:qFormat/>
    <w:rsid w:val="003A50BD"/>
    <w:pPr>
      <w:pBdr>
        <w:top w:val="single" w:sz="4" w:space="0" w:color="auto"/>
        <w:left w:val="single" w:sz="4" w:space="0" w:color="auto"/>
        <w:right w:val="single" w:sz="4" w:space="0" w:color="auto"/>
      </w:pBdr>
      <w:shd w:val="clear" w:color="000000" w:fill="F2F2F2"/>
      <w:spacing w:before="100" w:beforeAutospacing="1" w:after="100" w:afterAutospacing="1"/>
      <w:jc w:val="center"/>
      <w:textAlignment w:val="center"/>
    </w:pPr>
    <w:rPr>
      <w:sz w:val="20"/>
      <w:szCs w:val="20"/>
    </w:rPr>
  </w:style>
  <w:style w:type="paragraph" w:customStyle="1" w:styleId="xl98">
    <w:name w:val="xl98"/>
    <w:basedOn w:val="a0"/>
    <w:qFormat/>
    <w:rsid w:val="003A50BD"/>
    <w:pPr>
      <w:pBdr>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sz w:val="20"/>
      <w:szCs w:val="20"/>
    </w:rPr>
  </w:style>
  <w:style w:type="character" w:customStyle="1" w:styleId="50">
    <w:name w:val="Заголовок 5 Знак"/>
    <w:basedOn w:val="a1"/>
    <w:link w:val="5"/>
    <w:uiPriority w:val="9"/>
    <w:rsid w:val="003262B9"/>
    <w:rPr>
      <w:rFonts w:asciiTheme="majorHAnsi" w:eastAsiaTheme="majorEastAsia" w:hAnsiTheme="majorHAnsi" w:cstheme="majorBidi"/>
      <w:color w:val="243F60" w:themeColor="accent1" w:themeShade="7F"/>
      <w:sz w:val="24"/>
      <w:lang w:val="en-US" w:bidi="en-US"/>
    </w:rPr>
  </w:style>
  <w:style w:type="character" w:customStyle="1" w:styleId="80">
    <w:name w:val="Заголовок 8 Знак"/>
    <w:basedOn w:val="a1"/>
    <w:link w:val="8"/>
    <w:uiPriority w:val="9"/>
    <w:semiHidden/>
    <w:rsid w:val="003262B9"/>
    <w:rPr>
      <w:rFonts w:asciiTheme="majorHAnsi" w:eastAsiaTheme="majorEastAsia" w:hAnsiTheme="majorHAnsi" w:cstheme="majorBidi"/>
      <w:color w:val="404040" w:themeColor="text1" w:themeTint="BF"/>
      <w:sz w:val="20"/>
      <w:szCs w:val="20"/>
      <w:lang w:val="en-US" w:bidi="en-US"/>
    </w:rPr>
  </w:style>
  <w:style w:type="character" w:customStyle="1" w:styleId="90">
    <w:name w:val="Заголовок 9 Знак"/>
    <w:basedOn w:val="a1"/>
    <w:link w:val="9"/>
    <w:uiPriority w:val="9"/>
    <w:semiHidden/>
    <w:rsid w:val="003262B9"/>
    <w:rPr>
      <w:rFonts w:asciiTheme="majorHAnsi" w:eastAsiaTheme="majorEastAsia" w:hAnsiTheme="majorHAnsi" w:cstheme="majorBidi"/>
      <w:i/>
      <w:iCs/>
      <w:color w:val="404040" w:themeColor="text1" w:themeTint="BF"/>
      <w:sz w:val="20"/>
      <w:szCs w:val="20"/>
      <w:lang w:val="en-US" w:bidi="en-US"/>
    </w:rPr>
  </w:style>
  <w:style w:type="numbering" w:customStyle="1" w:styleId="51">
    <w:name w:val="Нет списка5"/>
    <w:next w:val="a3"/>
    <w:uiPriority w:val="99"/>
    <w:semiHidden/>
    <w:unhideWhenUsed/>
    <w:rsid w:val="003262B9"/>
  </w:style>
  <w:style w:type="table" w:customStyle="1" w:styleId="42">
    <w:name w:val="Сетка таблицы4"/>
    <w:basedOn w:val="a2"/>
    <w:next w:val="aff1"/>
    <w:rsid w:val="003262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6">
    <w:name w:val="Нижний колонтитул Знак1"/>
    <w:basedOn w:val="a1"/>
    <w:uiPriority w:val="99"/>
    <w:semiHidden/>
    <w:rsid w:val="003262B9"/>
    <w:rPr>
      <w:rFonts w:ascii="Times New Roman" w:hAnsi="Times New Roman"/>
    </w:rPr>
  </w:style>
  <w:style w:type="character" w:customStyle="1" w:styleId="212">
    <w:name w:val="Цитата 2 Знак1"/>
    <w:basedOn w:val="a1"/>
    <w:uiPriority w:val="29"/>
    <w:rsid w:val="003262B9"/>
    <w:rPr>
      <w:rFonts w:ascii="Times New Roman" w:hAnsi="Times New Roman"/>
      <w:i/>
      <w:iCs/>
      <w:color w:val="000000" w:themeColor="text1"/>
    </w:rPr>
  </w:style>
  <w:style w:type="character" w:customStyle="1" w:styleId="17">
    <w:name w:val="Подзаголовок Знак1"/>
    <w:basedOn w:val="a1"/>
    <w:uiPriority w:val="11"/>
    <w:rsid w:val="003262B9"/>
    <w:rPr>
      <w:rFonts w:asciiTheme="majorHAnsi" w:eastAsiaTheme="majorEastAsia" w:hAnsiTheme="majorHAnsi" w:cstheme="majorBidi"/>
      <w:i/>
      <w:iCs/>
      <w:color w:val="4F81BD" w:themeColor="accent1"/>
      <w:spacing w:val="15"/>
      <w:sz w:val="24"/>
      <w:szCs w:val="24"/>
    </w:rPr>
  </w:style>
  <w:style w:type="character" w:customStyle="1" w:styleId="18">
    <w:name w:val="Выделенная цитата Знак1"/>
    <w:basedOn w:val="a1"/>
    <w:uiPriority w:val="30"/>
    <w:rsid w:val="003262B9"/>
    <w:rPr>
      <w:rFonts w:ascii="Times New Roman" w:hAnsi="Times New Roman"/>
      <w:b/>
      <w:bCs/>
      <w:i/>
      <w:iCs/>
      <w:color w:val="4F81BD" w:themeColor="accent1"/>
    </w:rPr>
  </w:style>
  <w:style w:type="character" w:customStyle="1" w:styleId="19">
    <w:name w:val="Название Знак1"/>
    <w:basedOn w:val="a1"/>
    <w:uiPriority w:val="10"/>
    <w:rsid w:val="003262B9"/>
    <w:rPr>
      <w:rFonts w:asciiTheme="majorHAnsi" w:eastAsiaTheme="majorEastAsia" w:hAnsiTheme="majorHAnsi" w:cstheme="majorBidi"/>
      <w:color w:val="17365D" w:themeColor="text2" w:themeShade="BF"/>
      <w:spacing w:val="5"/>
      <w:kern w:val="28"/>
      <w:sz w:val="52"/>
      <w:szCs w:val="52"/>
    </w:rPr>
  </w:style>
  <w:style w:type="character" w:styleId="affa">
    <w:name w:val="annotation reference"/>
    <w:basedOn w:val="a1"/>
    <w:uiPriority w:val="99"/>
    <w:semiHidden/>
    <w:unhideWhenUsed/>
    <w:rsid w:val="003262B9"/>
    <w:rPr>
      <w:sz w:val="16"/>
      <w:szCs w:val="16"/>
    </w:rPr>
  </w:style>
  <w:style w:type="paragraph" w:styleId="affb">
    <w:name w:val="annotation text"/>
    <w:basedOn w:val="a0"/>
    <w:link w:val="affc"/>
    <w:uiPriority w:val="99"/>
    <w:semiHidden/>
    <w:unhideWhenUsed/>
    <w:rsid w:val="003262B9"/>
    <w:pPr>
      <w:spacing w:before="120" w:after="120"/>
      <w:ind w:firstLine="709"/>
      <w:jc w:val="both"/>
    </w:pPr>
    <w:rPr>
      <w:rFonts w:asciiTheme="majorHAnsi" w:hAnsiTheme="majorHAnsi"/>
      <w:sz w:val="20"/>
      <w:szCs w:val="20"/>
    </w:rPr>
  </w:style>
  <w:style w:type="character" w:customStyle="1" w:styleId="affc">
    <w:name w:val="Текст примечания Знак"/>
    <w:basedOn w:val="a1"/>
    <w:link w:val="affb"/>
    <w:uiPriority w:val="99"/>
    <w:semiHidden/>
    <w:rsid w:val="003262B9"/>
    <w:rPr>
      <w:rFonts w:asciiTheme="majorHAnsi" w:hAnsiTheme="majorHAnsi"/>
      <w:sz w:val="20"/>
      <w:szCs w:val="20"/>
    </w:rPr>
  </w:style>
  <w:style w:type="paragraph" w:styleId="affd">
    <w:name w:val="annotation subject"/>
    <w:basedOn w:val="affb"/>
    <w:next w:val="affb"/>
    <w:link w:val="affe"/>
    <w:uiPriority w:val="99"/>
    <w:semiHidden/>
    <w:unhideWhenUsed/>
    <w:rsid w:val="003262B9"/>
    <w:rPr>
      <w:b/>
      <w:bCs/>
    </w:rPr>
  </w:style>
  <w:style w:type="character" w:customStyle="1" w:styleId="affe">
    <w:name w:val="Тема примечания Знак"/>
    <w:basedOn w:val="affc"/>
    <w:link w:val="affd"/>
    <w:uiPriority w:val="99"/>
    <w:semiHidden/>
    <w:rsid w:val="003262B9"/>
    <w:rPr>
      <w:rFonts w:asciiTheme="majorHAnsi" w:hAnsiTheme="majorHAnsi"/>
      <w:b/>
      <w:bCs/>
      <w:sz w:val="20"/>
      <w:szCs w:val="20"/>
    </w:rPr>
  </w:style>
  <w:style w:type="paragraph" w:customStyle="1" w:styleId="Heading">
    <w:name w:val="Heading"/>
    <w:qFormat/>
    <w:rsid w:val="003262B9"/>
    <w:pPr>
      <w:autoSpaceDE w:val="0"/>
      <w:autoSpaceDN w:val="0"/>
      <w:adjustRightInd w:val="0"/>
      <w:spacing w:after="0" w:line="240" w:lineRule="auto"/>
    </w:pPr>
    <w:rPr>
      <w:rFonts w:ascii="Arial" w:eastAsia="Times New Roman" w:hAnsi="Arial" w:cs="Arial"/>
      <w:b/>
      <w:bCs/>
      <w:lang w:eastAsia="ru-RU"/>
    </w:rPr>
  </w:style>
  <w:style w:type="character" w:customStyle="1" w:styleId="ab">
    <w:name w:val="Без интервала Знак"/>
    <w:basedOn w:val="a1"/>
    <w:link w:val="aa"/>
    <w:uiPriority w:val="1"/>
    <w:rsid w:val="003262B9"/>
  </w:style>
  <w:style w:type="paragraph" w:styleId="HTML">
    <w:name w:val="HTML Preformatted"/>
    <w:basedOn w:val="a0"/>
    <w:link w:val="HTML0"/>
    <w:uiPriority w:val="99"/>
    <w:semiHidden/>
    <w:unhideWhenUsed/>
    <w:rsid w:val="003262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semiHidden/>
    <w:rsid w:val="003262B9"/>
    <w:rPr>
      <w:rFonts w:ascii="Courier New" w:eastAsia="Times New Roman" w:hAnsi="Courier New" w:cs="Courier New"/>
      <w:sz w:val="20"/>
      <w:szCs w:val="20"/>
      <w:lang w:eastAsia="ru-RU"/>
    </w:rPr>
  </w:style>
  <w:style w:type="paragraph" w:customStyle="1" w:styleId="text">
    <w:name w:val="text"/>
    <w:basedOn w:val="a0"/>
    <w:qFormat/>
    <w:rsid w:val="003262B9"/>
    <w:pPr>
      <w:spacing w:before="100" w:beforeAutospacing="1" w:after="100" w:afterAutospacing="1"/>
    </w:pPr>
  </w:style>
  <w:style w:type="paragraph" w:customStyle="1" w:styleId="ArialNarrow1026">
    <w:name w:val="Стиль Arial Narrow 10 пт По ширине Слева:  2 см После:  6 пт"/>
    <w:basedOn w:val="a0"/>
    <w:qFormat/>
    <w:rsid w:val="003262B9"/>
    <w:pPr>
      <w:spacing w:after="120"/>
      <w:ind w:left="1134"/>
      <w:jc w:val="both"/>
    </w:pPr>
    <w:rPr>
      <w:rFonts w:ascii="Arial Narrow" w:hAnsi="Arial Narrow"/>
      <w:sz w:val="20"/>
      <w:szCs w:val="20"/>
    </w:rPr>
  </w:style>
  <w:style w:type="character" w:customStyle="1" w:styleId="apple-converted-space">
    <w:name w:val="apple-converted-space"/>
    <w:basedOn w:val="a1"/>
    <w:rsid w:val="003262B9"/>
  </w:style>
  <w:style w:type="character" w:customStyle="1" w:styleId="unicode">
    <w:name w:val="unicode"/>
    <w:basedOn w:val="a1"/>
    <w:rsid w:val="003262B9"/>
  </w:style>
  <w:style w:type="character" w:customStyle="1" w:styleId="metadata">
    <w:name w:val="metadata"/>
    <w:basedOn w:val="a1"/>
    <w:rsid w:val="003262B9"/>
  </w:style>
  <w:style w:type="paragraph" w:customStyle="1" w:styleId="1a">
    <w:name w:val="Обычный1"/>
    <w:qFormat/>
    <w:rsid w:val="003262B9"/>
    <w:pPr>
      <w:snapToGrid w:val="0"/>
      <w:spacing w:after="0" w:line="360" w:lineRule="auto"/>
      <w:ind w:firstLine="720"/>
      <w:jc w:val="both"/>
    </w:pPr>
    <w:rPr>
      <w:rFonts w:ascii="Times New Roman" w:eastAsia="Times New Roman" w:hAnsi="Times New Roman" w:cs="Times New Roman"/>
      <w:sz w:val="24"/>
      <w:szCs w:val="20"/>
      <w:lang w:eastAsia="ru-RU"/>
    </w:rPr>
  </w:style>
  <w:style w:type="character" w:customStyle="1" w:styleId="afff">
    <w:name w:val="Основной текст + Курсив"/>
    <w:aliases w:val="Интервал 0 pt Exact"/>
    <w:basedOn w:val="a1"/>
    <w:rsid w:val="003262B9"/>
    <w:rPr>
      <w:rFonts w:ascii="Times New Roman" w:eastAsia="Times New Roman" w:hAnsi="Times New Roman" w:cs="Times New Roman" w:hint="default"/>
      <w:i/>
      <w:iCs/>
      <w:color w:val="000000"/>
      <w:spacing w:val="-7"/>
      <w:w w:val="100"/>
      <w:position w:val="0"/>
      <w:sz w:val="18"/>
      <w:szCs w:val="18"/>
      <w:shd w:val="clear" w:color="auto" w:fill="FFFFFF"/>
      <w:lang w:val="ru-RU" w:eastAsia="ru-RU" w:bidi="ru-RU"/>
    </w:rPr>
  </w:style>
  <w:style w:type="character" w:customStyle="1" w:styleId="plainlinks">
    <w:name w:val="plainlinks"/>
    <w:basedOn w:val="a1"/>
    <w:rsid w:val="003262B9"/>
  </w:style>
  <w:style w:type="character" w:customStyle="1" w:styleId="latitude">
    <w:name w:val="latitude"/>
    <w:basedOn w:val="a1"/>
    <w:rsid w:val="003262B9"/>
  </w:style>
  <w:style w:type="character" w:customStyle="1" w:styleId="longitude">
    <w:name w:val="longitude"/>
    <w:basedOn w:val="a1"/>
    <w:rsid w:val="003262B9"/>
  </w:style>
  <w:style w:type="numbering" w:customStyle="1" w:styleId="130">
    <w:name w:val="Нет списка13"/>
    <w:next w:val="a3"/>
    <w:uiPriority w:val="99"/>
    <w:semiHidden/>
    <w:unhideWhenUsed/>
    <w:rsid w:val="003262B9"/>
  </w:style>
  <w:style w:type="table" w:customStyle="1" w:styleId="121">
    <w:name w:val="Сетка таблицы12"/>
    <w:basedOn w:val="a2"/>
    <w:next w:val="aff1"/>
    <w:uiPriority w:val="59"/>
    <w:rsid w:val="003262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a3"/>
    <w:uiPriority w:val="99"/>
    <w:semiHidden/>
    <w:unhideWhenUsed/>
    <w:rsid w:val="003262B9"/>
  </w:style>
  <w:style w:type="numbering" w:customStyle="1" w:styleId="1111">
    <w:name w:val="Нет списка1111"/>
    <w:next w:val="a3"/>
    <w:uiPriority w:val="99"/>
    <w:semiHidden/>
    <w:unhideWhenUsed/>
    <w:rsid w:val="003262B9"/>
  </w:style>
  <w:style w:type="character" w:customStyle="1" w:styleId="1b">
    <w:name w:val="Текст сноски Знак Знак Знак Знак1"/>
    <w:aliases w:val="Текст сноски Знак1 Знак Знак Знак Знак1,Текст сноски Знак Знак Знак Знак Знак Знак1,Текст сноски Знак1 Знак Знак Знак Знак Знак Знак1,Знак Знак1,Знак Знак2,Текст сноски Знак2,Table_Footnote_last Знак2,Обычный (веб) Знак"/>
    <w:basedOn w:val="a1"/>
    <w:uiPriority w:val="99"/>
    <w:rsid w:val="003262B9"/>
    <w:rPr>
      <w:rFonts w:ascii="Times New Roman" w:eastAsiaTheme="minorEastAsia" w:hAnsi="Times New Roman"/>
      <w:sz w:val="20"/>
      <w:szCs w:val="20"/>
      <w:lang w:val="en-US" w:bidi="en-US"/>
    </w:rPr>
  </w:style>
  <w:style w:type="character" w:customStyle="1" w:styleId="afff0">
    <w:name w:val="Текст концевой сноски Знак"/>
    <w:basedOn w:val="a1"/>
    <w:link w:val="afff1"/>
    <w:uiPriority w:val="99"/>
    <w:semiHidden/>
    <w:locked/>
    <w:rsid w:val="003262B9"/>
    <w:rPr>
      <w:rFonts w:ascii="Times New Roman" w:hAnsi="Times New Roman" w:cs="Times New Roman"/>
      <w:sz w:val="20"/>
      <w:szCs w:val="20"/>
    </w:rPr>
  </w:style>
  <w:style w:type="character" w:customStyle="1" w:styleId="1c">
    <w:name w:val="Шапка Знак1"/>
    <w:link w:val="afff2"/>
    <w:semiHidden/>
    <w:locked/>
    <w:rsid w:val="003262B9"/>
    <w:rPr>
      <w:rFonts w:ascii="Arial" w:hAnsi="Arial" w:cs="Arial"/>
      <w:i/>
      <w:iCs/>
      <w:shd w:val="pct20" w:color="auto" w:fill="auto"/>
    </w:rPr>
  </w:style>
  <w:style w:type="character" w:customStyle="1" w:styleId="35">
    <w:name w:val="Основной текст 3 Знак"/>
    <w:link w:val="36"/>
    <w:locked/>
    <w:rsid w:val="003262B9"/>
    <w:rPr>
      <w:rFonts w:ascii="Times New Roman" w:hAnsi="Times New Roman" w:cs="Times New Roman"/>
      <w:sz w:val="16"/>
      <w:szCs w:val="16"/>
    </w:rPr>
  </w:style>
  <w:style w:type="character" w:customStyle="1" w:styleId="29">
    <w:name w:val="Основной текст с отступом 2 Знак"/>
    <w:basedOn w:val="a1"/>
    <w:link w:val="2a"/>
    <w:uiPriority w:val="99"/>
    <w:semiHidden/>
    <w:locked/>
    <w:rsid w:val="003262B9"/>
    <w:rPr>
      <w:rFonts w:ascii="Times New Roman" w:eastAsia="Times New Roman" w:hAnsi="Times New Roman" w:cs="Times New Roman"/>
      <w:sz w:val="24"/>
      <w:lang w:eastAsia="ru-RU"/>
    </w:rPr>
  </w:style>
  <w:style w:type="character" w:customStyle="1" w:styleId="37">
    <w:name w:val="Основной текст с отступом 3 Знак"/>
    <w:basedOn w:val="a1"/>
    <w:link w:val="38"/>
    <w:semiHidden/>
    <w:locked/>
    <w:rsid w:val="003262B9"/>
    <w:rPr>
      <w:rFonts w:ascii="Times New Roman" w:hAnsi="Times New Roman" w:cs="Times New Roman"/>
      <w:sz w:val="16"/>
      <w:szCs w:val="16"/>
    </w:rPr>
  </w:style>
  <w:style w:type="paragraph" w:customStyle="1" w:styleId="Style18">
    <w:name w:val="Style18"/>
    <w:basedOn w:val="a0"/>
    <w:uiPriority w:val="99"/>
    <w:qFormat/>
    <w:rsid w:val="003262B9"/>
    <w:pPr>
      <w:widowControl w:val="0"/>
      <w:autoSpaceDE w:val="0"/>
      <w:autoSpaceDN w:val="0"/>
      <w:adjustRightInd w:val="0"/>
      <w:spacing w:line="180" w:lineRule="exact"/>
      <w:ind w:firstLine="709"/>
      <w:jc w:val="both"/>
    </w:pPr>
    <w:rPr>
      <w:rFonts w:ascii="Arial Unicode MS" w:eastAsia="Arial Unicode MS" w:hAnsi="Calibri" w:cs="Arial Unicode MS"/>
    </w:rPr>
  </w:style>
  <w:style w:type="paragraph" w:customStyle="1" w:styleId="Style20">
    <w:name w:val="Style20"/>
    <w:basedOn w:val="a0"/>
    <w:uiPriority w:val="99"/>
    <w:qFormat/>
    <w:rsid w:val="003262B9"/>
    <w:pPr>
      <w:widowControl w:val="0"/>
      <w:autoSpaceDE w:val="0"/>
      <w:autoSpaceDN w:val="0"/>
      <w:adjustRightInd w:val="0"/>
      <w:spacing w:line="180" w:lineRule="exact"/>
      <w:ind w:firstLine="709"/>
      <w:jc w:val="both"/>
    </w:pPr>
    <w:rPr>
      <w:rFonts w:ascii="Arial Unicode MS" w:eastAsia="Arial Unicode MS" w:hAnsi="Calibri" w:cs="Arial Unicode MS"/>
    </w:rPr>
  </w:style>
  <w:style w:type="paragraph" w:customStyle="1" w:styleId="Style22">
    <w:name w:val="Style22"/>
    <w:basedOn w:val="a0"/>
    <w:uiPriority w:val="99"/>
    <w:qFormat/>
    <w:rsid w:val="003262B9"/>
    <w:pPr>
      <w:widowControl w:val="0"/>
      <w:autoSpaceDE w:val="0"/>
      <w:autoSpaceDN w:val="0"/>
      <w:adjustRightInd w:val="0"/>
      <w:ind w:firstLine="709"/>
    </w:pPr>
    <w:rPr>
      <w:rFonts w:ascii="Arial Unicode MS" w:eastAsia="Arial Unicode MS" w:hAnsi="Calibri" w:cs="Arial Unicode MS"/>
    </w:rPr>
  </w:style>
  <w:style w:type="paragraph" w:customStyle="1" w:styleId="Style23">
    <w:name w:val="Style23"/>
    <w:basedOn w:val="a0"/>
    <w:uiPriority w:val="99"/>
    <w:qFormat/>
    <w:rsid w:val="003262B9"/>
    <w:pPr>
      <w:widowControl w:val="0"/>
      <w:autoSpaceDE w:val="0"/>
      <w:autoSpaceDN w:val="0"/>
      <w:adjustRightInd w:val="0"/>
      <w:ind w:firstLine="709"/>
    </w:pPr>
    <w:rPr>
      <w:rFonts w:ascii="Arial Unicode MS" w:eastAsia="Arial Unicode MS" w:hAnsi="Calibri" w:cs="Arial Unicode MS"/>
    </w:rPr>
  </w:style>
  <w:style w:type="paragraph" w:customStyle="1" w:styleId="Style21">
    <w:name w:val="Style21"/>
    <w:basedOn w:val="a0"/>
    <w:uiPriority w:val="99"/>
    <w:qFormat/>
    <w:rsid w:val="003262B9"/>
    <w:pPr>
      <w:widowControl w:val="0"/>
      <w:autoSpaceDE w:val="0"/>
      <w:autoSpaceDN w:val="0"/>
      <w:adjustRightInd w:val="0"/>
      <w:spacing w:line="180" w:lineRule="exact"/>
      <w:ind w:hanging="110"/>
      <w:jc w:val="both"/>
    </w:pPr>
    <w:rPr>
      <w:rFonts w:ascii="Arial Unicode MS" w:eastAsia="Arial Unicode MS" w:hAnsi="Calibri" w:cs="Arial Unicode MS"/>
    </w:rPr>
  </w:style>
  <w:style w:type="paragraph" w:customStyle="1" w:styleId="Style12">
    <w:name w:val="Style12"/>
    <w:basedOn w:val="a0"/>
    <w:uiPriority w:val="99"/>
    <w:qFormat/>
    <w:rsid w:val="003262B9"/>
    <w:pPr>
      <w:widowControl w:val="0"/>
      <w:autoSpaceDE w:val="0"/>
      <w:autoSpaceDN w:val="0"/>
      <w:adjustRightInd w:val="0"/>
      <w:spacing w:line="312" w:lineRule="exact"/>
      <w:ind w:hanging="326"/>
    </w:pPr>
    <w:rPr>
      <w:rFonts w:ascii="Arial Unicode MS" w:eastAsia="Arial Unicode MS" w:hAnsi="Calibri" w:cs="Arial Unicode MS"/>
    </w:rPr>
  </w:style>
  <w:style w:type="paragraph" w:customStyle="1" w:styleId="Style13">
    <w:name w:val="Style13"/>
    <w:basedOn w:val="a0"/>
    <w:uiPriority w:val="99"/>
    <w:qFormat/>
    <w:rsid w:val="003262B9"/>
    <w:pPr>
      <w:widowControl w:val="0"/>
      <w:autoSpaceDE w:val="0"/>
      <w:autoSpaceDN w:val="0"/>
      <w:adjustRightInd w:val="0"/>
      <w:ind w:firstLine="709"/>
    </w:pPr>
    <w:rPr>
      <w:rFonts w:ascii="Arial Unicode MS" w:eastAsia="Arial Unicode MS" w:hAnsi="Calibri" w:cs="Arial Unicode MS"/>
    </w:rPr>
  </w:style>
  <w:style w:type="paragraph" w:customStyle="1" w:styleId="Style10">
    <w:name w:val="Style10"/>
    <w:basedOn w:val="a0"/>
    <w:uiPriority w:val="99"/>
    <w:qFormat/>
    <w:rsid w:val="003262B9"/>
    <w:pPr>
      <w:widowControl w:val="0"/>
      <w:autoSpaceDE w:val="0"/>
      <w:autoSpaceDN w:val="0"/>
      <w:adjustRightInd w:val="0"/>
      <w:ind w:firstLine="709"/>
    </w:pPr>
    <w:rPr>
      <w:rFonts w:ascii="Arial Unicode MS" w:eastAsia="Arial Unicode MS" w:hAnsi="Calibri" w:cs="Arial Unicode MS"/>
    </w:rPr>
  </w:style>
  <w:style w:type="paragraph" w:customStyle="1" w:styleId="Style15">
    <w:name w:val="Style15"/>
    <w:basedOn w:val="a0"/>
    <w:uiPriority w:val="99"/>
    <w:qFormat/>
    <w:rsid w:val="003262B9"/>
    <w:pPr>
      <w:widowControl w:val="0"/>
      <w:autoSpaceDE w:val="0"/>
      <w:autoSpaceDN w:val="0"/>
      <w:adjustRightInd w:val="0"/>
      <w:ind w:firstLine="709"/>
    </w:pPr>
    <w:rPr>
      <w:rFonts w:ascii="Arial Unicode MS" w:eastAsia="Arial Unicode MS" w:hAnsi="Calibri" w:cs="Arial Unicode MS"/>
    </w:rPr>
  </w:style>
  <w:style w:type="paragraph" w:customStyle="1" w:styleId="font7">
    <w:name w:val="font7"/>
    <w:basedOn w:val="a0"/>
    <w:uiPriority w:val="39"/>
    <w:qFormat/>
    <w:rsid w:val="003262B9"/>
    <w:pPr>
      <w:spacing w:before="100" w:beforeAutospacing="1" w:after="100" w:afterAutospacing="1"/>
    </w:pPr>
    <w:rPr>
      <w:rFonts w:ascii="Arial" w:eastAsia="Arial Unicode MS" w:hAnsi="Arial" w:cs="Arial Unicode MS"/>
      <w:b/>
      <w:bCs/>
      <w:sz w:val="20"/>
      <w:szCs w:val="20"/>
    </w:rPr>
  </w:style>
  <w:style w:type="paragraph" w:customStyle="1" w:styleId="1d">
    <w:name w:val="Обычный (веб)1"/>
    <w:basedOn w:val="a0"/>
    <w:uiPriority w:val="39"/>
    <w:qFormat/>
    <w:rsid w:val="003262B9"/>
    <w:pPr>
      <w:overflowPunct w:val="0"/>
      <w:autoSpaceDE w:val="0"/>
      <w:autoSpaceDN w:val="0"/>
      <w:adjustRightInd w:val="0"/>
      <w:spacing w:before="100" w:after="100"/>
    </w:pPr>
    <w:rPr>
      <w:szCs w:val="20"/>
    </w:rPr>
  </w:style>
  <w:style w:type="paragraph" w:customStyle="1" w:styleId="Common">
    <w:name w:val="Common"/>
    <w:basedOn w:val="a0"/>
    <w:uiPriority w:val="39"/>
    <w:qFormat/>
    <w:rsid w:val="003262B9"/>
    <w:pPr>
      <w:suppressAutoHyphens/>
      <w:ind w:firstLine="720"/>
      <w:jc w:val="both"/>
    </w:pPr>
    <w:rPr>
      <w:szCs w:val="20"/>
      <w:lang w:eastAsia="ar-SA"/>
    </w:rPr>
  </w:style>
  <w:style w:type="paragraph" w:customStyle="1" w:styleId="Bullets">
    <w:name w:val="Bullets"/>
    <w:basedOn w:val="a0"/>
    <w:uiPriority w:val="39"/>
    <w:qFormat/>
    <w:rsid w:val="003262B9"/>
    <w:pPr>
      <w:tabs>
        <w:tab w:val="left" w:pos="720"/>
        <w:tab w:val="left" w:pos="1440"/>
      </w:tabs>
      <w:suppressAutoHyphens/>
      <w:ind w:left="720" w:hanging="266"/>
      <w:jc w:val="both"/>
    </w:pPr>
    <w:rPr>
      <w:szCs w:val="20"/>
      <w:lang w:eastAsia="ar-SA"/>
    </w:rPr>
  </w:style>
  <w:style w:type="paragraph" w:customStyle="1" w:styleId="213">
    <w:name w:val="Основной текст 21"/>
    <w:basedOn w:val="a0"/>
    <w:uiPriority w:val="39"/>
    <w:qFormat/>
    <w:rsid w:val="003262B9"/>
    <w:pPr>
      <w:widowControl w:val="0"/>
      <w:overflowPunct w:val="0"/>
      <w:autoSpaceDE w:val="0"/>
      <w:autoSpaceDN w:val="0"/>
      <w:adjustRightInd w:val="0"/>
      <w:spacing w:after="120" w:line="480" w:lineRule="auto"/>
    </w:pPr>
    <w:rPr>
      <w:sz w:val="20"/>
      <w:szCs w:val="20"/>
    </w:rPr>
  </w:style>
  <w:style w:type="paragraph" w:customStyle="1" w:styleId="afff3">
    <w:name w:val=".."/>
    <w:basedOn w:val="a0"/>
    <w:qFormat/>
    <w:rsid w:val="003262B9"/>
    <w:pPr>
      <w:overflowPunct w:val="0"/>
      <w:autoSpaceDE w:val="0"/>
      <w:autoSpaceDN w:val="0"/>
      <w:adjustRightInd w:val="0"/>
      <w:spacing w:line="360" w:lineRule="auto"/>
      <w:ind w:firstLine="567"/>
      <w:jc w:val="both"/>
    </w:pPr>
    <w:rPr>
      <w:szCs w:val="20"/>
    </w:rPr>
  </w:style>
  <w:style w:type="paragraph" w:customStyle="1" w:styleId="39">
    <w:name w:val="Обычный (веб)3"/>
    <w:basedOn w:val="a0"/>
    <w:uiPriority w:val="39"/>
    <w:qFormat/>
    <w:rsid w:val="003262B9"/>
    <w:pPr>
      <w:overflowPunct w:val="0"/>
      <w:autoSpaceDE w:val="0"/>
      <w:autoSpaceDN w:val="0"/>
      <w:adjustRightInd w:val="0"/>
      <w:spacing w:before="100" w:after="100"/>
    </w:pPr>
    <w:rPr>
      <w:szCs w:val="20"/>
    </w:rPr>
  </w:style>
  <w:style w:type="paragraph" w:customStyle="1" w:styleId="BodyTextIndent31">
    <w:name w:val="Body Text Indent 31"/>
    <w:basedOn w:val="a0"/>
    <w:uiPriority w:val="39"/>
    <w:qFormat/>
    <w:rsid w:val="003262B9"/>
    <w:pPr>
      <w:overflowPunct w:val="0"/>
      <w:autoSpaceDE w:val="0"/>
      <w:autoSpaceDN w:val="0"/>
      <w:adjustRightInd w:val="0"/>
      <w:spacing w:line="360" w:lineRule="auto"/>
      <w:ind w:firstLine="425"/>
      <w:jc w:val="both"/>
    </w:pPr>
    <w:rPr>
      <w:szCs w:val="20"/>
    </w:rPr>
  </w:style>
  <w:style w:type="paragraph" w:customStyle="1" w:styleId="afff4">
    <w:name w:val="Основной"/>
    <w:basedOn w:val="a0"/>
    <w:uiPriority w:val="39"/>
    <w:qFormat/>
    <w:rsid w:val="003262B9"/>
    <w:pPr>
      <w:ind w:firstLine="425"/>
      <w:jc w:val="both"/>
    </w:pPr>
  </w:style>
  <w:style w:type="paragraph" w:customStyle="1" w:styleId="Style30">
    <w:name w:val="Style30"/>
    <w:basedOn w:val="a0"/>
    <w:uiPriority w:val="99"/>
    <w:qFormat/>
    <w:rsid w:val="003262B9"/>
    <w:pPr>
      <w:widowControl w:val="0"/>
      <w:autoSpaceDE w:val="0"/>
      <w:autoSpaceDN w:val="0"/>
      <w:adjustRightInd w:val="0"/>
      <w:spacing w:line="240" w:lineRule="exact"/>
      <w:ind w:firstLine="629"/>
    </w:pPr>
    <w:rPr>
      <w:rFonts w:ascii="MS Reference Sans Serif" w:hAnsi="MS Reference Sans Serif"/>
    </w:rPr>
  </w:style>
  <w:style w:type="paragraph" w:customStyle="1" w:styleId="Style8">
    <w:name w:val="Style8"/>
    <w:basedOn w:val="a0"/>
    <w:uiPriority w:val="99"/>
    <w:qFormat/>
    <w:rsid w:val="003262B9"/>
    <w:pPr>
      <w:widowControl w:val="0"/>
      <w:autoSpaceDE w:val="0"/>
      <w:autoSpaceDN w:val="0"/>
      <w:adjustRightInd w:val="0"/>
    </w:pPr>
    <w:rPr>
      <w:rFonts w:ascii="MS Reference Sans Serif" w:hAnsi="MS Reference Sans Serif"/>
    </w:rPr>
  </w:style>
  <w:style w:type="paragraph" w:customStyle="1" w:styleId="afff5">
    <w:name w:val="Îáû÷íûé.Íîðìàëüíûé"/>
    <w:uiPriority w:val="39"/>
    <w:qFormat/>
    <w:rsid w:val="003262B9"/>
    <w:pPr>
      <w:spacing w:after="0" w:line="240" w:lineRule="auto"/>
    </w:pPr>
    <w:rPr>
      <w:rFonts w:ascii="Times New Roman" w:eastAsia="Times New Roman" w:hAnsi="Times New Roman" w:cs="Times New Roman"/>
      <w:sz w:val="20"/>
      <w:szCs w:val="20"/>
      <w:lang w:val="en-US" w:eastAsia="ru-RU"/>
    </w:rPr>
  </w:style>
  <w:style w:type="paragraph" w:customStyle="1" w:styleId="Style9">
    <w:name w:val="Style9"/>
    <w:basedOn w:val="a0"/>
    <w:uiPriority w:val="99"/>
    <w:qFormat/>
    <w:rsid w:val="003262B9"/>
    <w:pPr>
      <w:widowControl w:val="0"/>
      <w:autoSpaceDE w:val="0"/>
      <w:autoSpaceDN w:val="0"/>
      <w:adjustRightInd w:val="0"/>
    </w:pPr>
    <w:rPr>
      <w:rFonts w:ascii="MS Reference Sans Serif" w:hAnsi="MS Reference Sans Serif"/>
    </w:rPr>
  </w:style>
  <w:style w:type="paragraph" w:customStyle="1" w:styleId="Style17">
    <w:name w:val="Style17"/>
    <w:basedOn w:val="a0"/>
    <w:uiPriority w:val="99"/>
    <w:qFormat/>
    <w:rsid w:val="003262B9"/>
    <w:pPr>
      <w:widowControl w:val="0"/>
      <w:autoSpaceDE w:val="0"/>
      <w:autoSpaceDN w:val="0"/>
      <w:adjustRightInd w:val="0"/>
      <w:spacing w:line="243" w:lineRule="exact"/>
      <w:ind w:firstLine="494"/>
      <w:jc w:val="both"/>
    </w:pPr>
    <w:rPr>
      <w:rFonts w:ascii="MS Reference Sans Serif" w:hAnsi="MS Reference Sans Serif"/>
    </w:rPr>
  </w:style>
  <w:style w:type="paragraph" w:customStyle="1" w:styleId="header2">
    <w:name w:val="header2"/>
    <w:basedOn w:val="a0"/>
    <w:uiPriority w:val="99"/>
    <w:qFormat/>
    <w:rsid w:val="003262B9"/>
    <w:pPr>
      <w:spacing w:before="100" w:beforeAutospacing="1" w:after="100" w:afterAutospacing="1"/>
    </w:pPr>
    <w:rPr>
      <w:rFonts w:ascii="Book Antiqua" w:hAnsi="Book Antiqua"/>
      <w:b/>
      <w:bCs/>
      <w:color w:val="CC0000"/>
    </w:rPr>
  </w:style>
  <w:style w:type="paragraph" w:customStyle="1" w:styleId="Style37">
    <w:name w:val="Style37"/>
    <w:basedOn w:val="a0"/>
    <w:uiPriority w:val="99"/>
    <w:qFormat/>
    <w:rsid w:val="003262B9"/>
    <w:pPr>
      <w:widowControl w:val="0"/>
      <w:autoSpaceDE w:val="0"/>
      <w:autoSpaceDN w:val="0"/>
      <w:adjustRightInd w:val="0"/>
      <w:spacing w:line="244" w:lineRule="exact"/>
      <w:ind w:firstLine="586"/>
      <w:jc w:val="both"/>
    </w:pPr>
    <w:rPr>
      <w:rFonts w:ascii="Arial Narrow" w:hAnsi="Arial Narrow"/>
    </w:rPr>
  </w:style>
  <w:style w:type="paragraph" w:customStyle="1" w:styleId="Style49">
    <w:name w:val="Style49"/>
    <w:basedOn w:val="a0"/>
    <w:uiPriority w:val="99"/>
    <w:qFormat/>
    <w:rsid w:val="003262B9"/>
    <w:pPr>
      <w:widowControl w:val="0"/>
      <w:autoSpaceDE w:val="0"/>
      <w:autoSpaceDN w:val="0"/>
      <w:adjustRightInd w:val="0"/>
    </w:pPr>
    <w:rPr>
      <w:rFonts w:ascii="Arial Narrow" w:hAnsi="Arial Narrow"/>
    </w:rPr>
  </w:style>
  <w:style w:type="paragraph" w:customStyle="1" w:styleId="Style14">
    <w:name w:val="Style14"/>
    <w:basedOn w:val="a0"/>
    <w:uiPriority w:val="99"/>
    <w:qFormat/>
    <w:rsid w:val="003262B9"/>
    <w:pPr>
      <w:widowControl w:val="0"/>
      <w:autoSpaceDE w:val="0"/>
      <w:autoSpaceDN w:val="0"/>
      <w:adjustRightInd w:val="0"/>
      <w:spacing w:line="192" w:lineRule="exact"/>
      <w:jc w:val="center"/>
    </w:pPr>
    <w:rPr>
      <w:rFonts w:ascii="Arial Narrow" w:hAnsi="Arial Narrow"/>
    </w:rPr>
  </w:style>
  <w:style w:type="paragraph" w:customStyle="1" w:styleId="Style25">
    <w:name w:val="Style25"/>
    <w:basedOn w:val="a0"/>
    <w:uiPriority w:val="99"/>
    <w:qFormat/>
    <w:rsid w:val="003262B9"/>
    <w:pPr>
      <w:widowControl w:val="0"/>
      <w:autoSpaceDE w:val="0"/>
      <w:autoSpaceDN w:val="0"/>
      <w:adjustRightInd w:val="0"/>
    </w:pPr>
    <w:rPr>
      <w:rFonts w:ascii="Arial Narrow" w:hAnsi="Arial Narrow"/>
    </w:rPr>
  </w:style>
  <w:style w:type="paragraph" w:customStyle="1" w:styleId="Style45">
    <w:name w:val="Style45"/>
    <w:basedOn w:val="a0"/>
    <w:uiPriority w:val="99"/>
    <w:qFormat/>
    <w:rsid w:val="003262B9"/>
    <w:pPr>
      <w:widowControl w:val="0"/>
      <w:autoSpaceDE w:val="0"/>
      <w:autoSpaceDN w:val="0"/>
      <w:adjustRightInd w:val="0"/>
    </w:pPr>
    <w:rPr>
      <w:rFonts w:ascii="Arial Narrow" w:hAnsi="Arial Narrow"/>
    </w:rPr>
  </w:style>
  <w:style w:type="paragraph" w:customStyle="1" w:styleId="Style52">
    <w:name w:val="Style52"/>
    <w:basedOn w:val="a0"/>
    <w:uiPriority w:val="99"/>
    <w:qFormat/>
    <w:rsid w:val="003262B9"/>
    <w:pPr>
      <w:widowControl w:val="0"/>
      <w:autoSpaceDE w:val="0"/>
      <w:autoSpaceDN w:val="0"/>
      <w:adjustRightInd w:val="0"/>
    </w:pPr>
    <w:rPr>
      <w:rFonts w:ascii="Arial Narrow" w:hAnsi="Arial Narrow"/>
    </w:rPr>
  </w:style>
  <w:style w:type="paragraph" w:customStyle="1" w:styleId="Style56">
    <w:name w:val="Style56"/>
    <w:basedOn w:val="a0"/>
    <w:uiPriority w:val="99"/>
    <w:qFormat/>
    <w:rsid w:val="003262B9"/>
    <w:pPr>
      <w:widowControl w:val="0"/>
      <w:autoSpaceDE w:val="0"/>
      <w:autoSpaceDN w:val="0"/>
      <w:adjustRightInd w:val="0"/>
    </w:pPr>
    <w:rPr>
      <w:rFonts w:ascii="Arial Narrow" w:hAnsi="Arial Narrow"/>
    </w:rPr>
  </w:style>
  <w:style w:type="paragraph" w:customStyle="1" w:styleId="Style67">
    <w:name w:val="Style67"/>
    <w:basedOn w:val="a0"/>
    <w:uiPriority w:val="99"/>
    <w:qFormat/>
    <w:rsid w:val="003262B9"/>
    <w:pPr>
      <w:widowControl w:val="0"/>
      <w:autoSpaceDE w:val="0"/>
      <w:autoSpaceDN w:val="0"/>
      <w:adjustRightInd w:val="0"/>
      <w:spacing w:line="259" w:lineRule="exact"/>
    </w:pPr>
    <w:rPr>
      <w:rFonts w:ascii="Trebuchet MS" w:hAnsi="Trebuchet MS"/>
    </w:rPr>
  </w:style>
  <w:style w:type="paragraph" w:customStyle="1" w:styleId="ConsPlusNormal">
    <w:name w:val="ConsPlusNormal"/>
    <w:uiPriority w:val="39"/>
    <w:qFormat/>
    <w:rsid w:val="003262B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3a">
    <w:name w:val="Стиль3"/>
    <w:basedOn w:val="a0"/>
    <w:uiPriority w:val="39"/>
    <w:qFormat/>
    <w:rsid w:val="003262B9"/>
    <w:pPr>
      <w:tabs>
        <w:tab w:val="left" w:pos="284"/>
      </w:tabs>
      <w:ind w:firstLine="709"/>
      <w:jc w:val="both"/>
    </w:pPr>
    <w:rPr>
      <w:rFonts w:ascii="Arial" w:hAnsi="Arial"/>
      <w:szCs w:val="20"/>
    </w:rPr>
  </w:style>
  <w:style w:type="paragraph" w:customStyle="1" w:styleId="3b">
    <w:name w:val="заголовок 3"/>
    <w:basedOn w:val="a0"/>
    <w:next w:val="a0"/>
    <w:uiPriority w:val="99"/>
    <w:qFormat/>
    <w:rsid w:val="003262B9"/>
    <w:pPr>
      <w:keepNext/>
      <w:widowControl w:val="0"/>
      <w:autoSpaceDE w:val="0"/>
      <w:autoSpaceDN w:val="0"/>
      <w:ind w:firstLine="284"/>
      <w:jc w:val="both"/>
    </w:pPr>
    <w:rPr>
      <w:b/>
      <w:bCs/>
    </w:rPr>
  </w:style>
  <w:style w:type="character" w:customStyle="1" w:styleId="afff6">
    <w:name w:val="Таблица (влево) Знак Знак"/>
    <w:basedOn w:val="a1"/>
    <w:link w:val="afff7"/>
    <w:locked/>
    <w:rsid w:val="003262B9"/>
    <w:rPr>
      <w:rFonts w:ascii="Times New Roman" w:eastAsia="Times New Roman" w:hAnsi="Times New Roman" w:cs="Times New Roman"/>
      <w:sz w:val="20"/>
      <w:szCs w:val="20"/>
      <w:lang w:eastAsia="ru-RU"/>
    </w:rPr>
  </w:style>
  <w:style w:type="paragraph" w:customStyle="1" w:styleId="afff7">
    <w:name w:val="Таблица (влево) Знак"/>
    <w:basedOn w:val="a0"/>
    <w:link w:val="afff6"/>
    <w:qFormat/>
    <w:rsid w:val="003262B9"/>
    <w:pPr>
      <w:ind w:left="57"/>
    </w:pPr>
    <w:rPr>
      <w:sz w:val="20"/>
      <w:szCs w:val="20"/>
    </w:rPr>
  </w:style>
  <w:style w:type="paragraph" w:customStyle="1" w:styleId="afff8">
    <w:name w:val="Таблица (основной)"/>
    <w:basedOn w:val="a0"/>
    <w:uiPriority w:val="39"/>
    <w:qFormat/>
    <w:rsid w:val="003262B9"/>
    <w:pPr>
      <w:jc w:val="center"/>
    </w:pPr>
    <w:rPr>
      <w:szCs w:val="20"/>
    </w:rPr>
  </w:style>
  <w:style w:type="paragraph" w:customStyle="1" w:styleId="abzac">
    <w:name w:val="abzac"/>
    <w:basedOn w:val="a0"/>
    <w:uiPriority w:val="39"/>
    <w:qFormat/>
    <w:rsid w:val="003262B9"/>
    <w:pPr>
      <w:spacing w:before="100" w:beforeAutospacing="1" w:after="100" w:afterAutospacing="1"/>
    </w:pPr>
  </w:style>
  <w:style w:type="paragraph" w:customStyle="1" w:styleId="maintext">
    <w:name w:val="maintext"/>
    <w:basedOn w:val="a0"/>
    <w:uiPriority w:val="39"/>
    <w:qFormat/>
    <w:rsid w:val="003262B9"/>
    <w:pPr>
      <w:spacing w:before="100" w:after="100"/>
      <w:jc w:val="both"/>
    </w:pPr>
    <w:rPr>
      <w:rFonts w:ascii="Arial" w:hAnsi="Arial"/>
      <w:szCs w:val="20"/>
    </w:rPr>
  </w:style>
  <w:style w:type="paragraph" w:customStyle="1" w:styleId="1e">
    <w:name w:val="Абзац_1"/>
    <w:basedOn w:val="a0"/>
    <w:uiPriority w:val="39"/>
    <w:qFormat/>
    <w:rsid w:val="003262B9"/>
    <w:pPr>
      <w:suppressAutoHyphens/>
      <w:ind w:firstLine="567"/>
      <w:jc w:val="both"/>
    </w:pPr>
    <w:rPr>
      <w:kern w:val="2"/>
      <w:lang w:eastAsia="ar-SA"/>
    </w:rPr>
  </w:style>
  <w:style w:type="paragraph" w:styleId="afff2">
    <w:name w:val="Message Header"/>
    <w:basedOn w:val="a0"/>
    <w:link w:val="1c"/>
    <w:semiHidden/>
    <w:unhideWhenUsed/>
    <w:rsid w:val="003262B9"/>
    <w:pPr>
      <w:pBdr>
        <w:top w:val="single" w:sz="6" w:space="1" w:color="auto"/>
        <w:left w:val="single" w:sz="6" w:space="1" w:color="auto"/>
        <w:bottom w:val="single" w:sz="6" w:space="1" w:color="auto"/>
        <w:right w:val="single" w:sz="6" w:space="1" w:color="auto"/>
      </w:pBdr>
      <w:shd w:val="pct20" w:color="auto" w:fill="auto"/>
      <w:ind w:left="1134" w:hanging="1134"/>
      <w:jc w:val="both"/>
    </w:pPr>
    <w:rPr>
      <w:rFonts w:ascii="Arial" w:hAnsi="Arial" w:cs="Arial"/>
      <w:i/>
      <w:iCs/>
    </w:rPr>
  </w:style>
  <w:style w:type="character" w:customStyle="1" w:styleId="afff9">
    <w:name w:val="Шапка Знак"/>
    <w:basedOn w:val="a1"/>
    <w:uiPriority w:val="99"/>
    <w:semiHidden/>
    <w:rsid w:val="003262B9"/>
    <w:rPr>
      <w:rFonts w:asciiTheme="majorHAnsi" w:eastAsiaTheme="majorEastAsia" w:hAnsiTheme="majorHAnsi" w:cstheme="majorBidi"/>
      <w:sz w:val="24"/>
      <w:szCs w:val="24"/>
      <w:shd w:val="pct20" w:color="auto" w:fill="auto"/>
    </w:rPr>
  </w:style>
  <w:style w:type="paragraph" w:customStyle="1" w:styleId="afffa">
    <w:name w:val="Таблица"/>
    <w:basedOn w:val="afff2"/>
    <w:uiPriority w:val="39"/>
    <w:qFormat/>
    <w:rsid w:val="003262B9"/>
    <w:pPr>
      <w:pBdr>
        <w:top w:val="none" w:sz="0" w:space="0" w:color="auto"/>
        <w:left w:val="none" w:sz="0" w:space="0" w:color="auto"/>
        <w:bottom w:val="none" w:sz="0" w:space="0" w:color="auto"/>
        <w:right w:val="none" w:sz="0" w:space="0" w:color="auto"/>
      </w:pBdr>
      <w:shd w:val="clear" w:color="auto" w:fill="auto"/>
      <w:spacing w:line="220" w:lineRule="exact"/>
      <w:ind w:left="0" w:firstLine="0"/>
      <w:jc w:val="left"/>
    </w:pPr>
    <w:rPr>
      <w:sz w:val="20"/>
      <w:szCs w:val="20"/>
    </w:rPr>
  </w:style>
  <w:style w:type="paragraph" w:customStyle="1" w:styleId="220">
    <w:name w:val="Основной текст с отступом 22"/>
    <w:basedOn w:val="a0"/>
    <w:uiPriority w:val="39"/>
    <w:qFormat/>
    <w:rsid w:val="003262B9"/>
    <w:pPr>
      <w:widowControl w:val="0"/>
      <w:spacing w:before="120"/>
      <w:ind w:firstLine="720"/>
      <w:jc w:val="both"/>
    </w:pPr>
    <w:rPr>
      <w:sz w:val="16"/>
      <w:szCs w:val="20"/>
    </w:rPr>
  </w:style>
  <w:style w:type="paragraph" w:customStyle="1" w:styleId="afffb">
    <w:name w:val="Заголграф"/>
    <w:basedOn w:val="3"/>
    <w:uiPriority w:val="39"/>
    <w:qFormat/>
    <w:rsid w:val="003262B9"/>
    <w:pPr>
      <w:keepLines w:val="0"/>
      <w:spacing w:before="120" w:beforeAutospacing="0" w:after="240" w:afterAutospacing="0"/>
      <w:outlineLvl w:val="9"/>
    </w:pPr>
    <w:rPr>
      <w:rFonts w:ascii="Arial" w:eastAsia="Times New Roman" w:hAnsi="Arial" w:cs="Arial"/>
      <w:caps w:val="0"/>
    </w:rPr>
  </w:style>
  <w:style w:type="paragraph" w:customStyle="1" w:styleId="1f">
    <w:name w:val="заголовок 1"/>
    <w:basedOn w:val="a0"/>
    <w:next w:val="a0"/>
    <w:uiPriority w:val="39"/>
    <w:qFormat/>
    <w:rsid w:val="003262B9"/>
    <w:pPr>
      <w:keepNext/>
      <w:pageBreakBefore/>
      <w:widowControl w:val="0"/>
      <w:spacing w:after="360"/>
    </w:pPr>
    <w:rPr>
      <w:rFonts w:ascii="Arial" w:hAnsi="Arial" w:cs="Arial"/>
      <w:b/>
      <w:bCs/>
      <w:caps/>
      <w:kern w:val="28"/>
      <w:sz w:val="26"/>
      <w:szCs w:val="26"/>
    </w:rPr>
  </w:style>
  <w:style w:type="paragraph" w:customStyle="1" w:styleId="Title3211">
    <w:name w:val="Title3211"/>
    <w:basedOn w:val="a0"/>
    <w:uiPriority w:val="99"/>
    <w:qFormat/>
    <w:rsid w:val="003262B9"/>
    <w:pPr>
      <w:snapToGrid w:val="0"/>
      <w:jc w:val="center"/>
    </w:pPr>
    <w:rPr>
      <w:rFonts w:ascii="Arial" w:hAnsi="Arial"/>
      <w:b/>
      <w:caps/>
      <w:sz w:val="28"/>
      <w:szCs w:val="20"/>
    </w:rPr>
  </w:style>
  <w:style w:type="paragraph" w:customStyle="1" w:styleId="43">
    <w:name w:val="заголовок 4"/>
    <w:basedOn w:val="3b"/>
    <w:next w:val="a0"/>
    <w:uiPriority w:val="99"/>
    <w:qFormat/>
    <w:rsid w:val="003262B9"/>
    <w:pPr>
      <w:autoSpaceDE/>
      <w:autoSpaceDN/>
      <w:spacing w:before="120" w:after="120"/>
      <w:ind w:firstLine="0"/>
      <w:jc w:val="left"/>
    </w:pPr>
    <w:rPr>
      <w:rFonts w:ascii="Arial" w:hAnsi="Arial" w:cs="Arial"/>
      <w:b w:val="0"/>
      <w:bCs w:val="0"/>
      <w:i/>
      <w:iCs/>
      <w:sz w:val="22"/>
      <w:szCs w:val="22"/>
    </w:rPr>
  </w:style>
  <w:style w:type="paragraph" w:customStyle="1" w:styleId="Iauiue">
    <w:name w:val="Iau.iue"/>
    <w:basedOn w:val="a0"/>
    <w:next w:val="a0"/>
    <w:uiPriority w:val="39"/>
    <w:qFormat/>
    <w:rsid w:val="003262B9"/>
    <w:pPr>
      <w:autoSpaceDE w:val="0"/>
      <w:autoSpaceDN w:val="0"/>
      <w:adjustRightInd w:val="0"/>
    </w:pPr>
  </w:style>
  <w:style w:type="paragraph" w:customStyle="1" w:styleId="320">
    <w:name w:val="Основной текст с отступом 32"/>
    <w:basedOn w:val="a0"/>
    <w:uiPriority w:val="39"/>
    <w:qFormat/>
    <w:rsid w:val="003262B9"/>
    <w:pPr>
      <w:overflowPunct w:val="0"/>
      <w:autoSpaceDE w:val="0"/>
      <w:autoSpaceDN w:val="0"/>
      <w:adjustRightInd w:val="0"/>
      <w:ind w:firstLine="720"/>
      <w:jc w:val="both"/>
    </w:pPr>
    <w:rPr>
      <w:sz w:val="28"/>
      <w:szCs w:val="20"/>
    </w:rPr>
  </w:style>
  <w:style w:type="paragraph" w:customStyle="1" w:styleId="TimesNewRoman14pt127">
    <w:name w:val="Стиль Times New Roman 14 pt по ширине Первая строка:  127 см П..."/>
    <w:basedOn w:val="a0"/>
    <w:uiPriority w:val="39"/>
    <w:qFormat/>
    <w:rsid w:val="003262B9"/>
    <w:pPr>
      <w:spacing w:line="360" w:lineRule="auto"/>
      <w:ind w:firstLine="720"/>
      <w:jc w:val="both"/>
    </w:pPr>
    <w:rPr>
      <w:sz w:val="28"/>
      <w:szCs w:val="20"/>
    </w:rPr>
  </w:style>
  <w:style w:type="character" w:styleId="afffc">
    <w:name w:val="Book Title"/>
    <w:basedOn w:val="a1"/>
    <w:uiPriority w:val="33"/>
    <w:qFormat/>
    <w:rsid w:val="003262B9"/>
    <w:rPr>
      <w:b/>
      <w:bCs/>
      <w:smallCaps/>
      <w:spacing w:val="5"/>
    </w:rPr>
  </w:style>
  <w:style w:type="character" w:customStyle="1" w:styleId="71">
    <w:name w:val="Заголовок 7 Знак1"/>
    <w:basedOn w:val="a1"/>
    <w:uiPriority w:val="9"/>
    <w:semiHidden/>
    <w:rsid w:val="003262B9"/>
    <w:rPr>
      <w:rFonts w:asciiTheme="majorHAnsi" w:eastAsiaTheme="majorEastAsia" w:hAnsiTheme="majorHAnsi" w:cstheme="majorBidi"/>
      <w:i/>
      <w:iCs/>
      <w:color w:val="404040" w:themeColor="text1" w:themeTint="BF"/>
      <w:sz w:val="24"/>
      <w:szCs w:val="22"/>
    </w:rPr>
  </w:style>
  <w:style w:type="character" w:customStyle="1" w:styleId="81">
    <w:name w:val="Заголовок 8 Знак1"/>
    <w:basedOn w:val="a1"/>
    <w:uiPriority w:val="9"/>
    <w:semiHidden/>
    <w:rsid w:val="003262B9"/>
    <w:rPr>
      <w:rFonts w:asciiTheme="majorHAnsi" w:eastAsiaTheme="majorEastAsia" w:hAnsiTheme="majorHAnsi" w:cstheme="majorBidi"/>
      <w:color w:val="404040" w:themeColor="text1" w:themeTint="BF"/>
    </w:rPr>
  </w:style>
  <w:style w:type="character" w:customStyle="1" w:styleId="91">
    <w:name w:val="Заголовок 9 Знак1"/>
    <w:basedOn w:val="a1"/>
    <w:uiPriority w:val="9"/>
    <w:semiHidden/>
    <w:rsid w:val="003262B9"/>
    <w:rPr>
      <w:rFonts w:asciiTheme="majorHAnsi" w:eastAsiaTheme="majorEastAsia" w:hAnsiTheme="majorHAnsi" w:cstheme="majorBidi"/>
      <w:i/>
      <w:iCs/>
      <w:color w:val="404040" w:themeColor="text1" w:themeTint="BF"/>
    </w:rPr>
  </w:style>
  <w:style w:type="character" w:customStyle="1" w:styleId="1f0">
    <w:name w:val="Текст выноски Знак1"/>
    <w:basedOn w:val="a1"/>
    <w:uiPriority w:val="99"/>
    <w:semiHidden/>
    <w:rsid w:val="003262B9"/>
    <w:rPr>
      <w:rFonts w:ascii="Tahoma" w:eastAsiaTheme="minorEastAsia" w:hAnsi="Tahoma" w:cs="Tahoma"/>
      <w:sz w:val="16"/>
      <w:szCs w:val="16"/>
      <w:lang w:val="en-US" w:bidi="en-US"/>
    </w:rPr>
  </w:style>
  <w:style w:type="character" w:customStyle="1" w:styleId="1f1">
    <w:name w:val="Верхний колонтитул Знак1"/>
    <w:aliases w:val="Header Char Знак1"/>
    <w:basedOn w:val="a1"/>
    <w:uiPriority w:val="99"/>
    <w:semiHidden/>
    <w:rsid w:val="003262B9"/>
    <w:rPr>
      <w:rFonts w:ascii="Times New Roman" w:eastAsiaTheme="minorEastAsia" w:hAnsi="Times New Roman"/>
      <w:sz w:val="24"/>
      <w:lang w:val="en-US" w:bidi="en-US"/>
    </w:rPr>
  </w:style>
  <w:style w:type="character" w:customStyle="1" w:styleId="FontStyle33">
    <w:name w:val="Font Style33"/>
    <w:basedOn w:val="a1"/>
    <w:uiPriority w:val="99"/>
    <w:rsid w:val="003262B9"/>
    <w:rPr>
      <w:rFonts w:ascii="Arial Unicode MS" w:eastAsia="Arial Unicode MS" w:hAnsi="Arial Unicode MS" w:cs="Arial Unicode MS" w:hint="eastAsia"/>
      <w:b/>
      <w:bCs/>
      <w:sz w:val="16"/>
      <w:szCs w:val="16"/>
    </w:rPr>
  </w:style>
  <w:style w:type="character" w:customStyle="1" w:styleId="FontStyle34">
    <w:name w:val="Font Style34"/>
    <w:basedOn w:val="a1"/>
    <w:uiPriority w:val="99"/>
    <w:rsid w:val="003262B9"/>
    <w:rPr>
      <w:rFonts w:ascii="Arial Unicode MS" w:eastAsia="Arial Unicode MS" w:hAnsi="Arial Unicode MS" w:cs="Arial Unicode MS" w:hint="eastAsia"/>
      <w:sz w:val="14"/>
      <w:szCs w:val="14"/>
    </w:rPr>
  </w:style>
  <w:style w:type="character" w:customStyle="1" w:styleId="FontStyle32">
    <w:name w:val="Font Style32"/>
    <w:basedOn w:val="a1"/>
    <w:uiPriority w:val="99"/>
    <w:rsid w:val="003262B9"/>
    <w:rPr>
      <w:rFonts w:ascii="Arial Unicode MS" w:eastAsia="Arial Unicode MS" w:hAnsi="Arial Unicode MS" w:cs="Arial Unicode MS" w:hint="eastAsia"/>
      <w:sz w:val="10"/>
      <w:szCs w:val="10"/>
    </w:rPr>
  </w:style>
  <w:style w:type="character" w:customStyle="1" w:styleId="FontStyle29">
    <w:name w:val="Font Style29"/>
    <w:basedOn w:val="a1"/>
    <w:uiPriority w:val="99"/>
    <w:rsid w:val="003262B9"/>
    <w:rPr>
      <w:rFonts w:ascii="Courier New" w:hAnsi="Courier New" w:cs="Courier New" w:hint="default"/>
      <w:b/>
      <w:bCs/>
      <w:spacing w:val="-10"/>
      <w:sz w:val="12"/>
      <w:szCs w:val="12"/>
    </w:rPr>
  </w:style>
  <w:style w:type="character" w:customStyle="1" w:styleId="1f2">
    <w:name w:val="Основной текст с отступом Знак1"/>
    <w:basedOn w:val="a1"/>
    <w:uiPriority w:val="99"/>
    <w:semiHidden/>
    <w:rsid w:val="003262B9"/>
    <w:rPr>
      <w:rFonts w:ascii="Times New Roman" w:eastAsiaTheme="minorEastAsia" w:hAnsi="Times New Roman"/>
      <w:sz w:val="24"/>
      <w:lang w:val="en-US" w:bidi="en-US"/>
    </w:rPr>
  </w:style>
  <w:style w:type="character" w:customStyle="1" w:styleId="afffd">
    <w:name w:val="Символ сноски"/>
    <w:basedOn w:val="a1"/>
    <w:rsid w:val="003262B9"/>
    <w:rPr>
      <w:vertAlign w:val="superscript"/>
    </w:rPr>
  </w:style>
  <w:style w:type="paragraph" w:styleId="2a">
    <w:name w:val="Body Text Indent 2"/>
    <w:basedOn w:val="a0"/>
    <w:link w:val="29"/>
    <w:uiPriority w:val="99"/>
    <w:semiHidden/>
    <w:unhideWhenUsed/>
    <w:rsid w:val="003262B9"/>
    <w:pPr>
      <w:spacing w:before="120" w:after="120" w:line="480" w:lineRule="auto"/>
      <w:ind w:left="283" w:firstLine="709"/>
      <w:jc w:val="both"/>
    </w:pPr>
  </w:style>
  <w:style w:type="character" w:customStyle="1" w:styleId="214">
    <w:name w:val="Основной текст с отступом 2 Знак1"/>
    <w:basedOn w:val="a1"/>
    <w:semiHidden/>
    <w:rsid w:val="003262B9"/>
    <w:rPr>
      <w:rFonts w:ascii="Times New Roman" w:hAnsi="Times New Roman"/>
    </w:rPr>
  </w:style>
  <w:style w:type="character" w:customStyle="1" w:styleId="IniiaiieoaenoCiae1">
    <w:name w:val="Iniiaiie oaeno Ciae Знак Знак1"/>
    <w:aliases w:val="Iniiaiie oaeno Ciae Знак1,Iniiaiie oaeno Ciae Знак Знак Знак Знак Знак,Iniiaiie oaeno Ciae Знак Знак Знак Знак Знак Знак Знак1,Iniiaiie oaeno Ciae Знак Знак Знак Знак1,Iniiaiie oaeno Ciae Знак Знак Знак1"/>
    <w:basedOn w:val="a1"/>
    <w:rsid w:val="003262B9"/>
    <w:rPr>
      <w:sz w:val="24"/>
      <w:lang w:val="ru-RU" w:eastAsia="ru-RU" w:bidi="ar-SA"/>
    </w:rPr>
  </w:style>
  <w:style w:type="character" w:customStyle="1" w:styleId="FontStyle31">
    <w:name w:val="Font Style31"/>
    <w:basedOn w:val="a1"/>
    <w:uiPriority w:val="99"/>
    <w:rsid w:val="003262B9"/>
    <w:rPr>
      <w:rFonts w:ascii="Verdana" w:hAnsi="Verdana" w:cs="Verdana" w:hint="default"/>
      <w:sz w:val="18"/>
      <w:szCs w:val="18"/>
    </w:rPr>
  </w:style>
  <w:style w:type="character" w:customStyle="1" w:styleId="FontStyle38">
    <w:name w:val="Font Style38"/>
    <w:basedOn w:val="a1"/>
    <w:uiPriority w:val="99"/>
    <w:rsid w:val="003262B9"/>
    <w:rPr>
      <w:rFonts w:ascii="Verdana" w:hAnsi="Verdana" w:cs="Verdana" w:hint="default"/>
      <w:b/>
      <w:bCs/>
      <w:i/>
      <w:iCs/>
      <w:sz w:val="18"/>
      <w:szCs w:val="18"/>
    </w:rPr>
  </w:style>
  <w:style w:type="character" w:customStyle="1" w:styleId="FontStyle44">
    <w:name w:val="Font Style44"/>
    <w:basedOn w:val="a1"/>
    <w:uiPriority w:val="99"/>
    <w:rsid w:val="003262B9"/>
    <w:rPr>
      <w:rFonts w:ascii="MS Reference Sans Serif" w:hAnsi="MS Reference Sans Serif" w:cs="MS Reference Sans Serif" w:hint="default"/>
      <w:b/>
      <w:bCs/>
      <w:i/>
      <w:iCs/>
      <w:spacing w:val="10"/>
      <w:sz w:val="16"/>
      <w:szCs w:val="16"/>
    </w:rPr>
  </w:style>
  <w:style w:type="character" w:customStyle="1" w:styleId="FontStyle46">
    <w:name w:val="Font Style46"/>
    <w:basedOn w:val="a1"/>
    <w:uiPriority w:val="99"/>
    <w:rsid w:val="003262B9"/>
    <w:rPr>
      <w:rFonts w:ascii="Verdana" w:hAnsi="Verdana" w:cs="Verdana" w:hint="default"/>
      <w:b/>
      <w:bCs/>
      <w:sz w:val="8"/>
      <w:szCs w:val="8"/>
    </w:rPr>
  </w:style>
  <w:style w:type="character" w:customStyle="1" w:styleId="FontStyle59">
    <w:name w:val="Font Style59"/>
    <w:basedOn w:val="a1"/>
    <w:uiPriority w:val="99"/>
    <w:rsid w:val="003262B9"/>
    <w:rPr>
      <w:rFonts w:ascii="MS Reference Sans Serif" w:hAnsi="MS Reference Sans Serif" w:cs="MS Reference Sans Serif" w:hint="default"/>
      <w:sz w:val="14"/>
      <w:szCs w:val="14"/>
    </w:rPr>
  </w:style>
  <w:style w:type="character" w:customStyle="1" w:styleId="FontStyle65">
    <w:name w:val="Font Style65"/>
    <w:basedOn w:val="a1"/>
    <w:uiPriority w:val="99"/>
    <w:rsid w:val="003262B9"/>
    <w:rPr>
      <w:rFonts w:ascii="MS Reference Sans Serif" w:hAnsi="MS Reference Sans Serif" w:cs="MS Reference Sans Serif" w:hint="default"/>
      <w:sz w:val="16"/>
      <w:szCs w:val="16"/>
    </w:rPr>
  </w:style>
  <w:style w:type="character" w:customStyle="1" w:styleId="FontStyle101">
    <w:name w:val="Font Style101"/>
    <w:basedOn w:val="a1"/>
    <w:uiPriority w:val="99"/>
    <w:rsid w:val="003262B9"/>
    <w:rPr>
      <w:rFonts w:ascii="Verdana" w:hAnsi="Verdana" w:cs="Verdana" w:hint="default"/>
      <w:i/>
      <w:iCs/>
      <w:sz w:val="16"/>
      <w:szCs w:val="16"/>
    </w:rPr>
  </w:style>
  <w:style w:type="character" w:customStyle="1" w:styleId="FontStyle64">
    <w:name w:val="Font Style64"/>
    <w:basedOn w:val="a1"/>
    <w:uiPriority w:val="99"/>
    <w:rsid w:val="003262B9"/>
    <w:rPr>
      <w:rFonts w:ascii="Verdana" w:hAnsi="Verdana" w:cs="Verdana" w:hint="default"/>
      <w:sz w:val="14"/>
      <w:szCs w:val="14"/>
    </w:rPr>
  </w:style>
  <w:style w:type="character" w:customStyle="1" w:styleId="FontStyle103">
    <w:name w:val="Font Style103"/>
    <w:basedOn w:val="a1"/>
    <w:uiPriority w:val="99"/>
    <w:rsid w:val="003262B9"/>
    <w:rPr>
      <w:rFonts w:ascii="Verdana" w:hAnsi="Verdana" w:cs="Verdana" w:hint="default"/>
      <w:b/>
      <w:bCs/>
      <w:sz w:val="14"/>
      <w:szCs w:val="14"/>
    </w:rPr>
  </w:style>
  <w:style w:type="character" w:customStyle="1" w:styleId="FontStyle27">
    <w:name w:val="Font Style27"/>
    <w:basedOn w:val="a1"/>
    <w:uiPriority w:val="99"/>
    <w:rsid w:val="003262B9"/>
    <w:rPr>
      <w:rFonts w:ascii="MS Reference Sans Serif" w:hAnsi="MS Reference Sans Serif" w:cs="MS Reference Sans Serif" w:hint="default"/>
      <w:b/>
      <w:bCs/>
      <w:sz w:val="14"/>
      <w:szCs w:val="14"/>
    </w:rPr>
  </w:style>
  <w:style w:type="character" w:customStyle="1" w:styleId="FontStyle60">
    <w:name w:val="Font Style60"/>
    <w:basedOn w:val="a1"/>
    <w:uiPriority w:val="99"/>
    <w:rsid w:val="003262B9"/>
    <w:rPr>
      <w:rFonts w:ascii="Verdana" w:hAnsi="Verdana" w:cs="Verdana" w:hint="default"/>
      <w:b/>
      <w:bCs/>
      <w:sz w:val="14"/>
      <w:szCs w:val="14"/>
    </w:rPr>
  </w:style>
  <w:style w:type="character" w:customStyle="1" w:styleId="FontStyle61">
    <w:name w:val="Font Style61"/>
    <w:basedOn w:val="a1"/>
    <w:uiPriority w:val="99"/>
    <w:rsid w:val="003262B9"/>
    <w:rPr>
      <w:rFonts w:ascii="Franklin Gothic Medium" w:hAnsi="Franklin Gothic Medium" w:cs="Franklin Gothic Medium" w:hint="default"/>
      <w:b/>
      <w:bCs/>
      <w:sz w:val="20"/>
      <w:szCs w:val="20"/>
    </w:rPr>
  </w:style>
  <w:style w:type="character" w:customStyle="1" w:styleId="FontStyle62">
    <w:name w:val="Font Style62"/>
    <w:basedOn w:val="a1"/>
    <w:uiPriority w:val="99"/>
    <w:rsid w:val="003262B9"/>
    <w:rPr>
      <w:rFonts w:ascii="MS Reference Sans Serif" w:hAnsi="MS Reference Sans Serif" w:cs="MS Reference Sans Serif" w:hint="default"/>
      <w:b/>
      <w:bCs/>
      <w:sz w:val="14"/>
      <w:szCs w:val="14"/>
    </w:rPr>
  </w:style>
  <w:style w:type="character" w:customStyle="1" w:styleId="FontStyle63">
    <w:name w:val="Font Style63"/>
    <w:basedOn w:val="a1"/>
    <w:uiPriority w:val="99"/>
    <w:rsid w:val="003262B9"/>
    <w:rPr>
      <w:rFonts w:ascii="Verdana" w:hAnsi="Verdana" w:cs="Verdana" w:hint="default"/>
      <w:sz w:val="14"/>
      <w:szCs w:val="14"/>
    </w:rPr>
  </w:style>
  <w:style w:type="character" w:customStyle="1" w:styleId="FontStyle98">
    <w:name w:val="Font Style98"/>
    <w:basedOn w:val="a1"/>
    <w:uiPriority w:val="99"/>
    <w:rsid w:val="003262B9"/>
    <w:rPr>
      <w:rFonts w:ascii="Verdana" w:hAnsi="Verdana" w:cs="Verdana" w:hint="default"/>
      <w:b/>
      <w:bCs/>
      <w:sz w:val="16"/>
      <w:szCs w:val="16"/>
    </w:rPr>
  </w:style>
  <w:style w:type="character" w:customStyle="1" w:styleId="FontStyle89">
    <w:name w:val="Font Style89"/>
    <w:basedOn w:val="a1"/>
    <w:uiPriority w:val="99"/>
    <w:rsid w:val="003262B9"/>
    <w:rPr>
      <w:rFonts w:ascii="Verdana" w:hAnsi="Verdana" w:cs="Verdana" w:hint="default"/>
      <w:sz w:val="10"/>
      <w:szCs w:val="10"/>
    </w:rPr>
  </w:style>
  <w:style w:type="character" w:customStyle="1" w:styleId="FontStyle83">
    <w:name w:val="Font Style83"/>
    <w:basedOn w:val="a1"/>
    <w:uiPriority w:val="99"/>
    <w:rsid w:val="003262B9"/>
    <w:rPr>
      <w:rFonts w:ascii="Verdana" w:hAnsi="Verdana" w:cs="Verdana" w:hint="default"/>
      <w:b/>
      <w:bCs/>
      <w:spacing w:val="20"/>
      <w:sz w:val="12"/>
      <w:szCs w:val="12"/>
    </w:rPr>
  </w:style>
  <w:style w:type="character" w:customStyle="1" w:styleId="FontStyle88">
    <w:name w:val="Font Style88"/>
    <w:basedOn w:val="a1"/>
    <w:uiPriority w:val="99"/>
    <w:rsid w:val="003262B9"/>
    <w:rPr>
      <w:rFonts w:ascii="Bookman Old Style" w:hAnsi="Bookman Old Style" w:cs="Bookman Old Style" w:hint="default"/>
      <w:b/>
      <w:bCs/>
      <w:sz w:val="12"/>
      <w:szCs w:val="12"/>
    </w:rPr>
  </w:style>
  <w:style w:type="character" w:customStyle="1" w:styleId="FontStyle91">
    <w:name w:val="Font Style91"/>
    <w:basedOn w:val="a1"/>
    <w:uiPriority w:val="99"/>
    <w:rsid w:val="003262B9"/>
    <w:rPr>
      <w:rFonts w:ascii="Verdana" w:hAnsi="Verdana" w:cs="Verdana" w:hint="default"/>
      <w:sz w:val="18"/>
      <w:szCs w:val="18"/>
    </w:rPr>
  </w:style>
  <w:style w:type="character" w:customStyle="1" w:styleId="FontStyle93">
    <w:name w:val="Font Style93"/>
    <w:basedOn w:val="a1"/>
    <w:uiPriority w:val="99"/>
    <w:rsid w:val="003262B9"/>
    <w:rPr>
      <w:rFonts w:ascii="MS Reference Sans Serif" w:hAnsi="MS Reference Sans Serif" w:cs="MS Reference Sans Serif" w:hint="default"/>
      <w:b/>
      <w:bCs/>
      <w:sz w:val="16"/>
      <w:szCs w:val="16"/>
    </w:rPr>
  </w:style>
  <w:style w:type="character" w:customStyle="1" w:styleId="215">
    <w:name w:val="Основной текст 2 Знак1"/>
    <w:basedOn w:val="a1"/>
    <w:uiPriority w:val="99"/>
    <w:semiHidden/>
    <w:rsid w:val="003262B9"/>
    <w:rPr>
      <w:rFonts w:asciiTheme="majorHAnsi" w:hAnsiTheme="majorHAnsi"/>
      <w:sz w:val="20"/>
    </w:rPr>
  </w:style>
  <w:style w:type="paragraph" w:styleId="36">
    <w:name w:val="Body Text 3"/>
    <w:basedOn w:val="a0"/>
    <w:link w:val="35"/>
    <w:unhideWhenUsed/>
    <w:rsid w:val="003262B9"/>
    <w:pPr>
      <w:spacing w:before="120" w:after="120"/>
      <w:ind w:firstLine="709"/>
      <w:jc w:val="both"/>
    </w:pPr>
    <w:rPr>
      <w:sz w:val="16"/>
      <w:szCs w:val="16"/>
    </w:rPr>
  </w:style>
  <w:style w:type="character" w:customStyle="1" w:styleId="312">
    <w:name w:val="Основной текст 3 Знак1"/>
    <w:basedOn w:val="a1"/>
    <w:uiPriority w:val="99"/>
    <w:semiHidden/>
    <w:rsid w:val="003262B9"/>
    <w:rPr>
      <w:rFonts w:ascii="Times New Roman" w:hAnsi="Times New Roman"/>
      <w:sz w:val="16"/>
      <w:szCs w:val="16"/>
    </w:rPr>
  </w:style>
  <w:style w:type="paragraph" w:styleId="38">
    <w:name w:val="Body Text Indent 3"/>
    <w:basedOn w:val="a0"/>
    <w:link w:val="37"/>
    <w:semiHidden/>
    <w:unhideWhenUsed/>
    <w:rsid w:val="003262B9"/>
    <w:pPr>
      <w:spacing w:before="120" w:after="120"/>
      <w:ind w:left="283" w:firstLine="709"/>
      <w:jc w:val="both"/>
    </w:pPr>
    <w:rPr>
      <w:sz w:val="16"/>
      <w:szCs w:val="16"/>
    </w:rPr>
  </w:style>
  <w:style w:type="character" w:customStyle="1" w:styleId="313">
    <w:name w:val="Основной текст с отступом 3 Знак1"/>
    <w:basedOn w:val="a1"/>
    <w:semiHidden/>
    <w:rsid w:val="003262B9"/>
    <w:rPr>
      <w:rFonts w:ascii="Times New Roman" w:hAnsi="Times New Roman"/>
      <w:sz w:val="16"/>
      <w:szCs w:val="16"/>
    </w:rPr>
  </w:style>
  <w:style w:type="character" w:customStyle="1" w:styleId="0">
    <w:name w:val="0"/>
    <w:aliases w:val="5,-0"/>
    <w:basedOn w:val="a1"/>
    <w:rsid w:val="003262B9"/>
  </w:style>
  <w:style w:type="character" w:customStyle="1" w:styleId="afffe">
    <w:name w:val="индекс"/>
    <w:rsid w:val="003262B9"/>
    <w:rPr>
      <w:rFonts w:ascii="Times New Roman" w:hAnsi="Times New Roman" w:cs="Times New Roman" w:hint="default"/>
      <w:color w:val="0000FF"/>
      <w:sz w:val="24"/>
    </w:rPr>
  </w:style>
  <w:style w:type="character" w:customStyle="1" w:styleId="53">
    <w:name w:val="Заголовок 5 Знак3"/>
    <w:locked/>
    <w:rsid w:val="003262B9"/>
    <w:rPr>
      <w:rFonts w:ascii="Arial" w:hAnsi="Arial" w:cs="Arial" w:hint="default"/>
      <w:b/>
      <w:bCs/>
      <w:sz w:val="24"/>
      <w:szCs w:val="24"/>
      <w:lang w:val="ru-RU" w:eastAsia="ru-RU" w:bidi="ar-SA"/>
    </w:rPr>
  </w:style>
  <w:style w:type="character" w:customStyle="1" w:styleId="2b">
    <w:name w:val="Нижний колонтитул Знак2"/>
    <w:locked/>
    <w:rsid w:val="003262B9"/>
    <w:rPr>
      <w:rFonts w:ascii="Arial" w:hAnsi="Arial" w:cs="Arial" w:hint="default"/>
      <w:sz w:val="22"/>
      <w:szCs w:val="22"/>
      <w:lang w:val="ru-RU" w:eastAsia="ru-RU" w:bidi="ar-SA"/>
    </w:rPr>
  </w:style>
  <w:style w:type="character" w:customStyle="1" w:styleId="216">
    <w:name w:val="Заголовок 2 Знак1"/>
    <w:rsid w:val="003262B9"/>
    <w:rPr>
      <w:rFonts w:ascii="Arial" w:hAnsi="Arial" w:cs="Arial" w:hint="default"/>
      <w:b/>
      <w:bCs/>
      <w:i/>
      <w:iCs/>
      <w:sz w:val="28"/>
      <w:szCs w:val="28"/>
      <w:lang w:val="ru-RU" w:eastAsia="ru-RU" w:bidi="ar-SA"/>
    </w:rPr>
  </w:style>
  <w:style w:type="character" w:customStyle="1" w:styleId="font56">
    <w:name w:val="font56"/>
    <w:rsid w:val="003262B9"/>
  </w:style>
  <w:style w:type="paragraph" w:styleId="afff1">
    <w:name w:val="endnote text"/>
    <w:basedOn w:val="a0"/>
    <w:link w:val="afff0"/>
    <w:uiPriority w:val="99"/>
    <w:semiHidden/>
    <w:unhideWhenUsed/>
    <w:rsid w:val="003262B9"/>
    <w:pPr>
      <w:ind w:firstLine="709"/>
      <w:jc w:val="both"/>
    </w:pPr>
    <w:rPr>
      <w:sz w:val="20"/>
      <w:szCs w:val="20"/>
    </w:rPr>
  </w:style>
  <w:style w:type="character" w:customStyle="1" w:styleId="1f3">
    <w:name w:val="Текст концевой сноски Знак1"/>
    <w:basedOn w:val="a1"/>
    <w:uiPriority w:val="99"/>
    <w:semiHidden/>
    <w:rsid w:val="003262B9"/>
    <w:rPr>
      <w:rFonts w:ascii="Times New Roman" w:hAnsi="Times New Roman"/>
      <w:sz w:val="20"/>
      <w:szCs w:val="20"/>
    </w:rPr>
  </w:style>
  <w:style w:type="character" w:styleId="affff">
    <w:name w:val="endnote reference"/>
    <w:basedOn w:val="a1"/>
    <w:uiPriority w:val="99"/>
    <w:semiHidden/>
    <w:unhideWhenUsed/>
    <w:rsid w:val="003262B9"/>
    <w:rPr>
      <w:vertAlign w:val="superscript"/>
    </w:rPr>
  </w:style>
  <w:style w:type="numbering" w:customStyle="1" w:styleId="221">
    <w:name w:val="Нет списка22"/>
    <w:next w:val="a3"/>
    <w:uiPriority w:val="99"/>
    <w:semiHidden/>
    <w:unhideWhenUsed/>
    <w:rsid w:val="003262B9"/>
  </w:style>
  <w:style w:type="table" w:customStyle="1" w:styleId="217">
    <w:name w:val="Сетка таблицы21"/>
    <w:basedOn w:val="a2"/>
    <w:next w:val="aff1"/>
    <w:uiPriority w:val="39"/>
    <w:rsid w:val="003262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
    <w:name w:val="Нет списка121"/>
    <w:next w:val="a3"/>
    <w:uiPriority w:val="99"/>
    <w:semiHidden/>
    <w:unhideWhenUsed/>
    <w:rsid w:val="003262B9"/>
  </w:style>
  <w:style w:type="numbering" w:customStyle="1" w:styleId="2110">
    <w:name w:val="Нет списка211"/>
    <w:next w:val="a3"/>
    <w:uiPriority w:val="99"/>
    <w:semiHidden/>
    <w:unhideWhenUsed/>
    <w:rsid w:val="003262B9"/>
  </w:style>
  <w:style w:type="numbering" w:customStyle="1" w:styleId="1121">
    <w:name w:val="Нет списка1121"/>
    <w:next w:val="a3"/>
    <w:uiPriority w:val="99"/>
    <w:semiHidden/>
    <w:unhideWhenUsed/>
    <w:rsid w:val="003262B9"/>
  </w:style>
  <w:style w:type="numbering" w:customStyle="1" w:styleId="321">
    <w:name w:val="Нет списка32"/>
    <w:next w:val="a3"/>
    <w:uiPriority w:val="99"/>
    <w:semiHidden/>
    <w:unhideWhenUsed/>
    <w:rsid w:val="003262B9"/>
  </w:style>
  <w:style w:type="paragraph" w:customStyle="1" w:styleId="xl65">
    <w:name w:val="xl65"/>
    <w:basedOn w:val="a0"/>
    <w:qFormat/>
    <w:rsid w:val="003262B9"/>
    <w:pPr>
      <w:spacing w:before="100" w:beforeAutospacing="1" w:after="100" w:afterAutospacing="1"/>
      <w:textAlignment w:val="center"/>
    </w:pPr>
  </w:style>
  <w:style w:type="paragraph" w:customStyle="1" w:styleId="xl66">
    <w:name w:val="xl66"/>
    <w:basedOn w:val="a0"/>
    <w:qFormat/>
    <w:rsid w:val="003262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table" w:customStyle="1" w:styleId="1110">
    <w:name w:val="Сетка таблицы111"/>
    <w:basedOn w:val="a2"/>
    <w:next w:val="aff1"/>
    <w:uiPriority w:val="59"/>
    <w:rsid w:val="003262B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
    <w:name w:val="Нет списка41"/>
    <w:next w:val="a3"/>
    <w:uiPriority w:val="99"/>
    <w:semiHidden/>
    <w:unhideWhenUsed/>
    <w:rsid w:val="003262B9"/>
  </w:style>
  <w:style w:type="table" w:customStyle="1" w:styleId="314">
    <w:name w:val="Сетка таблицы31"/>
    <w:basedOn w:val="a2"/>
    <w:next w:val="aff1"/>
    <w:uiPriority w:val="59"/>
    <w:rsid w:val="003262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1"/>
    <w:next w:val="a3"/>
    <w:uiPriority w:val="99"/>
    <w:semiHidden/>
    <w:unhideWhenUsed/>
    <w:rsid w:val="003262B9"/>
  </w:style>
  <w:style w:type="numbering" w:customStyle="1" w:styleId="3110">
    <w:name w:val="Нет списка311"/>
    <w:next w:val="a3"/>
    <w:uiPriority w:val="99"/>
    <w:semiHidden/>
    <w:unhideWhenUsed/>
    <w:rsid w:val="003262B9"/>
  </w:style>
  <w:style w:type="character" w:customStyle="1" w:styleId="1f4">
    <w:name w:val="Текст примечания Знак1"/>
    <w:basedOn w:val="a1"/>
    <w:uiPriority w:val="99"/>
    <w:semiHidden/>
    <w:rsid w:val="003262B9"/>
    <w:rPr>
      <w:rFonts w:asciiTheme="majorHAnsi" w:hAnsiTheme="majorHAnsi"/>
      <w:sz w:val="20"/>
      <w:szCs w:val="20"/>
    </w:rPr>
  </w:style>
  <w:style w:type="character" w:customStyle="1" w:styleId="1f5">
    <w:name w:val="Тема примечания Знак1"/>
    <w:basedOn w:val="1f4"/>
    <w:uiPriority w:val="99"/>
    <w:semiHidden/>
    <w:rsid w:val="003262B9"/>
    <w:rPr>
      <w:rFonts w:asciiTheme="majorHAnsi" w:hAnsiTheme="majorHAnsi"/>
      <w:b/>
      <w:bCs/>
      <w:sz w:val="20"/>
      <w:szCs w:val="20"/>
    </w:rPr>
  </w:style>
  <w:style w:type="numbering" w:customStyle="1" w:styleId="61">
    <w:name w:val="Нет списка6"/>
    <w:next w:val="a3"/>
    <w:uiPriority w:val="99"/>
    <w:semiHidden/>
    <w:unhideWhenUsed/>
    <w:rsid w:val="005636E3"/>
  </w:style>
  <w:style w:type="table" w:customStyle="1" w:styleId="52">
    <w:name w:val="Сетка таблицы5"/>
    <w:basedOn w:val="a2"/>
    <w:next w:val="aff1"/>
    <w:rsid w:val="005636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3"/>
    <w:uiPriority w:val="99"/>
    <w:semiHidden/>
    <w:unhideWhenUsed/>
    <w:rsid w:val="005636E3"/>
  </w:style>
  <w:style w:type="table" w:customStyle="1" w:styleId="131">
    <w:name w:val="Сетка таблицы13"/>
    <w:basedOn w:val="a2"/>
    <w:next w:val="aff1"/>
    <w:uiPriority w:val="59"/>
    <w:rsid w:val="005636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
    <w:name w:val="Нет списка113"/>
    <w:next w:val="a3"/>
    <w:uiPriority w:val="99"/>
    <w:semiHidden/>
    <w:unhideWhenUsed/>
    <w:rsid w:val="005636E3"/>
  </w:style>
  <w:style w:type="numbering" w:customStyle="1" w:styleId="1112">
    <w:name w:val="Нет списка1112"/>
    <w:next w:val="a3"/>
    <w:uiPriority w:val="99"/>
    <w:semiHidden/>
    <w:unhideWhenUsed/>
    <w:rsid w:val="005636E3"/>
  </w:style>
  <w:style w:type="numbering" w:customStyle="1" w:styleId="230">
    <w:name w:val="Нет списка23"/>
    <w:next w:val="a3"/>
    <w:uiPriority w:val="99"/>
    <w:semiHidden/>
    <w:unhideWhenUsed/>
    <w:rsid w:val="005636E3"/>
  </w:style>
  <w:style w:type="table" w:customStyle="1" w:styleId="222">
    <w:name w:val="Сетка таблицы22"/>
    <w:basedOn w:val="a2"/>
    <w:next w:val="aff1"/>
    <w:uiPriority w:val="39"/>
    <w:rsid w:val="005636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
    <w:name w:val="Нет списка122"/>
    <w:next w:val="a3"/>
    <w:uiPriority w:val="99"/>
    <w:semiHidden/>
    <w:unhideWhenUsed/>
    <w:rsid w:val="005636E3"/>
  </w:style>
  <w:style w:type="numbering" w:customStyle="1" w:styleId="2120">
    <w:name w:val="Нет списка212"/>
    <w:next w:val="a3"/>
    <w:uiPriority w:val="99"/>
    <w:semiHidden/>
    <w:unhideWhenUsed/>
    <w:rsid w:val="005636E3"/>
  </w:style>
  <w:style w:type="numbering" w:customStyle="1" w:styleId="1122">
    <w:name w:val="Нет списка1122"/>
    <w:next w:val="a3"/>
    <w:uiPriority w:val="99"/>
    <w:semiHidden/>
    <w:unhideWhenUsed/>
    <w:rsid w:val="005636E3"/>
  </w:style>
  <w:style w:type="numbering" w:customStyle="1" w:styleId="330">
    <w:name w:val="Нет списка33"/>
    <w:next w:val="a3"/>
    <w:uiPriority w:val="99"/>
    <w:semiHidden/>
    <w:unhideWhenUsed/>
    <w:rsid w:val="005636E3"/>
  </w:style>
  <w:style w:type="table" w:customStyle="1" w:styleId="1123">
    <w:name w:val="Сетка таблицы112"/>
    <w:basedOn w:val="a2"/>
    <w:next w:val="aff1"/>
    <w:uiPriority w:val="59"/>
    <w:rsid w:val="005636E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0">
    <w:name w:val="Нет списка42"/>
    <w:next w:val="a3"/>
    <w:uiPriority w:val="99"/>
    <w:semiHidden/>
    <w:unhideWhenUsed/>
    <w:rsid w:val="005636E3"/>
  </w:style>
  <w:style w:type="table" w:customStyle="1" w:styleId="322">
    <w:name w:val="Сетка таблицы32"/>
    <w:basedOn w:val="a2"/>
    <w:next w:val="aff1"/>
    <w:uiPriority w:val="59"/>
    <w:rsid w:val="005636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
    <w:name w:val="Нет списка11112"/>
    <w:next w:val="a3"/>
    <w:uiPriority w:val="99"/>
    <w:semiHidden/>
    <w:unhideWhenUsed/>
    <w:rsid w:val="005636E3"/>
  </w:style>
  <w:style w:type="numbering" w:customStyle="1" w:styleId="3120">
    <w:name w:val="Нет списка312"/>
    <w:next w:val="a3"/>
    <w:uiPriority w:val="99"/>
    <w:semiHidden/>
    <w:unhideWhenUsed/>
    <w:rsid w:val="005636E3"/>
  </w:style>
  <w:style w:type="numbering" w:customStyle="1" w:styleId="72">
    <w:name w:val="Нет списка7"/>
    <w:next w:val="a3"/>
    <w:uiPriority w:val="99"/>
    <w:semiHidden/>
    <w:unhideWhenUsed/>
    <w:rsid w:val="00494E8C"/>
  </w:style>
  <w:style w:type="table" w:customStyle="1" w:styleId="62">
    <w:name w:val="Сетка таблицы6"/>
    <w:basedOn w:val="a2"/>
    <w:next w:val="aff1"/>
    <w:rsid w:val="00494E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3"/>
    <w:uiPriority w:val="99"/>
    <w:semiHidden/>
    <w:unhideWhenUsed/>
    <w:rsid w:val="00494E8C"/>
  </w:style>
  <w:style w:type="table" w:customStyle="1" w:styleId="141">
    <w:name w:val="Сетка таблицы14"/>
    <w:basedOn w:val="a2"/>
    <w:next w:val="aff1"/>
    <w:uiPriority w:val="59"/>
    <w:rsid w:val="00494E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
    <w:name w:val="Нет списка114"/>
    <w:next w:val="a3"/>
    <w:uiPriority w:val="99"/>
    <w:semiHidden/>
    <w:unhideWhenUsed/>
    <w:rsid w:val="00494E8C"/>
  </w:style>
  <w:style w:type="numbering" w:customStyle="1" w:styleId="1113">
    <w:name w:val="Нет списка1113"/>
    <w:next w:val="a3"/>
    <w:uiPriority w:val="99"/>
    <w:semiHidden/>
    <w:unhideWhenUsed/>
    <w:rsid w:val="00494E8C"/>
  </w:style>
  <w:style w:type="numbering" w:customStyle="1" w:styleId="240">
    <w:name w:val="Нет списка24"/>
    <w:next w:val="a3"/>
    <w:uiPriority w:val="99"/>
    <w:semiHidden/>
    <w:unhideWhenUsed/>
    <w:rsid w:val="00494E8C"/>
  </w:style>
  <w:style w:type="table" w:customStyle="1" w:styleId="231">
    <w:name w:val="Сетка таблицы23"/>
    <w:basedOn w:val="a2"/>
    <w:next w:val="aff1"/>
    <w:uiPriority w:val="39"/>
    <w:rsid w:val="00494E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
    <w:name w:val="Нет списка123"/>
    <w:next w:val="a3"/>
    <w:uiPriority w:val="99"/>
    <w:semiHidden/>
    <w:unhideWhenUsed/>
    <w:rsid w:val="00494E8C"/>
  </w:style>
  <w:style w:type="numbering" w:customStyle="1" w:styleId="2130">
    <w:name w:val="Нет списка213"/>
    <w:next w:val="a3"/>
    <w:uiPriority w:val="99"/>
    <w:semiHidden/>
    <w:unhideWhenUsed/>
    <w:rsid w:val="00494E8C"/>
  </w:style>
  <w:style w:type="numbering" w:customStyle="1" w:styleId="11230">
    <w:name w:val="Нет списка1123"/>
    <w:next w:val="a3"/>
    <w:uiPriority w:val="99"/>
    <w:semiHidden/>
    <w:unhideWhenUsed/>
    <w:rsid w:val="00494E8C"/>
  </w:style>
  <w:style w:type="numbering" w:customStyle="1" w:styleId="340">
    <w:name w:val="Нет списка34"/>
    <w:next w:val="a3"/>
    <w:uiPriority w:val="99"/>
    <w:semiHidden/>
    <w:unhideWhenUsed/>
    <w:rsid w:val="00494E8C"/>
  </w:style>
  <w:style w:type="table" w:customStyle="1" w:styleId="1130">
    <w:name w:val="Сетка таблицы113"/>
    <w:basedOn w:val="a2"/>
    <w:next w:val="aff1"/>
    <w:uiPriority w:val="59"/>
    <w:rsid w:val="00494E8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0">
    <w:name w:val="Нет списка43"/>
    <w:next w:val="a3"/>
    <w:uiPriority w:val="99"/>
    <w:semiHidden/>
    <w:unhideWhenUsed/>
    <w:rsid w:val="00494E8C"/>
  </w:style>
  <w:style w:type="table" w:customStyle="1" w:styleId="331">
    <w:name w:val="Сетка таблицы33"/>
    <w:basedOn w:val="a2"/>
    <w:next w:val="aff1"/>
    <w:uiPriority w:val="59"/>
    <w:rsid w:val="00494E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3">
    <w:name w:val="Нет списка11113"/>
    <w:next w:val="a3"/>
    <w:uiPriority w:val="99"/>
    <w:semiHidden/>
    <w:unhideWhenUsed/>
    <w:rsid w:val="00494E8C"/>
  </w:style>
  <w:style w:type="numbering" w:customStyle="1" w:styleId="3130">
    <w:name w:val="Нет списка313"/>
    <w:next w:val="a3"/>
    <w:uiPriority w:val="99"/>
    <w:semiHidden/>
    <w:unhideWhenUsed/>
    <w:rsid w:val="00494E8C"/>
  </w:style>
  <w:style w:type="paragraph" w:customStyle="1" w:styleId="font5">
    <w:name w:val="font5"/>
    <w:basedOn w:val="a0"/>
    <w:uiPriority w:val="39"/>
    <w:qFormat/>
    <w:rsid w:val="00714794"/>
    <w:pPr>
      <w:spacing w:before="100" w:beforeAutospacing="1" w:after="100" w:afterAutospacing="1"/>
    </w:pPr>
    <w:rPr>
      <w:rFonts w:ascii="Arial CYR" w:hAnsi="Arial CYR" w:cs="Arial CYR"/>
      <w:sz w:val="20"/>
      <w:szCs w:val="20"/>
    </w:rPr>
  </w:style>
  <w:style w:type="paragraph" w:customStyle="1" w:styleId="font6">
    <w:name w:val="font6"/>
    <w:basedOn w:val="a0"/>
    <w:uiPriority w:val="39"/>
    <w:qFormat/>
    <w:rsid w:val="00714794"/>
    <w:pPr>
      <w:spacing w:before="100" w:beforeAutospacing="1" w:after="100" w:afterAutospacing="1"/>
    </w:pPr>
    <w:rPr>
      <w:b/>
      <w:bCs/>
      <w:color w:val="333333"/>
    </w:rPr>
  </w:style>
  <w:style w:type="paragraph" w:customStyle="1" w:styleId="affff0">
    <w:name w:val="АНО"/>
    <w:basedOn w:val="a0"/>
    <w:qFormat/>
    <w:rsid w:val="00C8150F"/>
    <w:pPr>
      <w:jc w:val="center"/>
    </w:pPr>
    <w:rPr>
      <w:sz w:val="20"/>
      <w:szCs w:val="20"/>
    </w:rPr>
  </w:style>
  <w:style w:type="paragraph" w:customStyle="1" w:styleId="ConsCell">
    <w:name w:val="ConsCell"/>
    <w:uiPriority w:val="99"/>
    <w:qFormat/>
    <w:rsid w:val="00763982"/>
    <w:pPr>
      <w:widowControl w:val="0"/>
      <w:autoSpaceDE w:val="0"/>
      <w:autoSpaceDN w:val="0"/>
      <w:adjustRightInd w:val="0"/>
      <w:spacing w:after="0" w:line="240" w:lineRule="auto"/>
    </w:pPr>
    <w:rPr>
      <w:rFonts w:ascii="Consultant" w:eastAsia="Times New Roman" w:hAnsi="Consultant" w:cs="Consultant"/>
      <w:sz w:val="20"/>
      <w:szCs w:val="20"/>
      <w:lang w:eastAsia="ru-RU"/>
    </w:rPr>
  </w:style>
  <w:style w:type="table" w:customStyle="1" w:styleId="73">
    <w:name w:val="Сетка таблицы7"/>
    <w:basedOn w:val="a2"/>
    <w:next w:val="aff1"/>
    <w:uiPriority w:val="39"/>
    <w:rsid w:val="00904C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Маркерованный под формулой"/>
    <w:basedOn w:val="a0"/>
    <w:uiPriority w:val="99"/>
    <w:qFormat/>
    <w:rsid w:val="00FF5C20"/>
    <w:pPr>
      <w:numPr>
        <w:numId w:val="7"/>
      </w:numPr>
      <w:tabs>
        <w:tab w:val="left" w:pos="-247"/>
      </w:tabs>
      <w:jc w:val="both"/>
    </w:pPr>
    <w:rPr>
      <w:rFonts w:ascii="Arial" w:hAnsi="Arial"/>
      <w:szCs w:val="20"/>
    </w:rPr>
  </w:style>
  <w:style w:type="paragraph" w:customStyle="1" w:styleId="affff1">
    <w:name w:val="Формула"/>
    <w:basedOn w:val="af9"/>
    <w:uiPriority w:val="99"/>
    <w:qFormat/>
    <w:rsid w:val="00FF5C20"/>
    <w:pPr>
      <w:keepNext/>
      <w:spacing w:before="240"/>
      <w:ind w:left="0" w:firstLine="0"/>
      <w:jc w:val="center"/>
    </w:pPr>
    <w:rPr>
      <w:rFonts w:ascii="Arial" w:eastAsia="Times New Roman" w:hAnsi="Arial"/>
      <w:szCs w:val="20"/>
      <w:lang w:val="ru-RU" w:bidi="ar-SA"/>
    </w:rPr>
  </w:style>
  <w:style w:type="paragraph" w:customStyle="1" w:styleId="stdtext">
    <w:name w:val="stdtext"/>
    <w:basedOn w:val="a0"/>
    <w:uiPriority w:val="99"/>
    <w:qFormat/>
    <w:rsid w:val="00FF5C20"/>
    <w:pPr>
      <w:spacing w:before="100" w:beforeAutospacing="1" w:after="100" w:afterAutospacing="1"/>
      <w:jc w:val="both"/>
    </w:pPr>
    <w:rPr>
      <w:rFonts w:ascii="Arial" w:hAnsi="Arial" w:cs="Arial"/>
      <w:color w:val="FFFFFF"/>
      <w:sz w:val="25"/>
      <w:szCs w:val="25"/>
    </w:rPr>
  </w:style>
  <w:style w:type="paragraph" w:customStyle="1" w:styleId="Preformatted">
    <w:name w:val="Preformatted"/>
    <w:basedOn w:val="a0"/>
    <w:uiPriority w:val="99"/>
    <w:qFormat/>
    <w:rsid w:val="00FF5C20"/>
    <w:pPr>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pPr>
    <w:rPr>
      <w:rFonts w:ascii="Courier New" w:hAnsi="Courier New"/>
      <w:sz w:val="20"/>
      <w:szCs w:val="20"/>
    </w:rPr>
  </w:style>
  <w:style w:type="table" w:customStyle="1" w:styleId="82">
    <w:name w:val="Сетка таблицы8"/>
    <w:basedOn w:val="a2"/>
    <w:next w:val="aff1"/>
    <w:uiPriority w:val="59"/>
    <w:rsid w:val="008440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
    <w:name w:val="Сетка таблицы34"/>
    <w:basedOn w:val="a2"/>
    <w:uiPriority w:val="59"/>
    <w:rsid w:val="004122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2"/>
    <w:uiPriority w:val="59"/>
    <w:rsid w:val="006112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2"/>
    <w:uiPriority w:val="59"/>
    <w:rsid w:val="006112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
    <w:name w:val="Нет списка8"/>
    <w:next w:val="a3"/>
    <w:uiPriority w:val="99"/>
    <w:semiHidden/>
    <w:unhideWhenUsed/>
    <w:rsid w:val="0061127A"/>
  </w:style>
  <w:style w:type="table" w:customStyle="1" w:styleId="92">
    <w:name w:val="Сетка таблицы9"/>
    <w:basedOn w:val="a2"/>
    <w:next w:val="aff1"/>
    <w:uiPriority w:val="59"/>
    <w:rsid w:val="006112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2">
    <w:name w:val="Основной текст_"/>
    <w:basedOn w:val="a1"/>
    <w:link w:val="1f6"/>
    <w:locked/>
    <w:rsid w:val="0061127A"/>
    <w:rPr>
      <w:rFonts w:ascii="Times New Roman" w:eastAsia="Times New Roman" w:hAnsi="Times New Roman" w:cs="Times New Roman"/>
      <w:shd w:val="clear" w:color="auto" w:fill="FFFFFF"/>
    </w:rPr>
  </w:style>
  <w:style w:type="paragraph" w:customStyle="1" w:styleId="1f6">
    <w:name w:val="Основной текст1"/>
    <w:basedOn w:val="a0"/>
    <w:link w:val="affff2"/>
    <w:qFormat/>
    <w:rsid w:val="0061127A"/>
    <w:pPr>
      <w:widowControl w:val="0"/>
      <w:shd w:val="clear" w:color="auto" w:fill="FFFFFF"/>
      <w:spacing w:after="240" w:line="269" w:lineRule="exact"/>
      <w:jc w:val="center"/>
    </w:pPr>
    <w:rPr>
      <w:sz w:val="22"/>
      <w:szCs w:val="22"/>
      <w:lang w:eastAsia="en-US"/>
    </w:rPr>
  </w:style>
  <w:style w:type="paragraph" w:customStyle="1" w:styleId="FR2">
    <w:name w:val="FR2"/>
    <w:qFormat/>
    <w:rsid w:val="0061127A"/>
    <w:pPr>
      <w:widowControl w:val="0"/>
      <w:autoSpaceDE w:val="0"/>
      <w:autoSpaceDN w:val="0"/>
      <w:spacing w:after="0" w:line="300" w:lineRule="auto"/>
      <w:ind w:firstLine="720"/>
    </w:pPr>
    <w:rPr>
      <w:rFonts w:ascii="Arial" w:eastAsia="Times New Roman" w:hAnsi="Arial" w:cs="Arial"/>
      <w:lang w:eastAsia="ru-RU"/>
    </w:rPr>
  </w:style>
  <w:style w:type="numbering" w:customStyle="1" w:styleId="2">
    <w:name w:val="Стиль2"/>
    <w:uiPriority w:val="99"/>
    <w:rsid w:val="0061127A"/>
    <w:pPr>
      <w:numPr>
        <w:numId w:val="23"/>
      </w:numPr>
    </w:pPr>
  </w:style>
  <w:style w:type="character" w:customStyle="1" w:styleId="3c">
    <w:name w:val="Текст сноски Знак3"/>
    <w:aliases w:val="Table_Footnote_last Знак3,Текст сноски Знак1 Знак Знак3,Текст сноски Знак Знак Знак Знак2,Текст сноски Знак1 Знак Знак Знак Знак2,Текст сноски Знак Знак Знак Знак Знак Знак2,Текст сноски Знак1 Знак Знак Знак Знак Знак Знак2,Знак Знак3"/>
    <w:basedOn w:val="a1"/>
    <w:uiPriority w:val="99"/>
    <w:semiHidden/>
    <w:locked/>
    <w:rsid w:val="0061127A"/>
    <w:rPr>
      <w:rFonts w:asciiTheme="majorHAnsi" w:eastAsiaTheme="minorEastAsia" w:hAnsiTheme="majorHAnsi"/>
      <w:sz w:val="20"/>
      <w:szCs w:val="20"/>
      <w:lang w:val="en-US" w:bidi="en-US"/>
    </w:rPr>
  </w:style>
  <w:style w:type="character" w:customStyle="1" w:styleId="44">
    <w:name w:val="Текст сноски Знак4"/>
    <w:aliases w:val="Table_Footnote_last Знак4,Текст сноски Знак1 Знак Знак4,Текст сноски Знак Знак Знак Знак3,Текст сноски Знак1 Знак Знак Знак Знак3,Текст сноски Знак Знак Знак Знак Знак Знак3,Текст сноски Знак1 Знак Знак Знак Знак Знак Знак3,Знак Знак4"/>
    <w:basedOn w:val="a1"/>
    <w:uiPriority w:val="99"/>
    <w:semiHidden/>
    <w:locked/>
    <w:rsid w:val="0061127A"/>
    <w:rPr>
      <w:rFonts w:asciiTheme="majorHAnsi" w:eastAsiaTheme="minorEastAsia" w:hAnsiTheme="majorHAnsi"/>
      <w:sz w:val="20"/>
      <w:szCs w:val="20"/>
      <w:lang w:val="en-US" w:bidi="en-US"/>
    </w:rPr>
  </w:style>
  <w:style w:type="paragraph" w:customStyle="1" w:styleId="2c">
    <w:name w:val="Отчет_2"/>
    <w:basedOn w:val="a0"/>
    <w:rsid w:val="0061127A"/>
    <w:pPr>
      <w:spacing w:before="120"/>
      <w:jc w:val="both"/>
    </w:pPr>
    <w:rPr>
      <w:rFonts w:ascii="Baltica" w:hAnsi="Baltica"/>
      <w:szCs w:val="20"/>
    </w:rPr>
  </w:style>
  <w:style w:type="paragraph" w:customStyle="1" w:styleId="FR3">
    <w:name w:val="FR3"/>
    <w:rsid w:val="0061127A"/>
    <w:pPr>
      <w:widowControl w:val="0"/>
      <w:snapToGrid w:val="0"/>
      <w:spacing w:before="640" w:after="0" w:line="300" w:lineRule="auto"/>
      <w:ind w:left="2240" w:right="2200"/>
      <w:jc w:val="center"/>
    </w:pPr>
    <w:rPr>
      <w:rFonts w:ascii="Times New Roman" w:eastAsia="Times New Roman" w:hAnsi="Times New Roman" w:cs="Times New Roman"/>
      <w:b/>
      <w:sz w:val="28"/>
      <w:szCs w:val="20"/>
      <w:lang w:eastAsia="ru-RU"/>
    </w:rPr>
  </w:style>
  <w:style w:type="paragraph" w:customStyle="1" w:styleId="affff3">
    <w:name w:val="Стандарт с табуляцией"/>
    <w:basedOn w:val="a0"/>
    <w:rsid w:val="0061127A"/>
    <w:pPr>
      <w:tabs>
        <w:tab w:val="right" w:leader="dot" w:pos="9355"/>
      </w:tabs>
      <w:spacing w:after="80"/>
      <w:ind w:firstLine="709"/>
      <w:jc w:val="both"/>
    </w:pPr>
    <w:rPr>
      <w:kern w:val="22"/>
      <w:szCs w:val="20"/>
    </w:rPr>
  </w:style>
  <w:style w:type="paragraph" w:customStyle="1" w:styleId="affff4">
    <w:name w:val="Стандарт"/>
    <w:basedOn w:val="a0"/>
    <w:rsid w:val="0061127A"/>
    <w:pPr>
      <w:snapToGrid w:val="0"/>
      <w:spacing w:after="120" w:line="240" w:lineRule="exact"/>
      <w:ind w:right="113" w:firstLine="709"/>
      <w:jc w:val="both"/>
    </w:pPr>
    <w:rPr>
      <w:color w:val="000000"/>
      <w:kern w:val="22"/>
      <w:szCs w:val="20"/>
    </w:rPr>
  </w:style>
  <w:style w:type="numbering" w:customStyle="1" w:styleId="160">
    <w:name w:val="Нет списка16"/>
    <w:next w:val="a3"/>
    <w:uiPriority w:val="99"/>
    <w:semiHidden/>
    <w:unhideWhenUsed/>
    <w:rsid w:val="0061127A"/>
  </w:style>
  <w:style w:type="character" w:customStyle="1" w:styleId="af4">
    <w:name w:val="Абзац списка Знак"/>
    <w:basedOn w:val="a1"/>
    <w:link w:val="af3"/>
    <w:uiPriority w:val="34"/>
    <w:rsid w:val="0061127A"/>
    <w:rPr>
      <w:rFonts w:ascii="Times New Roman" w:eastAsiaTheme="minorEastAsia" w:hAnsi="Times New Roman" w:cs="Times New Roman"/>
      <w:sz w:val="24"/>
      <w:szCs w:val="24"/>
      <w:lang w:val="en-US" w:eastAsia="ru-RU"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42513">
      <w:bodyDiv w:val="1"/>
      <w:marLeft w:val="0"/>
      <w:marRight w:val="0"/>
      <w:marTop w:val="0"/>
      <w:marBottom w:val="0"/>
      <w:divBdr>
        <w:top w:val="none" w:sz="0" w:space="0" w:color="auto"/>
        <w:left w:val="none" w:sz="0" w:space="0" w:color="auto"/>
        <w:bottom w:val="none" w:sz="0" w:space="0" w:color="auto"/>
        <w:right w:val="none" w:sz="0" w:space="0" w:color="auto"/>
      </w:divBdr>
    </w:div>
    <w:div w:id="5525309">
      <w:bodyDiv w:val="1"/>
      <w:marLeft w:val="0"/>
      <w:marRight w:val="0"/>
      <w:marTop w:val="0"/>
      <w:marBottom w:val="0"/>
      <w:divBdr>
        <w:top w:val="none" w:sz="0" w:space="0" w:color="auto"/>
        <w:left w:val="none" w:sz="0" w:space="0" w:color="auto"/>
        <w:bottom w:val="none" w:sz="0" w:space="0" w:color="auto"/>
        <w:right w:val="none" w:sz="0" w:space="0" w:color="auto"/>
      </w:divBdr>
    </w:div>
    <w:div w:id="5982383">
      <w:bodyDiv w:val="1"/>
      <w:marLeft w:val="0"/>
      <w:marRight w:val="0"/>
      <w:marTop w:val="0"/>
      <w:marBottom w:val="0"/>
      <w:divBdr>
        <w:top w:val="none" w:sz="0" w:space="0" w:color="auto"/>
        <w:left w:val="none" w:sz="0" w:space="0" w:color="auto"/>
        <w:bottom w:val="none" w:sz="0" w:space="0" w:color="auto"/>
        <w:right w:val="none" w:sz="0" w:space="0" w:color="auto"/>
      </w:divBdr>
    </w:div>
    <w:div w:id="6836062">
      <w:bodyDiv w:val="1"/>
      <w:marLeft w:val="0"/>
      <w:marRight w:val="0"/>
      <w:marTop w:val="0"/>
      <w:marBottom w:val="0"/>
      <w:divBdr>
        <w:top w:val="none" w:sz="0" w:space="0" w:color="auto"/>
        <w:left w:val="none" w:sz="0" w:space="0" w:color="auto"/>
        <w:bottom w:val="none" w:sz="0" w:space="0" w:color="auto"/>
        <w:right w:val="none" w:sz="0" w:space="0" w:color="auto"/>
      </w:divBdr>
    </w:div>
    <w:div w:id="8021073">
      <w:bodyDiv w:val="1"/>
      <w:marLeft w:val="0"/>
      <w:marRight w:val="0"/>
      <w:marTop w:val="0"/>
      <w:marBottom w:val="0"/>
      <w:divBdr>
        <w:top w:val="none" w:sz="0" w:space="0" w:color="auto"/>
        <w:left w:val="none" w:sz="0" w:space="0" w:color="auto"/>
        <w:bottom w:val="none" w:sz="0" w:space="0" w:color="auto"/>
        <w:right w:val="none" w:sz="0" w:space="0" w:color="auto"/>
      </w:divBdr>
    </w:div>
    <w:div w:id="14817463">
      <w:bodyDiv w:val="1"/>
      <w:marLeft w:val="0"/>
      <w:marRight w:val="0"/>
      <w:marTop w:val="0"/>
      <w:marBottom w:val="0"/>
      <w:divBdr>
        <w:top w:val="none" w:sz="0" w:space="0" w:color="auto"/>
        <w:left w:val="none" w:sz="0" w:space="0" w:color="auto"/>
        <w:bottom w:val="none" w:sz="0" w:space="0" w:color="auto"/>
        <w:right w:val="none" w:sz="0" w:space="0" w:color="auto"/>
      </w:divBdr>
    </w:div>
    <w:div w:id="20716234">
      <w:bodyDiv w:val="1"/>
      <w:marLeft w:val="0"/>
      <w:marRight w:val="0"/>
      <w:marTop w:val="0"/>
      <w:marBottom w:val="0"/>
      <w:divBdr>
        <w:top w:val="none" w:sz="0" w:space="0" w:color="auto"/>
        <w:left w:val="none" w:sz="0" w:space="0" w:color="auto"/>
        <w:bottom w:val="none" w:sz="0" w:space="0" w:color="auto"/>
        <w:right w:val="none" w:sz="0" w:space="0" w:color="auto"/>
      </w:divBdr>
    </w:div>
    <w:div w:id="22023097">
      <w:bodyDiv w:val="1"/>
      <w:marLeft w:val="0"/>
      <w:marRight w:val="0"/>
      <w:marTop w:val="0"/>
      <w:marBottom w:val="0"/>
      <w:divBdr>
        <w:top w:val="none" w:sz="0" w:space="0" w:color="auto"/>
        <w:left w:val="none" w:sz="0" w:space="0" w:color="auto"/>
        <w:bottom w:val="none" w:sz="0" w:space="0" w:color="auto"/>
        <w:right w:val="none" w:sz="0" w:space="0" w:color="auto"/>
      </w:divBdr>
    </w:div>
    <w:div w:id="22748286">
      <w:bodyDiv w:val="1"/>
      <w:marLeft w:val="0"/>
      <w:marRight w:val="0"/>
      <w:marTop w:val="0"/>
      <w:marBottom w:val="0"/>
      <w:divBdr>
        <w:top w:val="none" w:sz="0" w:space="0" w:color="auto"/>
        <w:left w:val="none" w:sz="0" w:space="0" w:color="auto"/>
        <w:bottom w:val="none" w:sz="0" w:space="0" w:color="auto"/>
        <w:right w:val="none" w:sz="0" w:space="0" w:color="auto"/>
      </w:divBdr>
    </w:div>
    <w:div w:id="37514860">
      <w:bodyDiv w:val="1"/>
      <w:marLeft w:val="0"/>
      <w:marRight w:val="0"/>
      <w:marTop w:val="0"/>
      <w:marBottom w:val="0"/>
      <w:divBdr>
        <w:top w:val="none" w:sz="0" w:space="0" w:color="auto"/>
        <w:left w:val="none" w:sz="0" w:space="0" w:color="auto"/>
        <w:bottom w:val="none" w:sz="0" w:space="0" w:color="auto"/>
        <w:right w:val="none" w:sz="0" w:space="0" w:color="auto"/>
      </w:divBdr>
    </w:div>
    <w:div w:id="39744029">
      <w:bodyDiv w:val="1"/>
      <w:marLeft w:val="0"/>
      <w:marRight w:val="0"/>
      <w:marTop w:val="0"/>
      <w:marBottom w:val="0"/>
      <w:divBdr>
        <w:top w:val="none" w:sz="0" w:space="0" w:color="auto"/>
        <w:left w:val="none" w:sz="0" w:space="0" w:color="auto"/>
        <w:bottom w:val="none" w:sz="0" w:space="0" w:color="auto"/>
        <w:right w:val="none" w:sz="0" w:space="0" w:color="auto"/>
      </w:divBdr>
    </w:div>
    <w:div w:id="39866164">
      <w:bodyDiv w:val="1"/>
      <w:marLeft w:val="0"/>
      <w:marRight w:val="0"/>
      <w:marTop w:val="0"/>
      <w:marBottom w:val="0"/>
      <w:divBdr>
        <w:top w:val="none" w:sz="0" w:space="0" w:color="auto"/>
        <w:left w:val="none" w:sz="0" w:space="0" w:color="auto"/>
        <w:bottom w:val="none" w:sz="0" w:space="0" w:color="auto"/>
        <w:right w:val="none" w:sz="0" w:space="0" w:color="auto"/>
      </w:divBdr>
    </w:div>
    <w:div w:id="44333966">
      <w:bodyDiv w:val="1"/>
      <w:marLeft w:val="0"/>
      <w:marRight w:val="0"/>
      <w:marTop w:val="0"/>
      <w:marBottom w:val="0"/>
      <w:divBdr>
        <w:top w:val="none" w:sz="0" w:space="0" w:color="auto"/>
        <w:left w:val="none" w:sz="0" w:space="0" w:color="auto"/>
        <w:bottom w:val="none" w:sz="0" w:space="0" w:color="auto"/>
        <w:right w:val="none" w:sz="0" w:space="0" w:color="auto"/>
      </w:divBdr>
    </w:div>
    <w:div w:id="46808845">
      <w:bodyDiv w:val="1"/>
      <w:marLeft w:val="0"/>
      <w:marRight w:val="0"/>
      <w:marTop w:val="0"/>
      <w:marBottom w:val="0"/>
      <w:divBdr>
        <w:top w:val="none" w:sz="0" w:space="0" w:color="auto"/>
        <w:left w:val="none" w:sz="0" w:space="0" w:color="auto"/>
        <w:bottom w:val="none" w:sz="0" w:space="0" w:color="auto"/>
        <w:right w:val="none" w:sz="0" w:space="0" w:color="auto"/>
      </w:divBdr>
    </w:div>
    <w:div w:id="49422729">
      <w:bodyDiv w:val="1"/>
      <w:marLeft w:val="0"/>
      <w:marRight w:val="0"/>
      <w:marTop w:val="0"/>
      <w:marBottom w:val="0"/>
      <w:divBdr>
        <w:top w:val="none" w:sz="0" w:space="0" w:color="auto"/>
        <w:left w:val="none" w:sz="0" w:space="0" w:color="auto"/>
        <w:bottom w:val="none" w:sz="0" w:space="0" w:color="auto"/>
        <w:right w:val="none" w:sz="0" w:space="0" w:color="auto"/>
      </w:divBdr>
    </w:div>
    <w:div w:id="54744768">
      <w:bodyDiv w:val="1"/>
      <w:marLeft w:val="0"/>
      <w:marRight w:val="0"/>
      <w:marTop w:val="0"/>
      <w:marBottom w:val="0"/>
      <w:divBdr>
        <w:top w:val="none" w:sz="0" w:space="0" w:color="auto"/>
        <w:left w:val="none" w:sz="0" w:space="0" w:color="auto"/>
        <w:bottom w:val="none" w:sz="0" w:space="0" w:color="auto"/>
        <w:right w:val="none" w:sz="0" w:space="0" w:color="auto"/>
      </w:divBdr>
    </w:div>
    <w:div w:id="58359562">
      <w:bodyDiv w:val="1"/>
      <w:marLeft w:val="0"/>
      <w:marRight w:val="0"/>
      <w:marTop w:val="0"/>
      <w:marBottom w:val="0"/>
      <w:divBdr>
        <w:top w:val="none" w:sz="0" w:space="0" w:color="auto"/>
        <w:left w:val="none" w:sz="0" w:space="0" w:color="auto"/>
        <w:bottom w:val="none" w:sz="0" w:space="0" w:color="auto"/>
        <w:right w:val="none" w:sz="0" w:space="0" w:color="auto"/>
      </w:divBdr>
      <w:divsChild>
        <w:div w:id="165750856">
          <w:marLeft w:val="0"/>
          <w:marRight w:val="0"/>
          <w:marTop w:val="0"/>
          <w:marBottom w:val="0"/>
          <w:divBdr>
            <w:top w:val="none" w:sz="0" w:space="0" w:color="auto"/>
            <w:left w:val="none" w:sz="0" w:space="0" w:color="auto"/>
            <w:bottom w:val="none" w:sz="0" w:space="0" w:color="auto"/>
            <w:right w:val="none" w:sz="0" w:space="0" w:color="auto"/>
          </w:divBdr>
        </w:div>
      </w:divsChild>
    </w:div>
    <w:div w:id="59449732">
      <w:bodyDiv w:val="1"/>
      <w:marLeft w:val="0"/>
      <w:marRight w:val="0"/>
      <w:marTop w:val="0"/>
      <w:marBottom w:val="0"/>
      <w:divBdr>
        <w:top w:val="none" w:sz="0" w:space="0" w:color="auto"/>
        <w:left w:val="none" w:sz="0" w:space="0" w:color="auto"/>
        <w:bottom w:val="none" w:sz="0" w:space="0" w:color="auto"/>
        <w:right w:val="none" w:sz="0" w:space="0" w:color="auto"/>
      </w:divBdr>
    </w:div>
    <w:div w:id="60642037">
      <w:bodyDiv w:val="1"/>
      <w:marLeft w:val="0"/>
      <w:marRight w:val="0"/>
      <w:marTop w:val="0"/>
      <w:marBottom w:val="0"/>
      <w:divBdr>
        <w:top w:val="none" w:sz="0" w:space="0" w:color="auto"/>
        <w:left w:val="none" w:sz="0" w:space="0" w:color="auto"/>
        <w:bottom w:val="none" w:sz="0" w:space="0" w:color="auto"/>
        <w:right w:val="none" w:sz="0" w:space="0" w:color="auto"/>
      </w:divBdr>
    </w:div>
    <w:div w:id="65494751">
      <w:bodyDiv w:val="1"/>
      <w:marLeft w:val="0"/>
      <w:marRight w:val="0"/>
      <w:marTop w:val="0"/>
      <w:marBottom w:val="0"/>
      <w:divBdr>
        <w:top w:val="none" w:sz="0" w:space="0" w:color="auto"/>
        <w:left w:val="none" w:sz="0" w:space="0" w:color="auto"/>
        <w:bottom w:val="none" w:sz="0" w:space="0" w:color="auto"/>
        <w:right w:val="none" w:sz="0" w:space="0" w:color="auto"/>
      </w:divBdr>
    </w:div>
    <w:div w:id="65500863">
      <w:bodyDiv w:val="1"/>
      <w:marLeft w:val="0"/>
      <w:marRight w:val="0"/>
      <w:marTop w:val="0"/>
      <w:marBottom w:val="0"/>
      <w:divBdr>
        <w:top w:val="none" w:sz="0" w:space="0" w:color="auto"/>
        <w:left w:val="none" w:sz="0" w:space="0" w:color="auto"/>
        <w:bottom w:val="none" w:sz="0" w:space="0" w:color="auto"/>
        <w:right w:val="none" w:sz="0" w:space="0" w:color="auto"/>
      </w:divBdr>
    </w:div>
    <w:div w:id="68583036">
      <w:bodyDiv w:val="1"/>
      <w:marLeft w:val="0"/>
      <w:marRight w:val="0"/>
      <w:marTop w:val="0"/>
      <w:marBottom w:val="0"/>
      <w:divBdr>
        <w:top w:val="none" w:sz="0" w:space="0" w:color="auto"/>
        <w:left w:val="none" w:sz="0" w:space="0" w:color="auto"/>
        <w:bottom w:val="none" w:sz="0" w:space="0" w:color="auto"/>
        <w:right w:val="none" w:sz="0" w:space="0" w:color="auto"/>
      </w:divBdr>
    </w:div>
    <w:div w:id="70081637">
      <w:bodyDiv w:val="1"/>
      <w:marLeft w:val="0"/>
      <w:marRight w:val="0"/>
      <w:marTop w:val="0"/>
      <w:marBottom w:val="0"/>
      <w:divBdr>
        <w:top w:val="none" w:sz="0" w:space="0" w:color="auto"/>
        <w:left w:val="none" w:sz="0" w:space="0" w:color="auto"/>
        <w:bottom w:val="none" w:sz="0" w:space="0" w:color="auto"/>
        <w:right w:val="none" w:sz="0" w:space="0" w:color="auto"/>
      </w:divBdr>
    </w:div>
    <w:div w:id="70279962">
      <w:bodyDiv w:val="1"/>
      <w:marLeft w:val="0"/>
      <w:marRight w:val="0"/>
      <w:marTop w:val="0"/>
      <w:marBottom w:val="0"/>
      <w:divBdr>
        <w:top w:val="none" w:sz="0" w:space="0" w:color="auto"/>
        <w:left w:val="none" w:sz="0" w:space="0" w:color="auto"/>
        <w:bottom w:val="none" w:sz="0" w:space="0" w:color="auto"/>
        <w:right w:val="none" w:sz="0" w:space="0" w:color="auto"/>
      </w:divBdr>
    </w:div>
    <w:div w:id="70584458">
      <w:bodyDiv w:val="1"/>
      <w:marLeft w:val="0"/>
      <w:marRight w:val="0"/>
      <w:marTop w:val="0"/>
      <w:marBottom w:val="0"/>
      <w:divBdr>
        <w:top w:val="none" w:sz="0" w:space="0" w:color="auto"/>
        <w:left w:val="none" w:sz="0" w:space="0" w:color="auto"/>
        <w:bottom w:val="none" w:sz="0" w:space="0" w:color="auto"/>
        <w:right w:val="none" w:sz="0" w:space="0" w:color="auto"/>
      </w:divBdr>
    </w:div>
    <w:div w:id="71586372">
      <w:bodyDiv w:val="1"/>
      <w:marLeft w:val="0"/>
      <w:marRight w:val="0"/>
      <w:marTop w:val="0"/>
      <w:marBottom w:val="0"/>
      <w:divBdr>
        <w:top w:val="none" w:sz="0" w:space="0" w:color="auto"/>
        <w:left w:val="none" w:sz="0" w:space="0" w:color="auto"/>
        <w:bottom w:val="none" w:sz="0" w:space="0" w:color="auto"/>
        <w:right w:val="none" w:sz="0" w:space="0" w:color="auto"/>
      </w:divBdr>
    </w:div>
    <w:div w:id="71855536">
      <w:bodyDiv w:val="1"/>
      <w:marLeft w:val="0"/>
      <w:marRight w:val="0"/>
      <w:marTop w:val="0"/>
      <w:marBottom w:val="0"/>
      <w:divBdr>
        <w:top w:val="none" w:sz="0" w:space="0" w:color="auto"/>
        <w:left w:val="none" w:sz="0" w:space="0" w:color="auto"/>
        <w:bottom w:val="none" w:sz="0" w:space="0" w:color="auto"/>
        <w:right w:val="none" w:sz="0" w:space="0" w:color="auto"/>
      </w:divBdr>
    </w:div>
    <w:div w:id="73093663">
      <w:bodyDiv w:val="1"/>
      <w:marLeft w:val="0"/>
      <w:marRight w:val="0"/>
      <w:marTop w:val="0"/>
      <w:marBottom w:val="0"/>
      <w:divBdr>
        <w:top w:val="none" w:sz="0" w:space="0" w:color="auto"/>
        <w:left w:val="none" w:sz="0" w:space="0" w:color="auto"/>
        <w:bottom w:val="none" w:sz="0" w:space="0" w:color="auto"/>
        <w:right w:val="none" w:sz="0" w:space="0" w:color="auto"/>
      </w:divBdr>
    </w:div>
    <w:div w:id="77486318">
      <w:bodyDiv w:val="1"/>
      <w:marLeft w:val="0"/>
      <w:marRight w:val="0"/>
      <w:marTop w:val="0"/>
      <w:marBottom w:val="0"/>
      <w:divBdr>
        <w:top w:val="none" w:sz="0" w:space="0" w:color="auto"/>
        <w:left w:val="none" w:sz="0" w:space="0" w:color="auto"/>
        <w:bottom w:val="none" w:sz="0" w:space="0" w:color="auto"/>
        <w:right w:val="none" w:sz="0" w:space="0" w:color="auto"/>
      </w:divBdr>
    </w:div>
    <w:div w:id="80684066">
      <w:bodyDiv w:val="1"/>
      <w:marLeft w:val="0"/>
      <w:marRight w:val="0"/>
      <w:marTop w:val="0"/>
      <w:marBottom w:val="0"/>
      <w:divBdr>
        <w:top w:val="none" w:sz="0" w:space="0" w:color="auto"/>
        <w:left w:val="none" w:sz="0" w:space="0" w:color="auto"/>
        <w:bottom w:val="none" w:sz="0" w:space="0" w:color="auto"/>
        <w:right w:val="none" w:sz="0" w:space="0" w:color="auto"/>
      </w:divBdr>
    </w:div>
    <w:div w:id="81025190">
      <w:bodyDiv w:val="1"/>
      <w:marLeft w:val="0"/>
      <w:marRight w:val="0"/>
      <w:marTop w:val="0"/>
      <w:marBottom w:val="0"/>
      <w:divBdr>
        <w:top w:val="none" w:sz="0" w:space="0" w:color="auto"/>
        <w:left w:val="none" w:sz="0" w:space="0" w:color="auto"/>
        <w:bottom w:val="none" w:sz="0" w:space="0" w:color="auto"/>
        <w:right w:val="none" w:sz="0" w:space="0" w:color="auto"/>
      </w:divBdr>
    </w:div>
    <w:div w:id="82338958">
      <w:bodyDiv w:val="1"/>
      <w:marLeft w:val="0"/>
      <w:marRight w:val="0"/>
      <w:marTop w:val="0"/>
      <w:marBottom w:val="0"/>
      <w:divBdr>
        <w:top w:val="none" w:sz="0" w:space="0" w:color="auto"/>
        <w:left w:val="none" w:sz="0" w:space="0" w:color="auto"/>
        <w:bottom w:val="none" w:sz="0" w:space="0" w:color="auto"/>
        <w:right w:val="none" w:sz="0" w:space="0" w:color="auto"/>
      </w:divBdr>
    </w:div>
    <w:div w:id="83380059">
      <w:bodyDiv w:val="1"/>
      <w:marLeft w:val="0"/>
      <w:marRight w:val="0"/>
      <w:marTop w:val="0"/>
      <w:marBottom w:val="0"/>
      <w:divBdr>
        <w:top w:val="none" w:sz="0" w:space="0" w:color="auto"/>
        <w:left w:val="none" w:sz="0" w:space="0" w:color="auto"/>
        <w:bottom w:val="none" w:sz="0" w:space="0" w:color="auto"/>
        <w:right w:val="none" w:sz="0" w:space="0" w:color="auto"/>
      </w:divBdr>
    </w:div>
    <w:div w:id="85619303">
      <w:bodyDiv w:val="1"/>
      <w:marLeft w:val="0"/>
      <w:marRight w:val="0"/>
      <w:marTop w:val="0"/>
      <w:marBottom w:val="0"/>
      <w:divBdr>
        <w:top w:val="none" w:sz="0" w:space="0" w:color="auto"/>
        <w:left w:val="none" w:sz="0" w:space="0" w:color="auto"/>
        <w:bottom w:val="none" w:sz="0" w:space="0" w:color="auto"/>
        <w:right w:val="none" w:sz="0" w:space="0" w:color="auto"/>
      </w:divBdr>
    </w:div>
    <w:div w:id="86969673">
      <w:bodyDiv w:val="1"/>
      <w:marLeft w:val="0"/>
      <w:marRight w:val="0"/>
      <w:marTop w:val="0"/>
      <w:marBottom w:val="0"/>
      <w:divBdr>
        <w:top w:val="none" w:sz="0" w:space="0" w:color="auto"/>
        <w:left w:val="none" w:sz="0" w:space="0" w:color="auto"/>
        <w:bottom w:val="none" w:sz="0" w:space="0" w:color="auto"/>
        <w:right w:val="none" w:sz="0" w:space="0" w:color="auto"/>
      </w:divBdr>
    </w:div>
    <w:div w:id="90858877">
      <w:bodyDiv w:val="1"/>
      <w:marLeft w:val="0"/>
      <w:marRight w:val="0"/>
      <w:marTop w:val="0"/>
      <w:marBottom w:val="0"/>
      <w:divBdr>
        <w:top w:val="none" w:sz="0" w:space="0" w:color="auto"/>
        <w:left w:val="none" w:sz="0" w:space="0" w:color="auto"/>
        <w:bottom w:val="none" w:sz="0" w:space="0" w:color="auto"/>
        <w:right w:val="none" w:sz="0" w:space="0" w:color="auto"/>
      </w:divBdr>
    </w:div>
    <w:div w:id="92634716">
      <w:bodyDiv w:val="1"/>
      <w:marLeft w:val="0"/>
      <w:marRight w:val="0"/>
      <w:marTop w:val="0"/>
      <w:marBottom w:val="0"/>
      <w:divBdr>
        <w:top w:val="none" w:sz="0" w:space="0" w:color="auto"/>
        <w:left w:val="none" w:sz="0" w:space="0" w:color="auto"/>
        <w:bottom w:val="none" w:sz="0" w:space="0" w:color="auto"/>
        <w:right w:val="none" w:sz="0" w:space="0" w:color="auto"/>
      </w:divBdr>
      <w:divsChild>
        <w:div w:id="4727184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014747">
      <w:bodyDiv w:val="1"/>
      <w:marLeft w:val="0"/>
      <w:marRight w:val="0"/>
      <w:marTop w:val="0"/>
      <w:marBottom w:val="0"/>
      <w:divBdr>
        <w:top w:val="none" w:sz="0" w:space="0" w:color="auto"/>
        <w:left w:val="none" w:sz="0" w:space="0" w:color="auto"/>
        <w:bottom w:val="none" w:sz="0" w:space="0" w:color="auto"/>
        <w:right w:val="none" w:sz="0" w:space="0" w:color="auto"/>
      </w:divBdr>
    </w:div>
    <w:div w:id="94595627">
      <w:bodyDiv w:val="1"/>
      <w:marLeft w:val="0"/>
      <w:marRight w:val="0"/>
      <w:marTop w:val="0"/>
      <w:marBottom w:val="0"/>
      <w:divBdr>
        <w:top w:val="none" w:sz="0" w:space="0" w:color="auto"/>
        <w:left w:val="none" w:sz="0" w:space="0" w:color="auto"/>
        <w:bottom w:val="none" w:sz="0" w:space="0" w:color="auto"/>
        <w:right w:val="none" w:sz="0" w:space="0" w:color="auto"/>
      </w:divBdr>
    </w:div>
    <w:div w:id="100692251">
      <w:bodyDiv w:val="1"/>
      <w:marLeft w:val="0"/>
      <w:marRight w:val="0"/>
      <w:marTop w:val="0"/>
      <w:marBottom w:val="0"/>
      <w:divBdr>
        <w:top w:val="none" w:sz="0" w:space="0" w:color="auto"/>
        <w:left w:val="none" w:sz="0" w:space="0" w:color="auto"/>
        <w:bottom w:val="none" w:sz="0" w:space="0" w:color="auto"/>
        <w:right w:val="none" w:sz="0" w:space="0" w:color="auto"/>
      </w:divBdr>
    </w:div>
    <w:div w:id="101654378">
      <w:bodyDiv w:val="1"/>
      <w:marLeft w:val="0"/>
      <w:marRight w:val="0"/>
      <w:marTop w:val="0"/>
      <w:marBottom w:val="0"/>
      <w:divBdr>
        <w:top w:val="none" w:sz="0" w:space="0" w:color="auto"/>
        <w:left w:val="none" w:sz="0" w:space="0" w:color="auto"/>
        <w:bottom w:val="none" w:sz="0" w:space="0" w:color="auto"/>
        <w:right w:val="none" w:sz="0" w:space="0" w:color="auto"/>
      </w:divBdr>
    </w:div>
    <w:div w:id="103771818">
      <w:bodyDiv w:val="1"/>
      <w:marLeft w:val="0"/>
      <w:marRight w:val="0"/>
      <w:marTop w:val="0"/>
      <w:marBottom w:val="0"/>
      <w:divBdr>
        <w:top w:val="none" w:sz="0" w:space="0" w:color="auto"/>
        <w:left w:val="none" w:sz="0" w:space="0" w:color="auto"/>
        <w:bottom w:val="none" w:sz="0" w:space="0" w:color="auto"/>
        <w:right w:val="none" w:sz="0" w:space="0" w:color="auto"/>
      </w:divBdr>
    </w:div>
    <w:div w:id="103964372">
      <w:bodyDiv w:val="1"/>
      <w:marLeft w:val="0"/>
      <w:marRight w:val="0"/>
      <w:marTop w:val="0"/>
      <w:marBottom w:val="0"/>
      <w:divBdr>
        <w:top w:val="none" w:sz="0" w:space="0" w:color="auto"/>
        <w:left w:val="none" w:sz="0" w:space="0" w:color="auto"/>
        <w:bottom w:val="none" w:sz="0" w:space="0" w:color="auto"/>
        <w:right w:val="none" w:sz="0" w:space="0" w:color="auto"/>
      </w:divBdr>
    </w:div>
    <w:div w:id="110127758">
      <w:bodyDiv w:val="1"/>
      <w:marLeft w:val="0"/>
      <w:marRight w:val="0"/>
      <w:marTop w:val="0"/>
      <w:marBottom w:val="0"/>
      <w:divBdr>
        <w:top w:val="none" w:sz="0" w:space="0" w:color="auto"/>
        <w:left w:val="none" w:sz="0" w:space="0" w:color="auto"/>
        <w:bottom w:val="none" w:sz="0" w:space="0" w:color="auto"/>
        <w:right w:val="none" w:sz="0" w:space="0" w:color="auto"/>
      </w:divBdr>
    </w:div>
    <w:div w:id="111100523">
      <w:bodyDiv w:val="1"/>
      <w:marLeft w:val="0"/>
      <w:marRight w:val="0"/>
      <w:marTop w:val="0"/>
      <w:marBottom w:val="0"/>
      <w:divBdr>
        <w:top w:val="none" w:sz="0" w:space="0" w:color="auto"/>
        <w:left w:val="none" w:sz="0" w:space="0" w:color="auto"/>
        <w:bottom w:val="none" w:sz="0" w:space="0" w:color="auto"/>
        <w:right w:val="none" w:sz="0" w:space="0" w:color="auto"/>
      </w:divBdr>
    </w:div>
    <w:div w:id="114058587">
      <w:bodyDiv w:val="1"/>
      <w:marLeft w:val="0"/>
      <w:marRight w:val="0"/>
      <w:marTop w:val="0"/>
      <w:marBottom w:val="0"/>
      <w:divBdr>
        <w:top w:val="none" w:sz="0" w:space="0" w:color="auto"/>
        <w:left w:val="none" w:sz="0" w:space="0" w:color="auto"/>
        <w:bottom w:val="none" w:sz="0" w:space="0" w:color="auto"/>
        <w:right w:val="none" w:sz="0" w:space="0" w:color="auto"/>
      </w:divBdr>
    </w:div>
    <w:div w:id="117451202">
      <w:bodyDiv w:val="1"/>
      <w:marLeft w:val="0"/>
      <w:marRight w:val="0"/>
      <w:marTop w:val="0"/>
      <w:marBottom w:val="0"/>
      <w:divBdr>
        <w:top w:val="none" w:sz="0" w:space="0" w:color="auto"/>
        <w:left w:val="none" w:sz="0" w:space="0" w:color="auto"/>
        <w:bottom w:val="none" w:sz="0" w:space="0" w:color="auto"/>
        <w:right w:val="none" w:sz="0" w:space="0" w:color="auto"/>
      </w:divBdr>
    </w:div>
    <w:div w:id="119082045">
      <w:bodyDiv w:val="1"/>
      <w:marLeft w:val="0"/>
      <w:marRight w:val="0"/>
      <w:marTop w:val="0"/>
      <w:marBottom w:val="0"/>
      <w:divBdr>
        <w:top w:val="none" w:sz="0" w:space="0" w:color="auto"/>
        <w:left w:val="none" w:sz="0" w:space="0" w:color="auto"/>
        <w:bottom w:val="none" w:sz="0" w:space="0" w:color="auto"/>
        <w:right w:val="none" w:sz="0" w:space="0" w:color="auto"/>
      </w:divBdr>
    </w:div>
    <w:div w:id="120153280">
      <w:bodyDiv w:val="1"/>
      <w:marLeft w:val="0"/>
      <w:marRight w:val="0"/>
      <w:marTop w:val="0"/>
      <w:marBottom w:val="0"/>
      <w:divBdr>
        <w:top w:val="none" w:sz="0" w:space="0" w:color="auto"/>
        <w:left w:val="none" w:sz="0" w:space="0" w:color="auto"/>
        <w:bottom w:val="none" w:sz="0" w:space="0" w:color="auto"/>
        <w:right w:val="none" w:sz="0" w:space="0" w:color="auto"/>
      </w:divBdr>
    </w:div>
    <w:div w:id="121775539">
      <w:bodyDiv w:val="1"/>
      <w:marLeft w:val="0"/>
      <w:marRight w:val="0"/>
      <w:marTop w:val="0"/>
      <w:marBottom w:val="0"/>
      <w:divBdr>
        <w:top w:val="none" w:sz="0" w:space="0" w:color="auto"/>
        <w:left w:val="none" w:sz="0" w:space="0" w:color="auto"/>
        <w:bottom w:val="none" w:sz="0" w:space="0" w:color="auto"/>
        <w:right w:val="none" w:sz="0" w:space="0" w:color="auto"/>
      </w:divBdr>
    </w:div>
    <w:div w:id="124587073">
      <w:bodyDiv w:val="1"/>
      <w:marLeft w:val="0"/>
      <w:marRight w:val="0"/>
      <w:marTop w:val="0"/>
      <w:marBottom w:val="0"/>
      <w:divBdr>
        <w:top w:val="none" w:sz="0" w:space="0" w:color="auto"/>
        <w:left w:val="none" w:sz="0" w:space="0" w:color="auto"/>
        <w:bottom w:val="none" w:sz="0" w:space="0" w:color="auto"/>
        <w:right w:val="none" w:sz="0" w:space="0" w:color="auto"/>
      </w:divBdr>
      <w:divsChild>
        <w:div w:id="729578178">
          <w:marLeft w:val="0"/>
          <w:marRight w:val="0"/>
          <w:marTop w:val="0"/>
          <w:marBottom w:val="0"/>
          <w:divBdr>
            <w:top w:val="none" w:sz="0" w:space="0" w:color="auto"/>
            <w:left w:val="none" w:sz="0" w:space="0" w:color="auto"/>
            <w:bottom w:val="none" w:sz="0" w:space="0" w:color="auto"/>
            <w:right w:val="none" w:sz="0" w:space="0" w:color="auto"/>
          </w:divBdr>
        </w:div>
      </w:divsChild>
    </w:div>
    <w:div w:id="126169664">
      <w:bodyDiv w:val="1"/>
      <w:marLeft w:val="0"/>
      <w:marRight w:val="0"/>
      <w:marTop w:val="0"/>
      <w:marBottom w:val="0"/>
      <w:divBdr>
        <w:top w:val="none" w:sz="0" w:space="0" w:color="auto"/>
        <w:left w:val="none" w:sz="0" w:space="0" w:color="auto"/>
        <w:bottom w:val="none" w:sz="0" w:space="0" w:color="auto"/>
        <w:right w:val="none" w:sz="0" w:space="0" w:color="auto"/>
      </w:divBdr>
    </w:div>
    <w:div w:id="128015367">
      <w:bodyDiv w:val="1"/>
      <w:marLeft w:val="0"/>
      <w:marRight w:val="0"/>
      <w:marTop w:val="0"/>
      <w:marBottom w:val="0"/>
      <w:divBdr>
        <w:top w:val="none" w:sz="0" w:space="0" w:color="auto"/>
        <w:left w:val="none" w:sz="0" w:space="0" w:color="auto"/>
        <w:bottom w:val="none" w:sz="0" w:space="0" w:color="auto"/>
        <w:right w:val="none" w:sz="0" w:space="0" w:color="auto"/>
      </w:divBdr>
    </w:div>
    <w:div w:id="128085908">
      <w:bodyDiv w:val="1"/>
      <w:marLeft w:val="0"/>
      <w:marRight w:val="0"/>
      <w:marTop w:val="0"/>
      <w:marBottom w:val="0"/>
      <w:divBdr>
        <w:top w:val="none" w:sz="0" w:space="0" w:color="auto"/>
        <w:left w:val="none" w:sz="0" w:space="0" w:color="auto"/>
        <w:bottom w:val="none" w:sz="0" w:space="0" w:color="auto"/>
        <w:right w:val="none" w:sz="0" w:space="0" w:color="auto"/>
      </w:divBdr>
    </w:div>
    <w:div w:id="128400250">
      <w:bodyDiv w:val="1"/>
      <w:marLeft w:val="0"/>
      <w:marRight w:val="0"/>
      <w:marTop w:val="0"/>
      <w:marBottom w:val="0"/>
      <w:divBdr>
        <w:top w:val="none" w:sz="0" w:space="0" w:color="auto"/>
        <w:left w:val="none" w:sz="0" w:space="0" w:color="auto"/>
        <w:bottom w:val="none" w:sz="0" w:space="0" w:color="auto"/>
        <w:right w:val="none" w:sz="0" w:space="0" w:color="auto"/>
      </w:divBdr>
    </w:div>
    <w:div w:id="130365559">
      <w:bodyDiv w:val="1"/>
      <w:marLeft w:val="0"/>
      <w:marRight w:val="0"/>
      <w:marTop w:val="0"/>
      <w:marBottom w:val="0"/>
      <w:divBdr>
        <w:top w:val="none" w:sz="0" w:space="0" w:color="auto"/>
        <w:left w:val="none" w:sz="0" w:space="0" w:color="auto"/>
        <w:bottom w:val="none" w:sz="0" w:space="0" w:color="auto"/>
        <w:right w:val="none" w:sz="0" w:space="0" w:color="auto"/>
      </w:divBdr>
    </w:div>
    <w:div w:id="137039201">
      <w:bodyDiv w:val="1"/>
      <w:marLeft w:val="0"/>
      <w:marRight w:val="0"/>
      <w:marTop w:val="0"/>
      <w:marBottom w:val="0"/>
      <w:divBdr>
        <w:top w:val="none" w:sz="0" w:space="0" w:color="auto"/>
        <w:left w:val="none" w:sz="0" w:space="0" w:color="auto"/>
        <w:bottom w:val="none" w:sz="0" w:space="0" w:color="auto"/>
        <w:right w:val="none" w:sz="0" w:space="0" w:color="auto"/>
      </w:divBdr>
    </w:div>
    <w:div w:id="138767226">
      <w:bodyDiv w:val="1"/>
      <w:marLeft w:val="0"/>
      <w:marRight w:val="0"/>
      <w:marTop w:val="0"/>
      <w:marBottom w:val="0"/>
      <w:divBdr>
        <w:top w:val="none" w:sz="0" w:space="0" w:color="auto"/>
        <w:left w:val="none" w:sz="0" w:space="0" w:color="auto"/>
        <w:bottom w:val="none" w:sz="0" w:space="0" w:color="auto"/>
        <w:right w:val="none" w:sz="0" w:space="0" w:color="auto"/>
      </w:divBdr>
    </w:div>
    <w:div w:id="139347326">
      <w:bodyDiv w:val="1"/>
      <w:marLeft w:val="0"/>
      <w:marRight w:val="0"/>
      <w:marTop w:val="0"/>
      <w:marBottom w:val="0"/>
      <w:divBdr>
        <w:top w:val="none" w:sz="0" w:space="0" w:color="auto"/>
        <w:left w:val="none" w:sz="0" w:space="0" w:color="auto"/>
        <w:bottom w:val="none" w:sz="0" w:space="0" w:color="auto"/>
        <w:right w:val="none" w:sz="0" w:space="0" w:color="auto"/>
      </w:divBdr>
    </w:div>
    <w:div w:id="143813407">
      <w:bodyDiv w:val="1"/>
      <w:marLeft w:val="0"/>
      <w:marRight w:val="0"/>
      <w:marTop w:val="0"/>
      <w:marBottom w:val="0"/>
      <w:divBdr>
        <w:top w:val="none" w:sz="0" w:space="0" w:color="auto"/>
        <w:left w:val="none" w:sz="0" w:space="0" w:color="auto"/>
        <w:bottom w:val="none" w:sz="0" w:space="0" w:color="auto"/>
        <w:right w:val="none" w:sz="0" w:space="0" w:color="auto"/>
      </w:divBdr>
      <w:divsChild>
        <w:div w:id="58793930">
          <w:marLeft w:val="0"/>
          <w:marRight w:val="0"/>
          <w:marTop w:val="0"/>
          <w:marBottom w:val="0"/>
          <w:divBdr>
            <w:top w:val="none" w:sz="0" w:space="0" w:color="auto"/>
            <w:left w:val="none" w:sz="0" w:space="0" w:color="auto"/>
            <w:bottom w:val="none" w:sz="0" w:space="0" w:color="auto"/>
            <w:right w:val="none" w:sz="0" w:space="0" w:color="auto"/>
          </w:divBdr>
          <w:divsChild>
            <w:div w:id="1145583862">
              <w:marLeft w:val="6000"/>
              <w:marRight w:val="0"/>
              <w:marTop w:val="0"/>
              <w:marBottom w:val="0"/>
              <w:divBdr>
                <w:top w:val="none" w:sz="0" w:space="0" w:color="auto"/>
                <w:left w:val="none" w:sz="0" w:space="0" w:color="auto"/>
                <w:bottom w:val="none" w:sz="0" w:space="0" w:color="auto"/>
                <w:right w:val="none" w:sz="0" w:space="0" w:color="auto"/>
              </w:divBdr>
            </w:div>
          </w:divsChild>
        </w:div>
        <w:div w:id="1666319242">
          <w:marLeft w:val="0"/>
          <w:marRight w:val="0"/>
          <w:marTop w:val="0"/>
          <w:marBottom w:val="0"/>
          <w:divBdr>
            <w:top w:val="none" w:sz="0" w:space="0" w:color="auto"/>
            <w:left w:val="none" w:sz="0" w:space="0" w:color="auto"/>
            <w:bottom w:val="none" w:sz="0" w:space="0" w:color="auto"/>
            <w:right w:val="none" w:sz="0" w:space="0" w:color="auto"/>
          </w:divBdr>
          <w:divsChild>
            <w:div w:id="783352817">
              <w:marLeft w:val="0"/>
              <w:marRight w:val="0"/>
              <w:marTop w:val="0"/>
              <w:marBottom w:val="0"/>
              <w:divBdr>
                <w:top w:val="none" w:sz="0" w:space="0" w:color="auto"/>
                <w:left w:val="none" w:sz="0" w:space="0" w:color="auto"/>
                <w:bottom w:val="none" w:sz="0" w:space="0" w:color="auto"/>
                <w:right w:val="none" w:sz="0" w:space="0" w:color="auto"/>
              </w:divBdr>
            </w:div>
            <w:div w:id="1384988936">
              <w:marLeft w:val="0"/>
              <w:marRight w:val="0"/>
              <w:marTop w:val="0"/>
              <w:marBottom w:val="0"/>
              <w:divBdr>
                <w:top w:val="none" w:sz="0" w:space="0" w:color="auto"/>
                <w:left w:val="none" w:sz="0" w:space="0" w:color="auto"/>
                <w:bottom w:val="none" w:sz="0" w:space="0" w:color="auto"/>
                <w:right w:val="none" w:sz="0" w:space="0" w:color="auto"/>
              </w:divBdr>
              <w:divsChild>
                <w:div w:id="292949001">
                  <w:marLeft w:val="0"/>
                  <w:marRight w:val="0"/>
                  <w:marTop w:val="0"/>
                  <w:marBottom w:val="0"/>
                  <w:divBdr>
                    <w:top w:val="none" w:sz="0" w:space="0" w:color="auto"/>
                    <w:left w:val="none" w:sz="0" w:space="0" w:color="auto"/>
                    <w:bottom w:val="none" w:sz="0" w:space="0" w:color="auto"/>
                    <w:right w:val="none" w:sz="0" w:space="0" w:color="auto"/>
                  </w:divBdr>
                  <w:divsChild>
                    <w:div w:id="956251114">
                      <w:marLeft w:val="0"/>
                      <w:marRight w:val="0"/>
                      <w:marTop w:val="0"/>
                      <w:marBottom w:val="0"/>
                      <w:divBdr>
                        <w:top w:val="none" w:sz="0" w:space="0" w:color="auto"/>
                        <w:left w:val="none" w:sz="0" w:space="0" w:color="auto"/>
                        <w:bottom w:val="none" w:sz="0" w:space="0" w:color="auto"/>
                        <w:right w:val="none" w:sz="0" w:space="0" w:color="auto"/>
                      </w:divBdr>
                      <w:divsChild>
                        <w:div w:id="31294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957403">
                  <w:marLeft w:val="0"/>
                  <w:marRight w:val="0"/>
                  <w:marTop w:val="0"/>
                  <w:marBottom w:val="0"/>
                  <w:divBdr>
                    <w:top w:val="none" w:sz="0" w:space="0" w:color="auto"/>
                    <w:left w:val="none" w:sz="0" w:space="0" w:color="auto"/>
                    <w:bottom w:val="none" w:sz="0" w:space="0" w:color="auto"/>
                    <w:right w:val="none" w:sz="0" w:space="0" w:color="auto"/>
                  </w:divBdr>
                </w:div>
                <w:div w:id="1522889466">
                  <w:marLeft w:val="0"/>
                  <w:marRight w:val="0"/>
                  <w:marTop w:val="0"/>
                  <w:marBottom w:val="0"/>
                  <w:divBdr>
                    <w:top w:val="none" w:sz="0" w:space="0" w:color="auto"/>
                    <w:left w:val="none" w:sz="0" w:space="0" w:color="auto"/>
                    <w:bottom w:val="none" w:sz="0" w:space="0" w:color="auto"/>
                    <w:right w:val="none" w:sz="0" w:space="0" w:color="auto"/>
                  </w:divBdr>
                  <w:divsChild>
                    <w:div w:id="1822505663">
                      <w:marLeft w:val="0"/>
                      <w:marRight w:val="0"/>
                      <w:marTop w:val="0"/>
                      <w:marBottom w:val="0"/>
                      <w:divBdr>
                        <w:top w:val="none" w:sz="0" w:space="0" w:color="auto"/>
                        <w:left w:val="none" w:sz="0" w:space="0" w:color="auto"/>
                        <w:bottom w:val="none" w:sz="0" w:space="0" w:color="auto"/>
                        <w:right w:val="none" w:sz="0" w:space="0" w:color="auto"/>
                      </w:divBdr>
                    </w:div>
                  </w:divsChild>
                </w:div>
                <w:div w:id="1539273887">
                  <w:marLeft w:val="0"/>
                  <w:marRight w:val="0"/>
                  <w:marTop w:val="0"/>
                  <w:marBottom w:val="0"/>
                  <w:divBdr>
                    <w:top w:val="none" w:sz="0" w:space="0" w:color="auto"/>
                    <w:left w:val="none" w:sz="0" w:space="0" w:color="auto"/>
                    <w:bottom w:val="none" w:sz="0" w:space="0" w:color="auto"/>
                    <w:right w:val="none" w:sz="0" w:space="0" w:color="auto"/>
                  </w:divBdr>
                  <w:divsChild>
                    <w:div w:id="78869290">
                      <w:marLeft w:val="0"/>
                      <w:marRight w:val="0"/>
                      <w:marTop w:val="0"/>
                      <w:marBottom w:val="0"/>
                      <w:divBdr>
                        <w:top w:val="none" w:sz="0" w:space="0" w:color="auto"/>
                        <w:left w:val="none" w:sz="0" w:space="0" w:color="auto"/>
                        <w:bottom w:val="none" w:sz="0" w:space="0" w:color="auto"/>
                        <w:right w:val="none" w:sz="0" w:space="0" w:color="auto"/>
                      </w:divBdr>
                    </w:div>
                    <w:div w:id="114304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57394">
      <w:bodyDiv w:val="1"/>
      <w:marLeft w:val="0"/>
      <w:marRight w:val="0"/>
      <w:marTop w:val="0"/>
      <w:marBottom w:val="0"/>
      <w:divBdr>
        <w:top w:val="none" w:sz="0" w:space="0" w:color="auto"/>
        <w:left w:val="none" w:sz="0" w:space="0" w:color="auto"/>
        <w:bottom w:val="none" w:sz="0" w:space="0" w:color="auto"/>
        <w:right w:val="none" w:sz="0" w:space="0" w:color="auto"/>
      </w:divBdr>
    </w:div>
    <w:div w:id="145318250">
      <w:bodyDiv w:val="1"/>
      <w:marLeft w:val="0"/>
      <w:marRight w:val="0"/>
      <w:marTop w:val="0"/>
      <w:marBottom w:val="0"/>
      <w:divBdr>
        <w:top w:val="none" w:sz="0" w:space="0" w:color="auto"/>
        <w:left w:val="none" w:sz="0" w:space="0" w:color="auto"/>
        <w:bottom w:val="none" w:sz="0" w:space="0" w:color="auto"/>
        <w:right w:val="none" w:sz="0" w:space="0" w:color="auto"/>
      </w:divBdr>
    </w:div>
    <w:div w:id="145980675">
      <w:bodyDiv w:val="1"/>
      <w:marLeft w:val="0"/>
      <w:marRight w:val="0"/>
      <w:marTop w:val="0"/>
      <w:marBottom w:val="0"/>
      <w:divBdr>
        <w:top w:val="none" w:sz="0" w:space="0" w:color="auto"/>
        <w:left w:val="none" w:sz="0" w:space="0" w:color="auto"/>
        <w:bottom w:val="none" w:sz="0" w:space="0" w:color="auto"/>
        <w:right w:val="none" w:sz="0" w:space="0" w:color="auto"/>
      </w:divBdr>
    </w:div>
    <w:div w:id="146869355">
      <w:bodyDiv w:val="1"/>
      <w:marLeft w:val="0"/>
      <w:marRight w:val="0"/>
      <w:marTop w:val="0"/>
      <w:marBottom w:val="0"/>
      <w:divBdr>
        <w:top w:val="none" w:sz="0" w:space="0" w:color="auto"/>
        <w:left w:val="none" w:sz="0" w:space="0" w:color="auto"/>
        <w:bottom w:val="none" w:sz="0" w:space="0" w:color="auto"/>
        <w:right w:val="none" w:sz="0" w:space="0" w:color="auto"/>
      </w:divBdr>
    </w:div>
    <w:div w:id="153885544">
      <w:bodyDiv w:val="1"/>
      <w:marLeft w:val="0"/>
      <w:marRight w:val="0"/>
      <w:marTop w:val="0"/>
      <w:marBottom w:val="0"/>
      <w:divBdr>
        <w:top w:val="none" w:sz="0" w:space="0" w:color="auto"/>
        <w:left w:val="none" w:sz="0" w:space="0" w:color="auto"/>
        <w:bottom w:val="none" w:sz="0" w:space="0" w:color="auto"/>
        <w:right w:val="none" w:sz="0" w:space="0" w:color="auto"/>
      </w:divBdr>
    </w:div>
    <w:div w:id="155000752">
      <w:bodyDiv w:val="1"/>
      <w:marLeft w:val="0"/>
      <w:marRight w:val="0"/>
      <w:marTop w:val="0"/>
      <w:marBottom w:val="0"/>
      <w:divBdr>
        <w:top w:val="none" w:sz="0" w:space="0" w:color="auto"/>
        <w:left w:val="none" w:sz="0" w:space="0" w:color="auto"/>
        <w:bottom w:val="none" w:sz="0" w:space="0" w:color="auto"/>
        <w:right w:val="none" w:sz="0" w:space="0" w:color="auto"/>
      </w:divBdr>
    </w:div>
    <w:div w:id="159931190">
      <w:bodyDiv w:val="1"/>
      <w:marLeft w:val="0"/>
      <w:marRight w:val="0"/>
      <w:marTop w:val="0"/>
      <w:marBottom w:val="0"/>
      <w:divBdr>
        <w:top w:val="none" w:sz="0" w:space="0" w:color="auto"/>
        <w:left w:val="none" w:sz="0" w:space="0" w:color="auto"/>
        <w:bottom w:val="none" w:sz="0" w:space="0" w:color="auto"/>
        <w:right w:val="none" w:sz="0" w:space="0" w:color="auto"/>
      </w:divBdr>
    </w:div>
    <w:div w:id="160506606">
      <w:bodyDiv w:val="1"/>
      <w:marLeft w:val="0"/>
      <w:marRight w:val="0"/>
      <w:marTop w:val="0"/>
      <w:marBottom w:val="0"/>
      <w:divBdr>
        <w:top w:val="none" w:sz="0" w:space="0" w:color="auto"/>
        <w:left w:val="none" w:sz="0" w:space="0" w:color="auto"/>
        <w:bottom w:val="none" w:sz="0" w:space="0" w:color="auto"/>
        <w:right w:val="none" w:sz="0" w:space="0" w:color="auto"/>
      </w:divBdr>
    </w:div>
    <w:div w:id="161168931">
      <w:bodyDiv w:val="1"/>
      <w:marLeft w:val="0"/>
      <w:marRight w:val="0"/>
      <w:marTop w:val="0"/>
      <w:marBottom w:val="0"/>
      <w:divBdr>
        <w:top w:val="none" w:sz="0" w:space="0" w:color="auto"/>
        <w:left w:val="none" w:sz="0" w:space="0" w:color="auto"/>
        <w:bottom w:val="none" w:sz="0" w:space="0" w:color="auto"/>
        <w:right w:val="none" w:sz="0" w:space="0" w:color="auto"/>
      </w:divBdr>
    </w:div>
    <w:div w:id="162205546">
      <w:bodyDiv w:val="1"/>
      <w:marLeft w:val="0"/>
      <w:marRight w:val="0"/>
      <w:marTop w:val="0"/>
      <w:marBottom w:val="0"/>
      <w:divBdr>
        <w:top w:val="none" w:sz="0" w:space="0" w:color="auto"/>
        <w:left w:val="none" w:sz="0" w:space="0" w:color="auto"/>
        <w:bottom w:val="none" w:sz="0" w:space="0" w:color="auto"/>
        <w:right w:val="none" w:sz="0" w:space="0" w:color="auto"/>
      </w:divBdr>
    </w:div>
    <w:div w:id="163205841">
      <w:bodyDiv w:val="1"/>
      <w:marLeft w:val="0"/>
      <w:marRight w:val="0"/>
      <w:marTop w:val="0"/>
      <w:marBottom w:val="0"/>
      <w:divBdr>
        <w:top w:val="none" w:sz="0" w:space="0" w:color="auto"/>
        <w:left w:val="none" w:sz="0" w:space="0" w:color="auto"/>
        <w:bottom w:val="none" w:sz="0" w:space="0" w:color="auto"/>
        <w:right w:val="none" w:sz="0" w:space="0" w:color="auto"/>
      </w:divBdr>
    </w:div>
    <w:div w:id="166529436">
      <w:bodyDiv w:val="1"/>
      <w:marLeft w:val="0"/>
      <w:marRight w:val="0"/>
      <w:marTop w:val="0"/>
      <w:marBottom w:val="0"/>
      <w:divBdr>
        <w:top w:val="none" w:sz="0" w:space="0" w:color="auto"/>
        <w:left w:val="none" w:sz="0" w:space="0" w:color="auto"/>
        <w:bottom w:val="none" w:sz="0" w:space="0" w:color="auto"/>
        <w:right w:val="none" w:sz="0" w:space="0" w:color="auto"/>
      </w:divBdr>
    </w:div>
    <w:div w:id="167600986">
      <w:bodyDiv w:val="1"/>
      <w:marLeft w:val="0"/>
      <w:marRight w:val="0"/>
      <w:marTop w:val="0"/>
      <w:marBottom w:val="0"/>
      <w:divBdr>
        <w:top w:val="none" w:sz="0" w:space="0" w:color="auto"/>
        <w:left w:val="none" w:sz="0" w:space="0" w:color="auto"/>
        <w:bottom w:val="none" w:sz="0" w:space="0" w:color="auto"/>
        <w:right w:val="none" w:sz="0" w:space="0" w:color="auto"/>
      </w:divBdr>
    </w:div>
    <w:div w:id="171265060">
      <w:bodyDiv w:val="1"/>
      <w:marLeft w:val="0"/>
      <w:marRight w:val="0"/>
      <w:marTop w:val="0"/>
      <w:marBottom w:val="0"/>
      <w:divBdr>
        <w:top w:val="none" w:sz="0" w:space="0" w:color="auto"/>
        <w:left w:val="none" w:sz="0" w:space="0" w:color="auto"/>
        <w:bottom w:val="none" w:sz="0" w:space="0" w:color="auto"/>
        <w:right w:val="none" w:sz="0" w:space="0" w:color="auto"/>
      </w:divBdr>
    </w:div>
    <w:div w:id="171337081">
      <w:bodyDiv w:val="1"/>
      <w:marLeft w:val="0"/>
      <w:marRight w:val="0"/>
      <w:marTop w:val="0"/>
      <w:marBottom w:val="0"/>
      <w:divBdr>
        <w:top w:val="none" w:sz="0" w:space="0" w:color="auto"/>
        <w:left w:val="none" w:sz="0" w:space="0" w:color="auto"/>
        <w:bottom w:val="none" w:sz="0" w:space="0" w:color="auto"/>
        <w:right w:val="none" w:sz="0" w:space="0" w:color="auto"/>
      </w:divBdr>
    </w:div>
    <w:div w:id="175191208">
      <w:bodyDiv w:val="1"/>
      <w:marLeft w:val="0"/>
      <w:marRight w:val="0"/>
      <w:marTop w:val="0"/>
      <w:marBottom w:val="0"/>
      <w:divBdr>
        <w:top w:val="none" w:sz="0" w:space="0" w:color="auto"/>
        <w:left w:val="none" w:sz="0" w:space="0" w:color="auto"/>
        <w:bottom w:val="none" w:sz="0" w:space="0" w:color="auto"/>
        <w:right w:val="none" w:sz="0" w:space="0" w:color="auto"/>
      </w:divBdr>
    </w:div>
    <w:div w:id="178547854">
      <w:bodyDiv w:val="1"/>
      <w:marLeft w:val="0"/>
      <w:marRight w:val="0"/>
      <w:marTop w:val="0"/>
      <w:marBottom w:val="0"/>
      <w:divBdr>
        <w:top w:val="none" w:sz="0" w:space="0" w:color="auto"/>
        <w:left w:val="none" w:sz="0" w:space="0" w:color="auto"/>
        <w:bottom w:val="none" w:sz="0" w:space="0" w:color="auto"/>
        <w:right w:val="none" w:sz="0" w:space="0" w:color="auto"/>
      </w:divBdr>
    </w:div>
    <w:div w:id="181362053">
      <w:bodyDiv w:val="1"/>
      <w:marLeft w:val="0"/>
      <w:marRight w:val="0"/>
      <w:marTop w:val="0"/>
      <w:marBottom w:val="0"/>
      <w:divBdr>
        <w:top w:val="none" w:sz="0" w:space="0" w:color="auto"/>
        <w:left w:val="none" w:sz="0" w:space="0" w:color="auto"/>
        <w:bottom w:val="none" w:sz="0" w:space="0" w:color="auto"/>
        <w:right w:val="none" w:sz="0" w:space="0" w:color="auto"/>
      </w:divBdr>
    </w:div>
    <w:div w:id="181556489">
      <w:bodyDiv w:val="1"/>
      <w:marLeft w:val="0"/>
      <w:marRight w:val="0"/>
      <w:marTop w:val="0"/>
      <w:marBottom w:val="0"/>
      <w:divBdr>
        <w:top w:val="none" w:sz="0" w:space="0" w:color="auto"/>
        <w:left w:val="none" w:sz="0" w:space="0" w:color="auto"/>
        <w:bottom w:val="none" w:sz="0" w:space="0" w:color="auto"/>
        <w:right w:val="none" w:sz="0" w:space="0" w:color="auto"/>
      </w:divBdr>
    </w:div>
    <w:div w:id="186987873">
      <w:bodyDiv w:val="1"/>
      <w:marLeft w:val="0"/>
      <w:marRight w:val="0"/>
      <w:marTop w:val="0"/>
      <w:marBottom w:val="0"/>
      <w:divBdr>
        <w:top w:val="none" w:sz="0" w:space="0" w:color="auto"/>
        <w:left w:val="none" w:sz="0" w:space="0" w:color="auto"/>
        <w:bottom w:val="none" w:sz="0" w:space="0" w:color="auto"/>
        <w:right w:val="none" w:sz="0" w:space="0" w:color="auto"/>
      </w:divBdr>
    </w:div>
    <w:div w:id="187253837">
      <w:bodyDiv w:val="1"/>
      <w:marLeft w:val="0"/>
      <w:marRight w:val="0"/>
      <w:marTop w:val="0"/>
      <w:marBottom w:val="0"/>
      <w:divBdr>
        <w:top w:val="none" w:sz="0" w:space="0" w:color="auto"/>
        <w:left w:val="none" w:sz="0" w:space="0" w:color="auto"/>
        <w:bottom w:val="none" w:sz="0" w:space="0" w:color="auto"/>
        <w:right w:val="none" w:sz="0" w:space="0" w:color="auto"/>
      </w:divBdr>
    </w:div>
    <w:div w:id="187763092">
      <w:bodyDiv w:val="1"/>
      <w:marLeft w:val="0"/>
      <w:marRight w:val="0"/>
      <w:marTop w:val="0"/>
      <w:marBottom w:val="0"/>
      <w:divBdr>
        <w:top w:val="none" w:sz="0" w:space="0" w:color="auto"/>
        <w:left w:val="none" w:sz="0" w:space="0" w:color="auto"/>
        <w:bottom w:val="none" w:sz="0" w:space="0" w:color="auto"/>
        <w:right w:val="none" w:sz="0" w:space="0" w:color="auto"/>
      </w:divBdr>
    </w:div>
    <w:div w:id="187839560">
      <w:bodyDiv w:val="1"/>
      <w:marLeft w:val="0"/>
      <w:marRight w:val="0"/>
      <w:marTop w:val="0"/>
      <w:marBottom w:val="0"/>
      <w:divBdr>
        <w:top w:val="none" w:sz="0" w:space="0" w:color="auto"/>
        <w:left w:val="none" w:sz="0" w:space="0" w:color="auto"/>
        <w:bottom w:val="none" w:sz="0" w:space="0" w:color="auto"/>
        <w:right w:val="none" w:sz="0" w:space="0" w:color="auto"/>
      </w:divBdr>
    </w:div>
    <w:div w:id="198202730">
      <w:bodyDiv w:val="1"/>
      <w:marLeft w:val="0"/>
      <w:marRight w:val="0"/>
      <w:marTop w:val="0"/>
      <w:marBottom w:val="0"/>
      <w:divBdr>
        <w:top w:val="none" w:sz="0" w:space="0" w:color="auto"/>
        <w:left w:val="none" w:sz="0" w:space="0" w:color="auto"/>
        <w:bottom w:val="none" w:sz="0" w:space="0" w:color="auto"/>
        <w:right w:val="none" w:sz="0" w:space="0" w:color="auto"/>
      </w:divBdr>
    </w:div>
    <w:div w:id="203258198">
      <w:bodyDiv w:val="1"/>
      <w:marLeft w:val="0"/>
      <w:marRight w:val="0"/>
      <w:marTop w:val="0"/>
      <w:marBottom w:val="0"/>
      <w:divBdr>
        <w:top w:val="none" w:sz="0" w:space="0" w:color="auto"/>
        <w:left w:val="none" w:sz="0" w:space="0" w:color="auto"/>
        <w:bottom w:val="none" w:sz="0" w:space="0" w:color="auto"/>
        <w:right w:val="none" w:sz="0" w:space="0" w:color="auto"/>
      </w:divBdr>
    </w:div>
    <w:div w:id="204828656">
      <w:bodyDiv w:val="1"/>
      <w:marLeft w:val="0"/>
      <w:marRight w:val="0"/>
      <w:marTop w:val="0"/>
      <w:marBottom w:val="0"/>
      <w:divBdr>
        <w:top w:val="none" w:sz="0" w:space="0" w:color="auto"/>
        <w:left w:val="none" w:sz="0" w:space="0" w:color="auto"/>
        <w:bottom w:val="none" w:sz="0" w:space="0" w:color="auto"/>
        <w:right w:val="none" w:sz="0" w:space="0" w:color="auto"/>
      </w:divBdr>
    </w:div>
    <w:div w:id="206719686">
      <w:bodyDiv w:val="1"/>
      <w:marLeft w:val="0"/>
      <w:marRight w:val="0"/>
      <w:marTop w:val="0"/>
      <w:marBottom w:val="0"/>
      <w:divBdr>
        <w:top w:val="none" w:sz="0" w:space="0" w:color="auto"/>
        <w:left w:val="none" w:sz="0" w:space="0" w:color="auto"/>
        <w:bottom w:val="none" w:sz="0" w:space="0" w:color="auto"/>
        <w:right w:val="none" w:sz="0" w:space="0" w:color="auto"/>
      </w:divBdr>
    </w:div>
    <w:div w:id="209153955">
      <w:bodyDiv w:val="1"/>
      <w:marLeft w:val="0"/>
      <w:marRight w:val="0"/>
      <w:marTop w:val="0"/>
      <w:marBottom w:val="0"/>
      <w:divBdr>
        <w:top w:val="none" w:sz="0" w:space="0" w:color="auto"/>
        <w:left w:val="none" w:sz="0" w:space="0" w:color="auto"/>
        <w:bottom w:val="none" w:sz="0" w:space="0" w:color="auto"/>
        <w:right w:val="none" w:sz="0" w:space="0" w:color="auto"/>
      </w:divBdr>
    </w:div>
    <w:div w:id="209464473">
      <w:bodyDiv w:val="1"/>
      <w:marLeft w:val="0"/>
      <w:marRight w:val="0"/>
      <w:marTop w:val="0"/>
      <w:marBottom w:val="0"/>
      <w:divBdr>
        <w:top w:val="none" w:sz="0" w:space="0" w:color="auto"/>
        <w:left w:val="none" w:sz="0" w:space="0" w:color="auto"/>
        <w:bottom w:val="none" w:sz="0" w:space="0" w:color="auto"/>
        <w:right w:val="none" w:sz="0" w:space="0" w:color="auto"/>
      </w:divBdr>
    </w:div>
    <w:div w:id="210701674">
      <w:bodyDiv w:val="1"/>
      <w:marLeft w:val="0"/>
      <w:marRight w:val="0"/>
      <w:marTop w:val="0"/>
      <w:marBottom w:val="0"/>
      <w:divBdr>
        <w:top w:val="none" w:sz="0" w:space="0" w:color="auto"/>
        <w:left w:val="none" w:sz="0" w:space="0" w:color="auto"/>
        <w:bottom w:val="none" w:sz="0" w:space="0" w:color="auto"/>
        <w:right w:val="none" w:sz="0" w:space="0" w:color="auto"/>
      </w:divBdr>
    </w:div>
    <w:div w:id="215971155">
      <w:bodyDiv w:val="1"/>
      <w:marLeft w:val="0"/>
      <w:marRight w:val="0"/>
      <w:marTop w:val="0"/>
      <w:marBottom w:val="0"/>
      <w:divBdr>
        <w:top w:val="none" w:sz="0" w:space="0" w:color="auto"/>
        <w:left w:val="none" w:sz="0" w:space="0" w:color="auto"/>
        <w:bottom w:val="none" w:sz="0" w:space="0" w:color="auto"/>
        <w:right w:val="none" w:sz="0" w:space="0" w:color="auto"/>
      </w:divBdr>
    </w:div>
    <w:div w:id="216085562">
      <w:bodyDiv w:val="1"/>
      <w:marLeft w:val="0"/>
      <w:marRight w:val="0"/>
      <w:marTop w:val="0"/>
      <w:marBottom w:val="0"/>
      <w:divBdr>
        <w:top w:val="none" w:sz="0" w:space="0" w:color="auto"/>
        <w:left w:val="none" w:sz="0" w:space="0" w:color="auto"/>
        <w:bottom w:val="none" w:sz="0" w:space="0" w:color="auto"/>
        <w:right w:val="none" w:sz="0" w:space="0" w:color="auto"/>
      </w:divBdr>
    </w:div>
    <w:div w:id="216404728">
      <w:bodyDiv w:val="1"/>
      <w:marLeft w:val="0"/>
      <w:marRight w:val="0"/>
      <w:marTop w:val="0"/>
      <w:marBottom w:val="0"/>
      <w:divBdr>
        <w:top w:val="none" w:sz="0" w:space="0" w:color="auto"/>
        <w:left w:val="none" w:sz="0" w:space="0" w:color="auto"/>
        <w:bottom w:val="none" w:sz="0" w:space="0" w:color="auto"/>
        <w:right w:val="none" w:sz="0" w:space="0" w:color="auto"/>
      </w:divBdr>
    </w:div>
    <w:div w:id="222832766">
      <w:bodyDiv w:val="1"/>
      <w:marLeft w:val="0"/>
      <w:marRight w:val="0"/>
      <w:marTop w:val="0"/>
      <w:marBottom w:val="0"/>
      <w:divBdr>
        <w:top w:val="none" w:sz="0" w:space="0" w:color="auto"/>
        <w:left w:val="none" w:sz="0" w:space="0" w:color="auto"/>
        <w:bottom w:val="none" w:sz="0" w:space="0" w:color="auto"/>
        <w:right w:val="none" w:sz="0" w:space="0" w:color="auto"/>
      </w:divBdr>
    </w:div>
    <w:div w:id="223568725">
      <w:bodyDiv w:val="1"/>
      <w:marLeft w:val="0"/>
      <w:marRight w:val="0"/>
      <w:marTop w:val="0"/>
      <w:marBottom w:val="0"/>
      <w:divBdr>
        <w:top w:val="none" w:sz="0" w:space="0" w:color="auto"/>
        <w:left w:val="none" w:sz="0" w:space="0" w:color="auto"/>
        <w:bottom w:val="none" w:sz="0" w:space="0" w:color="auto"/>
        <w:right w:val="none" w:sz="0" w:space="0" w:color="auto"/>
      </w:divBdr>
    </w:div>
    <w:div w:id="225147091">
      <w:bodyDiv w:val="1"/>
      <w:marLeft w:val="0"/>
      <w:marRight w:val="0"/>
      <w:marTop w:val="0"/>
      <w:marBottom w:val="0"/>
      <w:divBdr>
        <w:top w:val="none" w:sz="0" w:space="0" w:color="auto"/>
        <w:left w:val="none" w:sz="0" w:space="0" w:color="auto"/>
        <w:bottom w:val="none" w:sz="0" w:space="0" w:color="auto"/>
        <w:right w:val="none" w:sz="0" w:space="0" w:color="auto"/>
      </w:divBdr>
    </w:div>
    <w:div w:id="225844662">
      <w:bodyDiv w:val="1"/>
      <w:marLeft w:val="0"/>
      <w:marRight w:val="0"/>
      <w:marTop w:val="0"/>
      <w:marBottom w:val="0"/>
      <w:divBdr>
        <w:top w:val="none" w:sz="0" w:space="0" w:color="auto"/>
        <w:left w:val="none" w:sz="0" w:space="0" w:color="auto"/>
        <w:bottom w:val="none" w:sz="0" w:space="0" w:color="auto"/>
        <w:right w:val="none" w:sz="0" w:space="0" w:color="auto"/>
      </w:divBdr>
    </w:div>
    <w:div w:id="228393765">
      <w:bodyDiv w:val="1"/>
      <w:marLeft w:val="0"/>
      <w:marRight w:val="0"/>
      <w:marTop w:val="0"/>
      <w:marBottom w:val="0"/>
      <w:divBdr>
        <w:top w:val="none" w:sz="0" w:space="0" w:color="auto"/>
        <w:left w:val="none" w:sz="0" w:space="0" w:color="auto"/>
        <w:bottom w:val="none" w:sz="0" w:space="0" w:color="auto"/>
        <w:right w:val="none" w:sz="0" w:space="0" w:color="auto"/>
      </w:divBdr>
    </w:div>
    <w:div w:id="228422683">
      <w:bodyDiv w:val="1"/>
      <w:marLeft w:val="0"/>
      <w:marRight w:val="0"/>
      <w:marTop w:val="0"/>
      <w:marBottom w:val="0"/>
      <w:divBdr>
        <w:top w:val="none" w:sz="0" w:space="0" w:color="auto"/>
        <w:left w:val="none" w:sz="0" w:space="0" w:color="auto"/>
        <w:bottom w:val="none" w:sz="0" w:space="0" w:color="auto"/>
        <w:right w:val="none" w:sz="0" w:space="0" w:color="auto"/>
      </w:divBdr>
    </w:div>
    <w:div w:id="231231792">
      <w:bodyDiv w:val="1"/>
      <w:marLeft w:val="0"/>
      <w:marRight w:val="0"/>
      <w:marTop w:val="0"/>
      <w:marBottom w:val="0"/>
      <w:divBdr>
        <w:top w:val="none" w:sz="0" w:space="0" w:color="auto"/>
        <w:left w:val="none" w:sz="0" w:space="0" w:color="auto"/>
        <w:bottom w:val="none" w:sz="0" w:space="0" w:color="auto"/>
        <w:right w:val="none" w:sz="0" w:space="0" w:color="auto"/>
      </w:divBdr>
    </w:div>
    <w:div w:id="232276690">
      <w:bodyDiv w:val="1"/>
      <w:marLeft w:val="0"/>
      <w:marRight w:val="0"/>
      <w:marTop w:val="0"/>
      <w:marBottom w:val="0"/>
      <w:divBdr>
        <w:top w:val="none" w:sz="0" w:space="0" w:color="auto"/>
        <w:left w:val="none" w:sz="0" w:space="0" w:color="auto"/>
        <w:bottom w:val="none" w:sz="0" w:space="0" w:color="auto"/>
        <w:right w:val="none" w:sz="0" w:space="0" w:color="auto"/>
      </w:divBdr>
    </w:div>
    <w:div w:id="232858035">
      <w:bodyDiv w:val="1"/>
      <w:marLeft w:val="0"/>
      <w:marRight w:val="0"/>
      <w:marTop w:val="0"/>
      <w:marBottom w:val="0"/>
      <w:divBdr>
        <w:top w:val="none" w:sz="0" w:space="0" w:color="auto"/>
        <w:left w:val="none" w:sz="0" w:space="0" w:color="auto"/>
        <w:bottom w:val="none" w:sz="0" w:space="0" w:color="auto"/>
        <w:right w:val="none" w:sz="0" w:space="0" w:color="auto"/>
      </w:divBdr>
    </w:div>
    <w:div w:id="237249724">
      <w:bodyDiv w:val="1"/>
      <w:marLeft w:val="0"/>
      <w:marRight w:val="0"/>
      <w:marTop w:val="0"/>
      <w:marBottom w:val="0"/>
      <w:divBdr>
        <w:top w:val="none" w:sz="0" w:space="0" w:color="auto"/>
        <w:left w:val="none" w:sz="0" w:space="0" w:color="auto"/>
        <w:bottom w:val="none" w:sz="0" w:space="0" w:color="auto"/>
        <w:right w:val="none" w:sz="0" w:space="0" w:color="auto"/>
      </w:divBdr>
    </w:div>
    <w:div w:id="241841370">
      <w:bodyDiv w:val="1"/>
      <w:marLeft w:val="0"/>
      <w:marRight w:val="0"/>
      <w:marTop w:val="0"/>
      <w:marBottom w:val="0"/>
      <w:divBdr>
        <w:top w:val="none" w:sz="0" w:space="0" w:color="auto"/>
        <w:left w:val="none" w:sz="0" w:space="0" w:color="auto"/>
        <w:bottom w:val="none" w:sz="0" w:space="0" w:color="auto"/>
        <w:right w:val="none" w:sz="0" w:space="0" w:color="auto"/>
      </w:divBdr>
    </w:div>
    <w:div w:id="244077407">
      <w:bodyDiv w:val="1"/>
      <w:marLeft w:val="0"/>
      <w:marRight w:val="0"/>
      <w:marTop w:val="0"/>
      <w:marBottom w:val="0"/>
      <w:divBdr>
        <w:top w:val="none" w:sz="0" w:space="0" w:color="auto"/>
        <w:left w:val="none" w:sz="0" w:space="0" w:color="auto"/>
        <w:bottom w:val="none" w:sz="0" w:space="0" w:color="auto"/>
        <w:right w:val="none" w:sz="0" w:space="0" w:color="auto"/>
      </w:divBdr>
    </w:div>
    <w:div w:id="246690364">
      <w:bodyDiv w:val="1"/>
      <w:marLeft w:val="0"/>
      <w:marRight w:val="0"/>
      <w:marTop w:val="0"/>
      <w:marBottom w:val="0"/>
      <w:divBdr>
        <w:top w:val="none" w:sz="0" w:space="0" w:color="auto"/>
        <w:left w:val="none" w:sz="0" w:space="0" w:color="auto"/>
        <w:bottom w:val="none" w:sz="0" w:space="0" w:color="auto"/>
        <w:right w:val="none" w:sz="0" w:space="0" w:color="auto"/>
      </w:divBdr>
    </w:div>
    <w:div w:id="246765666">
      <w:bodyDiv w:val="1"/>
      <w:marLeft w:val="0"/>
      <w:marRight w:val="0"/>
      <w:marTop w:val="0"/>
      <w:marBottom w:val="0"/>
      <w:divBdr>
        <w:top w:val="none" w:sz="0" w:space="0" w:color="auto"/>
        <w:left w:val="none" w:sz="0" w:space="0" w:color="auto"/>
        <w:bottom w:val="none" w:sz="0" w:space="0" w:color="auto"/>
        <w:right w:val="none" w:sz="0" w:space="0" w:color="auto"/>
      </w:divBdr>
    </w:div>
    <w:div w:id="253324398">
      <w:bodyDiv w:val="1"/>
      <w:marLeft w:val="0"/>
      <w:marRight w:val="0"/>
      <w:marTop w:val="0"/>
      <w:marBottom w:val="0"/>
      <w:divBdr>
        <w:top w:val="none" w:sz="0" w:space="0" w:color="auto"/>
        <w:left w:val="none" w:sz="0" w:space="0" w:color="auto"/>
        <w:bottom w:val="none" w:sz="0" w:space="0" w:color="auto"/>
        <w:right w:val="none" w:sz="0" w:space="0" w:color="auto"/>
      </w:divBdr>
    </w:div>
    <w:div w:id="258607356">
      <w:bodyDiv w:val="1"/>
      <w:marLeft w:val="0"/>
      <w:marRight w:val="0"/>
      <w:marTop w:val="0"/>
      <w:marBottom w:val="0"/>
      <w:divBdr>
        <w:top w:val="none" w:sz="0" w:space="0" w:color="auto"/>
        <w:left w:val="none" w:sz="0" w:space="0" w:color="auto"/>
        <w:bottom w:val="none" w:sz="0" w:space="0" w:color="auto"/>
        <w:right w:val="none" w:sz="0" w:space="0" w:color="auto"/>
      </w:divBdr>
    </w:div>
    <w:div w:id="260335496">
      <w:bodyDiv w:val="1"/>
      <w:marLeft w:val="0"/>
      <w:marRight w:val="0"/>
      <w:marTop w:val="0"/>
      <w:marBottom w:val="0"/>
      <w:divBdr>
        <w:top w:val="none" w:sz="0" w:space="0" w:color="auto"/>
        <w:left w:val="none" w:sz="0" w:space="0" w:color="auto"/>
        <w:bottom w:val="none" w:sz="0" w:space="0" w:color="auto"/>
        <w:right w:val="none" w:sz="0" w:space="0" w:color="auto"/>
      </w:divBdr>
    </w:div>
    <w:div w:id="260651313">
      <w:bodyDiv w:val="1"/>
      <w:marLeft w:val="0"/>
      <w:marRight w:val="0"/>
      <w:marTop w:val="0"/>
      <w:marBottom w:val="0"/>
      <w:divBdr>
        <w:top w:val="none" w:sz="0" w:space="0" w:color="auto"/>
        <w:left w:val="none" w:sz="0" w:space="0" w:color="auto"/>
        <w:bottom w:val="none" w:sz="0" w:space="0" w:color="auto"/>
        <w:right w:val="none" w:sz="0" w:space="0" w:color="auto"/>
      </w:divBdr>
    </w:div>
    <w:div w:id="262110686">
      <w:bodyDiv w:val="1"/>
      <w:marLeft w:val="0"/>
      <w:marRight w:val="0"/>
      <w:marTop w:val="0"/>
      <w:marBottom w:val="0"/>
      <w:divBdr>
        <w:top w:val="none" w:sz="0" w:space="0" w:color="auto"/>
        <w:left w:val="none" w:sz="0" w:space="0" w:color="auto"/>
        <w:bottom w:val="none" w:sz="0" w:space="0" w:color="auto"/>
        <w:right w:val="none" w:sz="0" w:space="0" w:color="auto"/>
      </w:divBdr>
    </w:div>
    <w:div w:id="264923916">
      <w:bodyDiv w:val="1"/>
      <w:marLeft w:val="0"/>
      <w:marRight w:val="0"/>
      <w:marTop w:val="0"/>
      <w:marBottom w:val="0"/>
      <w:divBdr>
        <w:top w:val="none" w:sz="0" w:space="0" w:color="auto"/>
        <w:left w:val="none" w:sz="0" w:space="0" w:color="auto"/>
        <w:bottom w:val="none" w:sz="0" w:space="0" w:color="auto"/>
        <w:right w:val="none" w:sz="0" w:space="0" w:color="auto"/>
      </w:divBdr>
    </w:div>
    <w:div w:id="265817736">
      <w:bodyDiv w:val="1"/>
      <w:marLeft w:val="0"/>
      <w:marRight w:val="0"/>
      <w:marTop w:val="0"/>
      <w:marBottom w:val="0"/>
      <w:divBdr>
        <w:top w:val="none" w:sz="0" w:space="0" w:color="auto"/>
        <w:left w:val="none" w:sz="0" w:space="0" w:color="auto"/>
        <w:bottom w:val="none" w:sz="0" w:space="0" w:color="auto"/>
        <w:right w:val="none" w:sz="0" w:space="0" w:color="auto"/>
      </w:divBdr>
    </w:div>
    <w:div w:id="266819010">
      <w:bodyDiv w:val="1"/>
      <w:marLeft w:val="0"/>
      <w:marRight w:val="0"/>
      <w:marTop w:val="0"/>
      <w:marBottom w:val="0"/>
      <w:divBdr>
        <w:top w:val="none" w:sz="0" w:space="0" w:color="auto"/>
        <w:left w:val="none" w:sz="0" w:space="0" w:color="auto"/>
        <w:bottom w:val="none" w:sz="0" w:space="0" w:color="auto"/>
        <w:right w:val="none" w:sz="0" w:space="0" w:color="auto"/>
      </w:divBdr>
    </w:div>
    <w:div w:id="272247695">
      <w:bodyDiv w:val="1"/>
      <w:marLeft w:val="0"/>
      <w:marRight w:val="0"/>
      <w:marTop w:val="0"/>
      <w:marBottom w:val="0"/>
      <w:divBdr>
        <w:top w:val="none" w:sz="0" w:space="0" w:color="auto"/>
        <w:left w:val="none" w:sz="0" w:space="0" w:color="auto"/>
        <w:bottom w:val="none" w:sz="0" w:space="0" w:color="auto"/>
        <w:right w:val="none" w:sz="0" w:space="0" w:color="auto"/>
      </w:divBdr>
    </w:div>
    <w:div w:id="276378098">
      <w:bodyDiv w:val="1"/>
      <w:marLeft w:val="0"/>
      <w:marRight w:val="0"/>
      <w:marTop w:val="0"/>
      <w:marBottom w:val="0"/>
      <w:divBdr>
        <w:top w:val="none" w:sz="0" w:space="0" w:color="auto"/>
        <w:left w:val="none" w:sz="0" w:space="0" w:color="auto"/>
        <w:bottom w:val="none" w:sz="0" w:space="0" w:color="auto"/>
        <w:right w:val="none" w:sz="0" w:space="0" w:color="auto"/>
      </w:divBdr>
    </w:div>
    <w:div w:id="276838061">
      <w:bodyDiv w:val="1"/>
      <w:marLeft w:val="0"/>
      <w:marRight w:val="0"/>
      <w:marTop w:val="0"/>
      <w:marBottom w:val="0"/>
      <w:divBdr>
        <w:top w:val="none" w:sz="0" w:space="0" w:color="auto"/>
        <w:left w:val="none" w:sz="0" w:space="0" w:color="auto"/>
        <w:bottom w:val="none" w:sz="0" w:space="0" w:color="auto"/>
        <w:right w:val="none" w:sz="0" w:space="0" w:color="auto"/>
      </w:divBdr>
    </w:div>
    <w:div w:id="278411992">
      <w:bodyDiv w:val="1"/>
      <w:marLeft w:val="0"/>
      <w:marRight w:val="0"/>
      <w:marTop w:val="0"/>
      <w:marBottom w:val="0"/>
      <w:divBdr>
        <w:top w:val="none" w:sz="0" w:space="0" w:color="auto"/>
        <w:left w:val="none" w:sz="0" w:space="0" w:color="auto"/>
        <w:bottom w:val="none" w:sz="0" w:space="0" w:color="auto"/>
        <w:right w:val="none" w:sz="0" w:space="0" w:color="auto"/>
      </w:divBdr>
    </w:div>
    <w:div w:id="279262582">
      <w:bodyDiv w:val="1"/>
      <w:marLeft w:val="0"/>
      <w:marRight w:val="0"/>
      <w:marTop w:val="0"/>
      <w:marBottom w:val="0"/>
      <w:divBdr>
        <w:top w:val="none" w:sz="0" w:space="0" w:color="auto"/>
        <w:left w:val="none" w:sz="0" w:space="0" w:color="auto"/>
        <w:bottom w:val="none" w:sz="0" w:space="0" w:color="auto"/>
        <w:right w:val="none" w:sz="0" w:space="0" w:color="auto"/>
      </w:divBdr>
      <w:divsChild>
        <w:div w:id="532962708">
          <w:marLeft w:val="0"/>
          <w:marRight w:val="0"/>
          <w:marTop w:val="0"/>
          <w:marBottom w:val="0"/>
          <w:divBdr>
            <w:top w:val="none" w:sz="0" w:space="0" w:color="auto"/>
            <w:left w:val="none" w:sz="0" w:space="0" w:color="auto"/>
            <w:bottom w:val="none" w:sz="0" w:space="0" w:color="auto"/>
            <w:right w:val="none" w:sz="0" w:space="0" w:color="auto"/>
          </w:divBdr>
          <w:divsChild>
            <w:div w:id="249849422">
              <w:marLeft w:val="75"/>
              <w:marRight w:val="75"/>
              <w:marTop w:val="75"/>
              <w:marBottom w:val="75"/>
              <w:divBdr>
                <w:top w:val="none" w:sz="0" w:space="0" w:color="auto"/>
                <w:left w:val="none" w:sz="0" w:space="0" w:color="auto"/>
                <w:bottom w:val="none" w:sz="0" w:space="0" w:color="auto"/>
                <w:right w:val="none" w:sz="0" w:space="0" w:color="auto"/>
              </w:divBdr>
              <w:divsChild>
                <w:div w:id="819806553">
                  <w:marLeft w:val="0"/>
                  <w:marRight w:val="0"/>
                  <w:marTop w:val="0"/>
                  <w:marBottom w:val="0"/>
                  <w:divBdr>
                    <w:top w:val="none" w:sz="0" w:space="0" w:color="auto"/>
                    <w:left w:val="none" w:sz="0" w:space="0" w:color="auto"/>
                    <w:bottom w:val="none" w:sz="0" w:space="0" w:color="auto"/>
                    <w:right w:val="none" w:sz="0" w:space="0" w:color="auto"/>
                  </w:divBdr>
                  <w:divsChild>
                    <w:div w:id="311521700">
                      <w:marLeft w:val="0"/>
                      <w:marRight w:val="0"/>
                      <w:marTop w:val="0"/>
                      <w:marBottom w:val="0"/>
                      <w:divBdr>
                        <w:top w:val="none" w:sz="0" w:space="0" w:color="auto"/>
                        <w:left w:val="none" w:sz="0" w:space="0" w:color="auto"/>
                        <w:bottom w:val="none" w:sz="0" w:space="0" w:color="auto"/>
                        <w:right w:val="none" w:sz="0" w:space="0" w:color="auto"/>
                      </w:divBdr>
                      <w:divsChild>
                        <w:div w:id="1047097482">
                          <w:marLeft w:val="0"/>
                          <w:marRight w:val="0"/>
                          <w:marTop w:val="0"/>
                          <w:marBottom w:val="0"/>
                          <w:divBdr>
                            <w:top w:val="none" w:sz="0" w:space="0" w:color="auto"/>
                            <w:left w:val="none" w:sz="0" w:space="0" w:color="auto"/>
                            <w:bottom w:val="none" w:sz="0" w:space="0" w:color="auto"/>
                            <w:right w:val="none" w:sz="0" w:space="0" w:color="auto"/>
                          </w:divBdr>
                          <w:divsChild>
                            <w:div w:id="1889145212">
                              <w:marLeft w:val="0"/>
                              <w:marRight w:val="0"/>
                              <w:marTop w:val="0"/>
                              <w:marBottom w:val="150"/>
                              <w:divBdr>
                                <w:top w:val="none" w:sz="0" w:space="0" w:color="auto"/>
                                <w:left w:val="none" w:sz="0" w:space="0" w:color="auto"/>
                                <w:bottom w:val="none" w:sz="0" w:space="0" w:color="auto"/>
                                <w:right w:val="none" w:sz="0" w:space="0" w:color="auto"/>
                              </w:divBdr>
                              <w:divsChild>
                                <w:div w:id="20121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565193">
                      <w:marLeft w:val="0"/>
                      <w:marRight w:val="0"/>
                      <w:marTop w:val="0"/>
                      <w:marBottom w:val="0"/>
                      <w:divBdr>
                        <w:top w:val="none" w:sz="0" w:space="0" w:color="auto"/>
                        <w:left w:val="none" w:sz="0" w:space="0" w:color="auto"/>
                        <w:bottom w:val="none" w:sz="0" w:space="0" w:color="auto"/>
                        <w:right w:val="none" w:sz="0" w:space="0" w:color="auto"/>
                      </w:divBdr>
                      <w:divsChild>
                        <w:div w:id="2146242265">
                          <w:marLeft w:val="0"/>
                          <w:marRight w:val="0"/>
                          <w:marTop w:val="0"/>
                          <w:marBottom w:val="0"/>
                          <w:divBdr>
                            <w:top w:val="none" w:sz="0" w:space="0" w:color="auto"/>
                            <w:left w:val="none" w:sz="0" w:space="0" w:color="auto"/>
                            <w:bottom w:val="none" w:sz="0" w:space="0" w:color="auto"/>
                            <w:right w:val="none" w:sz="0" w:space="0" w:color="auto"/>
                          </w:divBdr>
                          <w:divsChild>
                            <w:div w:id="1446463980">
                              <w:marLeft w:val="0"/>
                              <w:marRight w:val="0"/>
                              <w:marTop w:val="0"/>
                              <w:marBottom w:val="150"/>
                              <w:divBdr>
                                <w:top w:val="none" w:sz="0" w:space="0" w:color="auto"/>
                                <w:left w:val="none" w:sz="0" w:space="0" w:color="auto"/>
                                <w:bottom w:val="none" w:sz="0" w:space="0" w:color="auto"/>
                                <w:right w:val="none" w:sz="0" w:space="0" w:color="auto"/>
                              </w:divBdr>
                              <w:divsChild>
                                <w:div w:id="177323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022883">
                      <w:marLeft w:val="0"/>
                      <w:marRight w:val="0"/>
                      <w:marTop w:val="0"/>
                      <w:marBottom w:val="0"/>
                      <w:divBdr>
                        <w:top w:val="none" w:sz="0" w:space="0" w:color="auto"/>
                        <w:left w:val="none" w:sz="0" w:space="0" w:color="auto"/>
                        <w:bottom w:val="none" w:sz="0" w:space="0" w:color="auto"/>
                        <w:right w:val="none" w:sz="0" w:space="0" w:color="auto"/>
                      </w:divBdr>
                      <w:divsChild>
                        <w:div w:id="509373530">
                          <w:marLeft w:val="0"/>
                          <w:marRight w:val="0"/>
                          <w:marTop w:val="0"/>
                          <w:marBottom w:val="0"/>
                          <w:divBdr>
                            <w:top w:val="none" w:sz="0" w:space="0" w:color="auto"/>
                            <w:left w:val="none" w:sz="0" w:space="0" w:color="auto"/>
                            <w:bottom w:val="none" w:sz="0" w:space="0" w:color="auto"/>
                            <w:right w:val="none" w:sz="0" w:space="0" w:color="auto"/>
                          </w:divBdr>
                          <w:divsChild>
                            <w:div w:id="697583391">
                              <w:marLeft w:val="0"/>
                              <w:marRight w:val="0"/>
                              <w:marTop w:val="0"/>
                              <w:marBottom w:val="150"/>
                              <w:divBdr>
                                <w:top w:val="none" w:sz="0" w:space="0" w:color="auto"/>
                                <w:left w:val="none" w:sz="0" w:space="0" w:color="auto"/>
                                <w:bottom w:val="none" w:sz="0" w:space="0" w:color="auto"/>
                                <w:right w:val="none" w:sz="0" w:space="0" w:color="auto"/>
                              </w:divBdr>
                              <w:divsChild>
                                <w:div w:id="190784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430757">
                      <w:marLeft w:val="0"/>
                      <w:marRight w:val="0"/>
                      <w:marTop w:val="0"/>
                      <w:marBottom w:val="0"/>
                      <w:divBdr>
                        <w:top w:val="none" w:sz="0" w:space="0" w:color="auto"/>
                        <w:left w:val="none" w:sz="0" w:space="0" w:color="auto"/>
                        <w:bottom w:val="none" w:sz="0" w:space="0" w:color="auto"/>
                        <w:right w:val="none" w:sz="0" w:space="0" w:color="auto"/>
                      </w:divBdr>
                      <w:divsChild>
                        <w:div w:id="1227257867">
                          <w:marLeft w:val="0"/>
                          <w:marRight w:val="0"/>
                          <w:marTop w:val="0"/>
                          <w:marBottom w:val="0"/>
                          <w:divBdr>
                            <w:top w:val="none" w:sz="0" w:space="0" w:color="auto"/>
                            <w:left w:val="none" w:sz="0" w:space="0" w:color="auto"/>
                            <w:bottom w:val="none" w:sz="0" w:space="0" w:color="auto"/>
                            <w:right w:val="none" w:sz="0" w:space="0" w:color="auto"/>
                          </w:divBdr>
                          <w:divsChild>
                            <w:div w:id="474370069">
                              <w:marLeft w:val="0"/>
                              <w:marRight w:val="0"/>
                              <w:marTop w:val="0"/>
                              <w:marBottom w:val="150"/>
                              <w:divBdr>
                                <w:top w:val="none" w:sz="0" w:space="0" w:color="auto"/>
                                <w:left w:val="none" w:sz="0" w:space="0" w:color="auto"/>
                                <w:bottom w:val="none" w:sz="0" w:space="0" w:color="auto"/>
                                <w:right w:val="none" w:sz="0" w:space="0" w:color="auto"/>
                              </w:divBdr>
                              <w:divsChild>
                                <w:div w:id="134763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3245984">
              <w:marLeft w:val="0"/>
              <w:marRight w:val="0"/>
              <w:marTop w:val="0"/>
              <w:marBottom w:val="0"/>
              <w:divBdr>
                <w:top w:val="none" w:sz="0" w:space="0" w:color="auto"/>
                <w:left w:val="none" w:sz="0" w:space="0" w:color="auto"/>
                <w:bottom w:val="none" w:sz="0" w:space="0" w:color="auto"/>
                <w:right w:val="none" w:sz="0" w:space="0" w:color="auto"/>
              </w:divBdr>
            </w:div>
            <w:div w:id="166975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996318">
      <w:bodyDiv w:val="1"/>
      <w:marLeft w:val="0"/>
      <w:marRight w:val="0"/>
      <w:marTop w:val="0"/>
      <w:marBottom w:val="0"/>
      <w:divBdr>
        <w:top w:val="none" w:sz="0" w:space="0" w:color="auto"/>
        <w:left w:val="none" w:sz="0" w:space="0" w:color="auto"/>
        <w:bottom w:val="none" w:sz="0" w:space="0" w:color="auto"/>
        <w:right w:val="none" w:sz="0" w:space="0" w:color="auto"/>
      </w:divBdr>
    </w:div>
    <w:div w:id="284506194">
      <w:bodyDiv w:val="1"/>
      <w:marLeft w:val="0"/>
      <w:marRight w:val="0"/>
      <w:marTop w:val="0"/>
      <w:marBottom w:val="0"/>
      <w:divBdr>
        <w:top w:val="none" w:sz="0" w:space="0" w:color="auto"/>
        <w:left w:val="none" w:sz="0" w:space="0" w:color="auto"/>
        <w:bottom w:val="none" w:sz="0" w:space="0" w:color="auto"/>
        <w:right w:val="none" w:sz="0" w:space="0" w:color="auto"/>
      </w:divBdr>
    </w:div>
    <w:div w:id="288709413">
      <w:bodyDiv w:val="1"/>
      <w:marLeft w:val="0"/>
      <w:marRight w:val="0"/>
      <w:marTop w:val="0"/>
      <w:marBottom w:val="0"/>
      <w:divBdr>
        <w:top w:val="none" w:sz="0" w:space="0" w:color="auto"/>
        <w:left w:val="none" w:sz="0" w:space="0" w:color="auto"/>
        <w:bottom w:val="none" w:sz="0" w:space="0" w:color="auto"/>
        <w:right w:val="none" w:sz="0" w:space="0" w:color="auto"/>
      </w:divBdr>
    </w:div>
    <w:div w:id="288823024">
      <w:bodyDiv w:val="1"/>
      <w:marLeft w:val="0"/>
      <w:marRight w:val="0"/>
      <w:marTop w:val="0"/>
      <w:marBottom w:val="0"/>
      <w:divBdr>
        <w:top w:val="none" w:sz="0" w:space="0" w:color="auto"/>
        <w:left w:val="none" w:sz="0" w:space="0" w:color="auto"/>
        <w:bottom w:val="none" w:sz="0" w:space="0" w:color="auto"/>
        <w:right w:val="none" w:sz="0" w:space="0" w:color="auto"/>
      </w:divBdr>
    </w:div>
    <w:div w:id="290478686">
      <w:bodyDiv w:val="1"/>
      <w:marLeft w:val="0"/>
      <w:marRight w:val="0"/>
      <w:marTop w:val="0"/>
      <w:marBottom w:val="0"/>
      <w:divBdr>
        <w:top w:val="none" w:sz="0" w:space="0" w:color="auto"/>
        <w:left w:val="none" w:sz="0" w:space="0" w:color="auto"/>
        <w:bottom w:val="none" w:sz="0" w:space="0" w:color="auto"/>
        <w:right w:val="none" w:sz="0" w:space="0" w:color="auto"/>
      </w:divBdr>
    </w:div>
    <w:div w:id="293608709">
      <w:bodyDiv w:val="1"/>
      <w:marLeft w:val="0"/>
      <w:marRight w:val="0"/>
      <w:marTop w:val="0"/>
      <w:marBottom w:val="0"/>
      <w:divBdr>
        <w:top w:val="none" w:sz="0" w:space="0" w:color="auto"/>
        <w:left w:val="none" w:sz="0" w:space="0" w:color="auto"/>
        <w:bottom w:val="none" w:sz="0" w:space="0" w:color="auto"/>
        <w:right w:val="none" w:sz="0" w:space="0" w:color="auto"/>
      </w:divBdr>
    </w:div>
    <w:div w:id="294606808">
      <w:bodyDiv w:val="1"/>
      <w:marLeft w:val="0"/>
      <w:marRight w:val="0"/>
      <w:marTop w:val="0"/>
      <w:marBottom w:val="0"/>
      <w:divBdr>
        <w:top w:val="none" w:sz="0" w:space="0" w:color="auto"/>
        <w:left w:val="none" w:sz="0" w:space="0" w:color="auto"/>
        <w:bottom w:val="none" w:sz="0" w:space="0" w:color="auto"/>
        <w:right w:val="none" w:sz="0" w:space="0" w:color="auto"/>
      </w:divBdr>
    </w:div>
    <w:div w:id="297997111">
      <w:bodyDiv w:val="1"/>
      <w:marLeft w:val="0"/>
      <w:marRight w:val="0"/>
      <w:marTop w:val="0"/>
      <w:marBottom w:val="0"/>
      <w:divBdr>
        <w:top w:val="none" w:sz="0" w:space="0" w:color="auto"/>
        <w:left w:val="none" w:sz="0" w:space="0" w:color="auto"/>
        <w:bottom w:val="none" w:sz="0" w:space="0" w:color="auto"/>
        <w:right w:val="none" w:sz="0" w:space="0" w:color="auto"/>
      </w:divBdr>
    </w:div>
    <w:div w:id="307440370">
      <w:bodyDiv w:val="1"/>
      <w:marLeft w:val="0"/>
      <w:marRight w:val="0"/>
      <w:marTop w:val="0"/>
      <w:marBottom w:val="0"/>
      <w:divBdr>
        <w:top w:val="none" w:sz="0" w:space="0" w:color="auto"/>
        <w:left w:val="none" w:sz="0" w:space="0" w:color="auto"/>
        <w:bottom w:val="none" w:sz="0" w:space="0" w:color="auto"/>
        <w:right w:val="none" w:sz="0" w:space="0" w:color="auto"/>
      </w:divBdr>
    </w:div>
    <w:div w:id="311253510">
      <w:bodyDiv w:val="1"/>
      <w:marLeft w:val="0"/>
      <w:marRight w:val="0"/>
      <w:marTop w:val="0"/>
      <w:marBottom w:val="0"/>
      <w:divBdr>
        <w:top w:val="none" w:sz="0" w:space="0" w:color="auto"/>
        <w:left w:val="none" w:sz="0" w:space="0" w:color="auto"/>
        <w:bottom w:val="none" w:sz="0" w:space="0" w:color="auto"/>
        <w:right w:val="none" w:sz="0" w:space="0" w:color="auto"/>
      </w:divBdr>
      <w:divsChild>
        <w:div w:id="230621441">
          <w:marLeft w:val="0"/>
          <w:marRight w:val="0"/>
          <w:marTop w:val="0"/>
          <w:marBottom w:val="0"/>
          <w:divBdr>
            <w:top w:val="none" w:sz="0" w:space="0" w:color="auto"/>
            <w:left w:val="none" w:sz="0" w:space="0" w:color="auto"/>
            <w:bottom w:val="none" w:sz="0" w:space="0" w:color="auto"/>
            <w:right w:val="none" w:sz="0" w:space="0" w:color="auto"/>
          </w:divBdr>
          <w:divsChild>
            <w:div w:id="1091927076">
              <w:marLeft w:val="0"/>
              <w:marRight w:val="0"/>
              <w:marTop w:val="0"/>
              <w:marBottom w:val="0"/>
              <w:divBdr>
                <w:top w:val="none" w:sz="0" w:space="0" w:color="auto"/>
                <w:left w:val="none" w:sz="0" w:space="0" w:color="auto"/>
                <w:bottom w:val="none" w:sz="0" w:space="0" w:color="auto"/>
                <w:right w:val="none" w:sz="0" w:space="0" w:color="auto"/>
              </w:divBdr>
              <w:divsChild>
                <w:div w:id="67942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900594">
          <w:marLeft w:val="0"/>
          <w:marRight w:val="0"/>
          <w:marTop w:val="0"/>
          <w:marBottom w:val="0"/>
          <w:divBdr>
            <w:top w:val="none" w:sz="0" w:space="0" w:color="auto"/>
            <w:left w:val="none" w:sz="0" w:space="0" w:color="auto"/>
            <w:bottom w:val="none" w:sz="0" w:space="0" w:color="auto"/>
            <w:right w:val="none" w:sz="0" w:space="0" w:color="auto"/>
          </w:divBdr>
          <w:divsChild>
            <w:div w:id="151650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761687">
      <w:bodyDiv w:val="1"/>
      <w:marLeft w:val="0"/>
      <w:marRight w:val="0"/>
      <w:marTop w:val="0"/>
      <w:marBottom w:val="0"/>
      <w:divBdr>
        <w:top w:val="none" w:sz="0" w:space="0" w:color="auto"/>
        <w:left w:val="none" w:sz="0" w:space="0" w:color="auto"/>
        <w:bottom w:val="none" w:sz="0" w:space="0" w:color="auto"/>
        <w:right w:val="none" w:sz="0" w:space="0" w:color="auto"/>
      </w:divBdr>
    </w:div>
    <w:div w:id="313803205">
      <w:bodyDiv w:val="1"/>
      <w:marLeft w:val="0"/>
      <w:marRight w:val="0"/>
      <w:marTop w:val="0"/>
      <w:marBottom w:val="0"/>
      <w:divBdr>
        <w:top w:val="none" w:sz="0" w:space="0" w:color="auto"/>
        <w:left w:val="none" w:sz="0" w:space="0" w:color="auto"/>
        <w:bottom w:val="none" w:sz="0" w:space="0" w:color="auto"/>
        <w:right w:val="none" w:sz="0" w:space="0" w:color="auto"/>
      </w:divBdr>
    </w:div>
    <w:div w:id="316618400">
      <w:bodyDiv w:val="1"/>
      <w:marLeft w:val="0"/>
      <w:marRight w:val="0"/>
      <w:marTop w:val="0"/>
      <w:marBottom w:val="0"/>
      <w:divBdr>
        <w:top w:val="none" w:sz="0" w:space="0" w:color="auto"/>
        <w:left w:val="none" w:sz="0" w:space="0" w:color="auto"/>
        <w:bottom w:val="none" w:sz="0" w:space="0" w:color="auto"/>
        <w:right w:val="none" w:sz="0" w:space="0" w:color="auto"/>
      </w:divBdr>
    </w:div>
    <w:div w:id="317226044">
      <w:bodyDiv w:val="1"/>
      <w:marLeft w:val="0"/>
      <w:marRight w:val="0"/>
      <w:marTop w:val="0"/>
      <w:marBottom w:val="0"/>
      <w:divBdr>
        <w:top w:val="none" w:sz="0" w:space="0" w:color="auto"/>
        <w:left w:val="none" w:sz="0" w:space="0" w:color="auto"/>
        <w:bottom w:val="none" w:sz="0" w:space="0" w:color="auto"/>
        <w:right w:val="none" w:sz="0" w:space="0" w:color="auto"/>
      </w:divBdr>
    </w:div>
    <w:div w:id="317265991">
      <w:bodyDiv w:val="1"/>
      <w:marLeft w:val="0"/>
      <w:marRight w:val="0"/>
      <w:marTop w:val="0"/>
      <w:marBottom w:val="0"/>
      <w:divBdr>
        <w:top w:val="none" w:sz="0" w:space="0" w:color="auto"/>
        <w:left w:val="none" w:sz="0" w:space="0" w:color="auto"/>
        <w:bottom w:val="none" w:sz="0" w:space="0" w:color="auto"/>
        <w:right w:val="none" w:sz="0" w:space="0" w:color="auto"/>
      </w:divBdr>
    </w:div>
    <w:div w:id="317274838">
      <w:bodyDiv w:val="1"/>
      <w:marLeft w:val="0"/>
      <w:marRight w:val="0"/>
      <w:marTop w:val="0"/>
      <w:marBottom w:val="0"/>
      <w:divBdr>
        <w:top w:val="none" w:sz="0" w:space="0" w:color="auto"/>
        <w:left w:val="none" w:sz="0" w:space="0" w:color="auto"/>
        <w:bottom w:val="none" w:sz="0" w:space="0" w:color="auto"/>
        <w:right w:val="none" w:sz="0" w:space="0" w:color="auto"/>
      </w:divBdr>
    </w:div>
    <w:div w:id="323558420">
      <w:bodyDiv w:val="1"/>
      <w:marLeft w:val="0"/>
      <w:marRight w:val="0"/>
      <w:marTop w:val="0"/>
      <w:marBottom w:val="0"/>
      <w:divBdr>
        <w:top w:val="none" w:sz="0" w:space="0" w:color="auto"/>
        <w:left w:val="none" w:sz="0" w:space="0" w:color="auto"/>
        <w:bottom w:val="none" w:sz="0" w:space="0" w:color="auto"/>
        <w:right w:val="none" w:sz="0" w:space="0" w:color="auto"/>
      </w:divBdr>
    </w:div>
    <w:div w:id="323707254">
      <w:bodyDiv w:val="1"/>
      <w:marLeft w:val="0"/>
      <w:marRight w:val="0"/>
      <w:marTop w:val="0"/>
      <w:marBottom w:val="0"/>
      <w:divBdr>
        <w:top w:val="none" w:sz="0" w:space="0" w:color="auto"/>
        <w:left w:val="none" w:sz="0" w:space="0" w:color="auto"/>
        <w:bottom w:val="none" w:sz="0" w:space="0" w:color="auto"/>
        <w:right w:val="none" w:sz="0" w:space="0" w:color="auto"/>
      </w:divBdr>
    </w:div>
    <w:div w:id="324238710">
      <w:bodyDiv w:val="1"/>
      <w:marLeft w:val="0"/>
      <w:marRight w:val="0"/>
      <w:marTop w:val="0"/>
      <w:marBottom w:val="0"/>
      <w:divBdr>
        <w:top w:val="none" w:sz="0" w:space="0" w:color="auto"/>
        <w:left w:val="none" w:sz="0" w:space="0" w:color="auto"/>
        <w:bottom w:val="none" w:sz="0" w:space="0" w:color="auto"/>
        <w:right w:val="none" w:sz="0" w:space="0" w:color="auto"/>
      </w:divBdr>
    </w:div>
    <w:div w:id="333535597">
      <w:bodyDiv w:val="1"/>
      <w:marLeft w:val="0"/>
      <w:marRight w:val="0"/>
      <w:marTop w:val="0"/>
      <w:marBottom w:val="0"/>
      <w:divBdr>
        <w:top w:val="none" w:sz="0" w:space="0" w:color="auto"/>
        <w:left w:val="none" w:sz="0" w:space="0" w:color="auto"/>
        <w:bottom w:val="none" w:sz="0" w:space="0" w:color="auto"/>
        <w:right w:val="none" w:sz="0" w:space="0" w:color="auto"/>
      </w:divBdr>
    </w:div>
    <w:div w:id="334769288">
      <w:bodyDiv w:val="1"/>
      <w:marLeft w:val="0"/>
      <w:marRight w:val="0"/>
      <w:marTop w:val="0"/>
      <w:marBottom w:val="0"/>
      <w:divBdr>
        <w:top w:val="none" w:sz="0" w:space="0" w:color="auto"/>
        <w:left w:val="none" w:sz="0" w:space="0" w:color="auto"/>
        <w:bottom w:val="none" w:sz="0" w:space="0" w:color="auto"/>
        <w:right w:val="none" w:sz="0" w:space="0" w:color="auto"/>
      </w:divBdr>
    </w:div>
    <w:div w:id="335305287">
      <w:bodyDiv w:val="1"/>
      <w:marLeft w:val="0"/>
      <w:marRight w:val="0"/>
      <w:marTop w:val="0"/>
      <w:marBottom w:val="0"/>
      <w:divBdr>
        <w:top w:val="none" w:sz="0" w:space="0" w:color="auto"/>
        <w:left w:val="none" w:sz="0" w:space="0" w:color="auto"/>
        <w:bottom w:val="none" w:sz="0" w:space="0" w:color="auto"/>
        <w:right w:val="none" w:sz="0" w:space="0" w:color="auto"/>
      </w:divBdr>
    </w:div>
    <w:div w:id="336202134">
      <w:bodyDiv w:val="1"/>
      <w:marLeft w:val="0"/>
      <w:marRight w:val="0"/>
      <w:marTop w:val="0"/>
      <w:marBottom w:val="0"/>
      <w:divBdr>
        <w:top w:val="none" w:sz="0" w:space="0" w:color="auto"/>
        <w:left w:val="none" w:sz="0" w:space="0" w:color="auto"/>
        <w:bottom w:val="none" w:sz="0" w:space="0" w:color="auto"/>
        <w:right w:val="none" w:sz="0" w:space="0" w:color="auto"/>
      </w:divBdr>
    </w:div>
    <w:div w:id="357967981">
      <w:bodyDiv w:val="1"/>
      <w:marLeft w:val="0"/>
      <w:marRight w:val="0"/>
      <w:marTop w:val="0"/>
      <w:marBottom w:val="0"/>
      <w:divBdr>
        <w:top w:val="none" w:sz="0" w:space="0" w:color="auto"/>
        <w:left w:val="none" w:sz="0" w:space="0" w:color="auto"/>
        <w:bottom w:val="none" w:sz="0" w:space="0" w:color="auto"/>
        <w:right w:val="none" w:sz="0" w:space="0" w:color="auto"/>
      </w:divBdr>
    </w:div>
    <w:div w:id="361440801">
      <w:bodyDiv w:val="1"/>
      <w:marLeft w:val="0"/>
      <w:marRight w:val="0"/>
      <w:marTop w:val="0"/>
      <w:marBottom w:val="0"/>
      <w:divBdr>
        <w:top w:val="none" w:sz="0" w:space="0" w:color="auto"/>
        <w:left w:val="none" w:sz="0" w:space="0" w:color="auto"/>
        <w:bottom w:val="none" w:sz="0" w:space="0" w:color="auto"/>
        <w:right w:val="none" w:sz="0" w:space="0" w:color="auto"/>
      </w:divBdr>
    </w:div>
    <w:div w:id="367265879">
      <w:bodyDiv w:val="1"/>
      <w:marLeft w:val="0"/>
      <w:marRight w:val="0"/>
      <w:marTop w:val="0"/>
      <w:marBottom w:val="0"/>
      <w:divBdr>
        <w:top w:val="none" w:sz="0" w:space="0" w:color="auto"/>
        <w:left w:val="none" w:sz="0" w:space="0" w:color="auto"/>
        <w:bottom w:val="none" w:sz="0" w:space="0" w:color="auto"/>
        <w:right w:val="none" w:sz="0" w:space="0" w:color="auto"/>
      </w:divBdr>
    </w:div>
    <w:div w:id="367730012">
      <w:bodyDiv w:val="1"/>
      <w:marLeft w:val="0"/>
      <w:marRight w:val="0"/>
      <w:marTop w:val="0"/>
      <w:marBottom w:val="0"/>
      <w:divBdr>
        <w:top w:val="none" w:sz="0" w:space="0" w:color="auto"/>
        <w:left w:val="none" w:sz="0" w:space="0" w:color="auto"/>
        <w:bottom w:val="none" w:sz="0" w:space="0" w:color="auto"/>
        <w:right w:val="none" w:sz="0" w:space="0" w:color="auto"/>
      </w:divBdr>
    </w:div>
    <w:div w:id="368647461">
      <w:bodyDiv w:val="1"/>
      <w:marLeft w:val="0"/>
      <w:marRight w:val="0"/>
      <w:marTop w:val="0"/>
      <w:marBottom w:val="0"/>
      <w:divBdr>
        <w:top w:val="none" w:sz="0" w:space="0" w:color="auto"/>
        <w:left w:val="none" w:sz="0" w:space="0" w:color="auto"/>
        <w:bottom w:val="none" w:sz="0" w:space="0" w:color="auto"/>
        <w:right w:val="none" w:sz="0" w:space="0" w:color="auto"/>
      </w:divBdr>
    </w:div>
    <w:div w:id="370107747">
      <w:bodyDiv w:val="1"/>
      <w:marLeft w:val="0"/>
      <w:marRight w:val="0"/>
      <w:marTop w:val="0"/>
      <w:marBottom w:val="0"/>
      <w:divBdr>
        <w:top w:val="none" w:sz="0" w:space="0" w:color="auto"/>
        <w:left w:val="none" w:sz="0" w:space="0" w:color="auto"/>
        <w:bottom w:val="none" w:sz="0" w:space="0" w:color="auto"/>
        <w:right w:val="none" w:sz="0" w:space="0" w:color="auto"/>
      </w:divBdr>
    </w:div>
    <w:div w:id="370426756">
      <w:bodyDiv w:val="1"/>
      <w:marLeft w:val="0"/>
      <w:marRight w:val="0"/>
      <w:marTop w:val="0"/>
      <w:marBottom w:val="0"/>
      <w:divBdr>
        <w:top w:val="none" w:sz="0" w:space="0" w:color="auto"/>
        <w:left w:val="none" w:sz="0" w:space="0" w:color="auto"/>
        <w:bottom w:val="none" w:sz="0" w:space="0" w:color="auto"/>
        <w:right w:val="none" w:sz="0" w:space="0" w:color="auto"/>
      </w:divBdr>
    </w:div>
    <w:div w:id="373969383">
      <w:bodyDiv w:val="1"/>
      <w:marLeft w:val="0"/>
      <w:marRight w:val="0"/>
      <w:marTop w:val="0"/>
      <w:marBottom w:val="0"/>
      <w:divBdr>
        <w:top w:val="none" w:sz="0" w:space="0" w:color="auto"/>
        <w:left w:val="none" w:sz="0" w:space="0" w:color="auto"/>
        <w:bottom w:val="none" w:sz="0" w:space="0" w:color="auto"/>
        <w:right w:val="none" w:sz="0" w:space="0" w:color="auto"/>
      </w:divBdr>
    </w:div>
    <w:div w:id="374736543">
      <w:bodyDiv w:val="1"/>
      <w:marLeft w:val="0"/>
      <w:marRight w:val="0"/>
      <w:marTop w:val="0"/>
      <w:marBottom w:val="0"/>
      <w:divBdr>
        <w:top w:val="none" w:sz="0" w:space="0" w:color="auto"/>
        <w:left w:val="none" w:sz="0" w:space="0" w:color="auto"/>
        <w:bottom w:val="none" w:sz="0" w:space="0" w:color="auto"/>
        <w:right w:val="none" w:sz="0" w:space="0" w:color="auto"/>
      </w:divBdr>
    </w:div>
    <w:div w:id="376320902">
      <w:bodyDiv w:val="1"/>
      <w:marLeft w:val="0"/>
      <w:marRight w:val="0"/>
      <w:marTop w:val="0"/>
      <w:marBottom w:val="0"/>
      <w:divBdr>
        <w:top w:val="none" w:sz="0" w:space="0" w:color="auto"/>
        <w:left w:val="none" w:sz="0" w:space="0" w:color="auto"/>
        <w:bottom w:val="none" w:sz="0" w:space="0" w:color="auto"/>
        <w:right w:val="none" w:sz="0" w:space="0" w:color="auto"/>
      </w:divBdr>
    </w:div>
    <w:div w:id="379862706">
      <w:bodyDiv w:val="1"/>
      <w:marLeft w:val="0"/>
      <w:marRight w:val="0"/>
      <w:marTop w:val="0"/>
      <w:marBottom w:val="0"/>
      <w:divBdr>
        <w:top w:val="none" w:sz="0" w:space="0" w:color="auto"/>
        <w:left w:val="none" w:sz="0" w:space="0" w:color="auto"/>
        <w:bottom w:val="none" w:sz="0" w:space="0" w:color="auto"/>
        <w:right w:val="none" w:sz="0" w:space="0" w:color="auto"/>
      </w:divBdr>
    </w:div>
    <w:div w:id="380253318">
      <w:bodyDiv w:val="1"/>
      <w:marLeft w:val="0"/>
      <w:marRight w:val="0"/>
      <w:marTop w:val="0"/>
      <w:marBottom w:val="0"/>
      <w:divBdr>
        <w:top w:val="none" w:sz="0" w:space="0" w:color="auto"/>
        <w:left w:val="none" w:sz="0" w:space="0" w:color="auto"/>
        <w:bottom w:val="none" w:sz="0" w:space="0" w:color="auto"/>
        <w:right w:val="none" w:sz="0" w:space="0" w:color="auto"/>
      </w:divBdr>
    </w:div>
    <w:div w:id="382407138">
      <w:bodyDiv w:val="1"/>
      <w:marLeft w:val="0"/>
      <w:marRight w:val="0"/>
      <w:marTop w:val="0"/>
      <w:marBottom w:val="0"/>
      <w:divBdr>
        <w:top w:val="none" w:sz="0" w:space="0" w:color="auto"/>
        <w:left w:val="none" w:sz="0" w:space="0" w:color="auto"/>
        <w:bottom w:val="none" w:sz="0" w:space="0" w:color="auto"/>
        <w:right w:val="none" w:sz="0" w:space="0" w:color="auto"/>
      </w:divBdr>
    </w:div>
    <w:div w:id="383870521">
      <w:bodyDiv w:val="1"/>
      <w:marLeft w:val="0"/>
      <w:marRight w:val="0"/>
      <w:marTop w:val="0"/>
      <w:marBottom w:val="0"/>
      <w:divBdr>
        <w:top w:val="none" w:sz="0" w:space="0" w:color="auto"/>
        <w:left w:val="none" w:sz="0" w:space="0" w:color="auto"/>
        <w:bottom w:val="none" w:sz="0" w:space="0" w:color="auto"/>
        <w:right w:val="none" w:sz="0" w:space="0" w:color="auto"/>
      </w:divBdr>
    </w:div>
    <w:div w:id="384063517">
      <w:bodyDiv w:val="1"/>
      <w:marLeft w:val="0"/>
      <w:marRight w:val="0"/>
      <w:marTop w:val="0"/>
      <w:marBottom w:val="0"/>
      <w:divBdr>
        <w:top w:val="none" w:sz="0" w:space="0" w:color="auto"/>
        <w:left w:val="none" w:sz="0" w:space="0" w:color="auto"/>
        <w:bottom w:val="none" w:sz="0" w:space="0" w:color="auto"/>
        <w:right w:val="none" w:sz="0" w:space="0" w:color="auto"/>
      </w:divBdr>
    </w:div>
    <w:div w:id="388462082">
      <w:bodyDiv w:val="1"/>
      <w:marLeft w:val="0"/>
      <w:marRight w:val="0"/>
      <w:marTop w:val="0"/>
      <w:marBottom w:val="0"/>
      <w:divBdr>
        <w:top w:val="none" w:sz="0" w:space="0" w:color="auto"/>
        <w:left w:val="none" w:sz="0" w:space="0" w:color="auto"/>
        <w:bottom w:val="none" w:sz="0" w:space="0" w:color="auto"/>
        <w:right w:val="none" w:sz="0" w:space="0" w:color="auto"/>
      </w:divBdr>
    </w:div>
    <w:div w:id="393048679">
      <w:bodyDiv w:val="1"/>
      <w:marLeft w:val="0"/>
      <w:marRight w:val="0"/>
      <w:marTop w:val="0"/>
      <w:marBottom w:val="0"/>
      <w:divBdr>
        <w:top w:val="none" w:sz="0" w:space="0" w:color="auto"/>
        <w:left w:val="none" w:sz="0" w:space="0" w:color="auto"/>
        <w:bottom w:val="none" w:sz="0" w:space="0" w:color="auto"/>
        <w:right w:val="none" w:sz="0" w:space="0" w:color="auto"/>
      </w:divBdr>
    </w:div>
    <w:div w:id="394134674">
      <w:bodyDiv w:val="1"/>
      <w:marLeft w:val="0"/>
      <w:marRight w:val="0"/>
      <w:marTop w:val="0"/>
      <w:marBottom w:val="0"/>
      <w:divBdr>
        <w:top w:val="none" w:sz="0" w:space="0" w:color="auto"/>
        <w:left w:val="none" w:sz="0" w:space="0" w:color="auto"/>
        <w:bottom w:val="none" w:sz="0" w:space="0" w:color="auto"/>
        <w:right w:val="none" w:sz="0" w:space="0" w:color="auto"/>
      </w:divBdr>
    </w:div>
    <w:div w:id="397439410">
      <w:bodyDiv w:val="1"/>
      <w:marLeft w:val="0"/>
      <w:marRight w:val="0"/>
      <w:marTop w:val="0"/>
      <w:marBottom w:val="0"/>
      <w:divBdr>
        <w:top w:val="none" w:sz="0" w:space="0" w:color="auto"/>
        <w:left w:val="none" w:sz="0" w:space="0" w:color="auto"/>
        <w:bottom w:val="none" w:sz="0" w:space="0" w:color="auto"/>
        <w:right w:val="none" w:sz="0" w:space="0" w:color="auto"/>
      </w:divBdr>
    </w:div>
    <w:div w:id="398676887">
      <w:bodyDiv w:val="1"/>
      <w:marLeft w:val="0"/>
      <w:marRight w:val="0"/>
      <w:marTop w:val="0"/>
      <w:marBottom w:val="0"/>
      <w:divBdr>
        <w:top w:val="none" w:sz="0" w:space="0" w:color="auto"/>
        <w:left w:val="none" w:sz="0" w:space="0" w:color="auto"/>
        <w:bottom w:val="none" w:sz="0" w:space="0" w:color="auto"/>
        <w:right w:val="none" w:sz="0" w:space="0" w:color="auto"/>
      </w:divBdr>
    </w:div>
    <w:div w:id="399249747">
      <w:bodyDiv w:val="1"/>
      <w:marLeft w:val="0"/>
      <w:marRight w:val="0"/>
      <w:marTop w:val="0"/>
      <w:marBottom w:val="0"/>
      <w:divBdr>
        <w:top w:val="none" w:sz="0" w:space="0" w:color="auto"/>
        <w:left w:val="none" w:sz="0" w:space="0" w:color="auto"/>
        <w:bottom w:val="none" w:sz="0" w:space="0" w:color="auto"/>
        <w:right w:val="none" w:sz="0" w:space="0" w:color="auto"/>
      </w:divBdr>
    </w:div>
    <w:div w:id="399715280">
      <w:bodyDiv w:val="1"/>
      <w:marLeft w:val="0"/>
      <w:marRight w:val="0"/>
      <w:marTop w:val="0"/>
      <w:marBottom w:val="0"/>
      <w:divBdr>
        <w:top w:val="none" w:sz="0" w:space="0" w:color="auto"/>
        <w:left w:val="none" w:sz="0" w:space="0" w:color="auto"/>
        <w:bottom w:val="none" w:sz="0" w:space="0" w:color="auto"/>
        <w:right w:val="none" w:sz="0" w:space="0" w:color="auto"/>
      </w:divBdr>
    </w:div>
    <w:div w:id="399905490">
      <w:bodyDiv w:val="1"/>
      <w:marLeft w:val="0"/>
      <w:marRight w:val="0"/>
      <w:marTop w:val="0"/>
      <w:marBottom w:val="0"/>
      <w:divBdr>
        <w:top w:val="none" w:sz="0" w:space="0" w:color="auto"/>
        <w:left w:val="none" w:sz="0" w:space="0" w:color="auto"/>
        <w:bottom w:val="none" w:sz="0" w:space="0" w:color="auto"/>
        <w:right w:val="none" w:sz="0" w:space="0" w:color="auto"/>
      </w:divBdr>
    </w:div>
    <w:div w:id="402877249">
      <w:bodyDiv w:val="1"/>
      <w:marLeft w:val="0"/>
      <w:marRight w:val="0"/>
      <w:marTop w:val="0"/>
      <w:marBottom w:val="0"/>
      <w:divBdr>
        <w:top w:val="none" w:sz="0" w:space="0" w:color="auto"/>
        <w:left w:val="none" w:sz="0" w:space="0" w:color="auto"/>
        <w:bottom w:val="none" w:sz="0" w:space="0" w:color="auto"/>
        <w:right w:val="none" w:sz="0" w:space="0" w:color="auto"/>
      </w:divBdr>
    </w:div>
    <w:div w:id="404036985">
      <w:bodyDiv w:val="1"/>
      <w:marLeft w:val="0"/>
      <w:marRight w:val="0"/>
      <w:marTop w:val="0"/>
      <w:marBottom w:val="0"/>
      <w:divBdr>
        <w:top w:val="none" w:sz="0" w:space="0" w:color="auto"/>
        <w:left w:val="none" w:sz="0" w:space="0" w:color="auto"/>
        <w:bottom w:val="none" w:sz="0" w:space="0" w:color="auto"/>
        <w:right w:val="none" w:sz="0" w:space="0" w:color="auto"/>
      </w:divBdr>
    </w:div>
    <w:div w:id="405611303">
      <w:bodyDiv w:val="1"/>
      <w:marLeft w:val="0"/>
      <w:marRight w:val="0"/>
      <w:marTop w:val="0"/>
      <w:marBottom w:val="0"/>
      <w:divBdr>
        <w:top w:val="none" w:sz="0" w:space="0" w:color="auto"/>
        <w:left w:val="none" w:sz="0" w:space="0" w:color="auto"/>
        <w:bottom w:val="none" w:sz="0" w:space="0" w:color="auto"/>
        <w:right w:val="none" w:sz="0" w:space="0" w:color="auto"/>
      </w:divBdr>
    </w:div>
    <w:div w:id="408115120">
      <w:bodyDiv w:val="1"/>
      <w:marLeft w:val="0"/>
      <w:marRight w:val="0"/>
      <w:marTop w:val="0"/>
      <w:marBottom w:val="0"/>
      <w:divBdr>
        <w:top w:val="none" w:sz="0" w:space="0" w:color="auto"/>
        <w:left w:val="none" w:sz="0" w:space="0" w:color="auto"/>
        <w:bottom w:val="none" w:sz="0" w:space="0" w:color="auto"/>
        <w:right w:val="none" w:sz="0" w:space="0" w:color="auto"/>
      </w:divBdr>
    </w:div>
    <w:div w:id="410929897">
      <w:bodyDiv w:val="1"/>
      <w:marLeft w:val="0"/>
      <w:marRight w:val="0"/>
      <w:marTop w:val="0"/>
      <w:marBottom w:val="0"/>
      <w:divBdr>
        <w:top w:val="none" w:sz="0" w:space="0" w:color="auto"/>
        <w:left w:val="none" w:sz="0" w:space="0" w:color="auto"/>
        <w:bottom w:val="none" w:sz="0" w:space="0" w:color="auto"/>
        <w:right w:val="none" w:sz="0" w:space="0" w:color="auto"/>
      </w:divBdr>
    </w:div>
    <w:div w:id="412094472">
      <w:bodyDiv w:val="1"/>
      <w:marLeft w:val="0"/>
      <w:marRight w:val="0"/>
      <w:marTop w:val="0"/>
      <w:marBottom w:val="0"/>
      <w:divBdr>
        <w:top w:val="none" w:sz="0" w:space="0" w:color="auto"/>
        <w:left w:val="none" w:sz="0" w:space="0" w:color="auto"/>
        <w:bottom w:val="none" w:sz="0" w:space="0" w:color="auto"/>
        <w:right w:val="none" w:sz="0" w:space="0" w:color="auto"/>
      </w:divBdr>
    </w:div>
    <w:div w:id="413088484">
      <w:bodyDiv w:val="1"/>
      <w:marLeft w:val="0"/>
      <w:marRight w:val="0"/>
      <w:marTop w:val="0"/>
      <w:marBottom w:val="0"/>
      <w:divBdr>
        <w:top w:val="none" w:sz="0" w:space="0" w:color="auto"/>
        <w:left w:val="none" w:sz="0" w:space="0" w:color="auto"/>
        <w:bottom w:val="none" w:sz="0" w:space="0" w:color="auto"/>
        <w:right w:val="none" w:sz="0" w:space="0" w:color="auto"/>
      </w:divBdr>
    </w:div>
    <w:div w:id="413821866">
      <w:bodyDiv w:val="1"/>
      <w:marLeft w:val="0"/>
      <w:marRight w:val="0"/>
      <w:marTop w:val="0"/>
      <w:marBottom w:val="0"/>
      <w:divBdr>
        <w:top w:val="none" w:sz="0" w:space="0" w:color="auto"/>
        <w:left w:val="none" w:sz="0" w:space="0" w:color="auto"/>
        <w:bottom w:val="none" w:sz="0" w:space="0" w:color="auto"/>
        <w:right w:val="none" w:sz="0" w:space="0" w:color="auto"/>
      </w:divBdr>
    </w:div>
    <w:div w:id="415790767">
      <w:bodyDiv w:val="1"/>
      <w:marLeft w:val="0"/>
      <w:marRight w:val="0"/>
      <w:marTop w:val="0"/>
      <w:marBottom w:val="0"/>
      <w:divBdr>
        <w:top w:val="none" w:sz="0" w:space="0" w:color="auto"/>
        <w:left w:val="none" w:sz="0" w:space="0" w:color="auto"/>
        <w:bottom w:val="none" w:sz="0" w:space="0" w:color="auto"/>
        <w:right w:val="none" w:sz="0" w:space="0" w:color="auto"/>
      </w:divBdr>
    </w:div>
    <w:div w:id="419061076">
      <w:bodyDiv w:val="1"/>
      <w:marLeft w:val="0"/>
      <w:marRight w:val="0"/>
      <w:marTop w:val="0"/>
      <w:marBottom w:val="0"/>
      <w:divBdr>
        <w:top w:val="none" w:sz="0" w:space="0" w:color="auto"/>
        <w:left w:val="none" w:sz="0" w:space="0" w:color="auto"/>
        <w:bottom w:val="none" w:sz="0" w:space="0" w:color="auto"/>
        <w:right w:val="none" w:sz="0" w:space="0" w:color="auto"/>
      </w:divBdr>
    </w:div>
    <w:div w:id="419565970">
      <w:bodyDiv w:val="1"/>
      <w:marLeft w:val="0"/>
      <w:marRight w:val="0"/>
      <w:marTop w:val="0"/>
      <w:marBottom w:val="0"/>
      <w:divBdr>
        <w:top w:val="none" w:sz="0" w:space="0" w:color="auto"/>
        <w:left w:val="none" w:sz="0" w:space="0" w:color="auto"/>
        <w:bottom w:val="none" w:sz="0" w:space="0" w:color="auto"/>
        <w:right w:val="none" w:sz="0" w:space="0" w:color="auto"/>
      </w:divBdr>
    </w:div>
    <w:div w:id="420638657">
      <w:bodyDiv w:val="1"/>
      <w:marLeft w:val="0"/>
      <w:marRight w:val="0"/>
      <w:marTop w:val="0"/>
      <w:marBottom w:val="0"/>
      <w:divBdr>
        <w:top w:val="none" w:sz="0" w:space="0" w:color="auto"/>
        <w:left w:val="none" w:sz="0" w:space="0" w:color="auto"/>
        <w:bottom w:val="none" w:sz="0" w:space="0" w:color="auto"/>
        <w:right w:val="none" w:sz="0" w:space="0" w:color="auto"/>
      </w:divBdr>
    </w:div>
    <w:div w:id="421069526">
      <w:bodyDiv w:val="1"/>
      <w:marLeft w:val="0"/>
      <w:marRight w:val="0"/>
      <w:marTop w:val="0"/>
      <w:marBottom w:val="0"/>
      <w:divBdr>
        <w:top w:val="none" w:sz="0" w:space="0" w:color="auto"/>
        <w:left w:val="none" w:sz="0" w:space="0" w:color="auto"/>
        <w:bottom w:val="none" w:sz="0" w:space="0" w:color="auto"/>
        <w:right w:val="none" w:sz="0" w:space="0" w:color="auto"/>
      </w:divBdr>
    </w:div>
    <w:div w:id="423065424">
      <w:bodyDiv w:val="1"/>
      <w:marLeft w:val="0"/>
      <w:marRight w:val="0"/>
      <w:marTop w:val="0"/>
      <w:marBottom w:val="0"/>
      <w:divBdr>
        <w:top w:val="none" w:sz="0" w:space="0" w:color="auto"/>
        <w:left w:val="none" w:sz="0" w:space="0" w:color="auto"/>
        <w:bottom w:val="none" w:sz="0" w:space="0" w:color="auto"/>
        <w:right w:val="none" w:sz="0" w:space="0" w:color="auto"/>
      </w:divBdr>
    </w:div>
    <w:div w:id="423114319">
      <w:bodyDiv w:val="1"/>
      <w:marLeft w:val="0"/>
      <w:marRight w:val="0"/>
      <w:marTop w:val="0"/>
      <w:marBottom w:val="0"/>
      <w:divBdr>
        <w:top w:val="none" w:sz="0" w:space="0" w:color="auto"/>
        <w:left w:val="none" w:sz="0" w:space="0" w:color="auto"/>
        <w:bottom w:val="none" w:sz="0" w:space="0" w:color="auto"/>
        <w:right w:val="none" w:sz="0" w:space="0" w:color="auto"/>
      </w:divBdr>
    </w:div>
    <w:div w:id="427894805">
      <w:bodyDiv w:val="1"/>
      <w:marLeft w:val="0"/>
      <w:marRight w:val="0"/>
      <w:marTop w:val="0"/>
      <w:marBottom w:val="0"/>
      <w:divBdr>
        <w:top w:val="none" w:sz="0" w:space="0" w:color="auto"/>
        <w:left w:val="none" w:sz="0" w:space="0" w:color="auto"/>
        <w:bottom w:val="none" w:sz="0" w:space="0" w:color="auto"/>
        <w:right w:val="none" w:sz="0" w:space="0" w:color="auto"/>
      </w:divBdr>
    </w:div>
    <w:div w:id="428434077">
      <w:bodyDiv w:val="1"/>
      <w:marLeft w:val="0"/>
      <w:marRight w:val="0"/>
      <w:marTop w:val="0"/>
      <w:marBottom w:val="0"/>
      <w:divBdr>
        <w:top w:val="none" w:sz="0" w:space="0" w:color="auto"/>
        <w:left w:val="none" w:sz="0" w:space="0" w:color="auto"/>
        <w:bottom w:val="none" w:sz="0" w:space="0" w:color="auto"/>
        <w:right w:val="none" w:sz="0" w:space="0" w:color="auto"/>
      </w:divBdr>
    </w:div>
    <w:div w:id="428505501">
      <w:bodyDiv w:val="1"/>
      <w:marLeft w:val="0"/>
      <w:marRight w:val="0"/>
      <w:marTop w:val="0"/>
      <w:marBottom w:val="0"/>
      <w:divBdr>
        <w:top w:val="none" w:sz="0" w:space="0" w:color="auto"/>
        <w:left w:val="none" w:sz="0" w:space="0" w:color="auto"/>
        <w:bottom w:val="none" w:sz="0" w:space="0" w:color="auto"/>
        <w:right w:val="none" w:sz="0" w:space="0" w:color="auto"/>
      </w:divBdr>
    </w:div>
    <w:div w:id="429401182">
      <w:bodyDiv w:val="1"/>
      <w:marLeft w:val="0"/>
      <w:marRight w:val="0"/>
      <w:marTop w:val="0"/>
      <w:marBottom w:val="0"/>
      <w:divBdr>
        <w:top w:val="none" w:sz="0" w:space="0" w:color="auto"/>
        <w:left w:val="none" w:sz="0" w:space="0" w:color="auto"/>
        <w:bottom w:val="none" w:sz="0" w:space="0" w:color="auto"/>
        <w:right w:val="none" w:sz="0" w:space="0" w:color="auto"/>
      </w:divBdr>
    </w:div>
    <w:div w:id="430858494">
      <w:bodyDiv w:val="1"/>
      <w:marLeft w:val="0"/>
      <w:marRight w:val="0"/>
      <w:marTop w:val="0"/>
      <w:marBottom w:val="0"/>
      <w:divBdr>
        <w:top w:val="none" w:sz="0" w:space="0" w:color="auto"/>
        <w:left w:val="none" w:sz="0" w:space="0" w:color="auto"/>
        <w:bottom w:val="none" w:sz="0" w:space="0" w:color="auto"/>
        <w:right w:val="none" w:sz="0" w:space="0" w:color="auto"/>
      </w:divBdr>
    </w:div>
    <w:div w:id="431707199">
      <w:bodyDiv w:val="1"/>
      <w:marLeft w:val="0"/>
      <w:marRight w:val="0"/>
      <w:marTop w:val="0"/>
      <w:marBottom w:val="0"/>
      <w:divBdr>
        <w:top w:val="none" w:sz="0" w:space="0" w:color="auto"/>
        <w:left w:val="none" w:sz="0" w:space="0" w:color="auto"/>
        <w:bottom w:val="none" w:sz="0" w:space="0" w:color="auto"/>
        <w:right w:val="none" w:sz="0" w:space="0" w:color="auto"/>
      </w:divBdr>
    </w:div>
    <w:div w:id="434054874">
      <w:bodyDiv w:val="1"/>
      <w:marLeft w:val="0"/>
      <w:marRight w:val="0"/>
      <w:marTop w:val="0"/>
      <w:marBottom w:val="0"/>
      <w:divBdr>
        <w:top w:val="none" w:sz="0" w:space="0" w:color="auto"/>
        <w:left w:val="none" w:sz="0" w:space="0" w:color="auto"/>
        <w:bottom w:val="none" w:sz="0" w:space="0" w:color="auto"/>
        <w:right w:val="none" w:sz="0" w:space="0" w:color="auto"/>
      </w:divBdr>
    </w:div>
    <w:div w:id="434833916">
      <w:bodyDiv w:val="1"/>
      <w:marLeft w:val="0"/>
      <w:marRight w:val="0"/>
      <w:marTop w:val="0"/>
      <w:marBottom w:val="0"/>
      <w:divBdr>
        <w:top w:val="none" w:sz="0" w:space="0" w:color="auto"/>
        <w:left w:val="none" w:sz="0" w:space="0" w:color="auto"/>
        <w:bottom w:val="none" w:sz="0" w:space="0" w:color="auto"/>
        <w:right w:val="none" w:sz="0" w:space="0" w:color="auto"/>
      </w:divBdr>
    </w:div>
    <w:div w:id="439642201">
      <w:bodyDiv w:val="1"/>
      <w:marLeft w:val="0"/>
      <w:marRight w:val="0"/>
      <w:marTop w:val="0"/>
      <w:marBottom w:val="0"/>
      <w:divBdr>
        <w:top w:val="none" w:sz="0" w:space="0" w:color="auto"/>
        <w:left w:val="none" w:sz="0" w:space="0" w:color="auto"/>
        <w:bottom w:val="none" w:sz="0" w:space="0" w:color="auto"/>
        <w:right w:val="none" w:sz="0" w:space="0" w:color="auto"/>
      </w:divBdr>
    </w:div>
    <w:div w:id="440881736">
      <w:bodyDiv w:val="1"/>
      <w:marLeft w:val="0"/>
      <w:marRight w:val="0"/>
      <w:marTop w:val="0"/>
      <w:marBottom w:val="0"/>
      <w:divBdr>
        <w:top w:val="none" w:sz="0" w:space="0" w:color="auto"/>
        <w:left w:val="none" w:sz="0" w:space="0" w:color="auto"/>
        <w:bottom w:val="none" w:sz="0" w:space="0" w:color="auto"/>
        <w:right w:val="none" w:sz="0" w:space="0" w:color="auto"/>
      </w:divBdr>
    </w:div>
    <w:div w:id="441530810">
      <w:bodyDiv w:val="1"/>
      <w:marLeft w:val="0"/>
      <w:marRight w:val="0"/>
      <w:marTop w:val="0"/>
      <w:marBottom w:val="0"/>
      <w:divBdr>
        <w:top w:val="none" w:sz="0" w:space="0" w:color="auto"/>
        <w:left w:val="none" w:sz="0" w:space="0" w:color="auto"/>
        <w:bottom w:val="none" w:sz="0" w:space="0" w:color="auto"/>
        <w:right w:val="none" w:sz="0" w:space="0" w:color="auto"/>
      </w:divBdr>
    </w:div>
    <w:div w:id="442505159">
      <w:bodyDiv w:val="1"/>
      <w:marLeft w:val="0"/>
      <w:marRight w:val="0"/>
      <w:marTop w:val="0"/>
      <w:marBottom w:val="0"/>
      <w:divBdr>
        <w:top w:val="none" w:sz="0" w:space="0" w:color="auto"/>
        <w:left w:val="none" w:sz="0" w:space="0" w:color="auto"/>
        <w:bottom w:val="none" w:sz="0" w:space="0" w:color="auto"/>
        <w:right w:val="none" w:sz="0" w:space="0" w:color="auto"/>
      </w:divBdr>
      <w:divsChild>
        <w:div w:id="689990491">
          <w:marLeft w:val="0"/>
          <w:marRight w:val="0"/>
          <w:marTop w:val="0"/>
          <w:marBottom w:val="0"/>
          <w:divBdr>
            <w:top w:val="none" w:sz="0" w:space="0" w:color="auto"/>
            <w:left w:val="none" w:sz="0" w:space="0" w:color="auto"/>
            <w:bottom w:val="none" w:sz="0" w:space="0" w:color="auto"/>
            <w:right w:val="none" w:sz="0" w:space="0" w:color="auto"/>
          </w:divBdr>
          <w:divsChild>
            <w:div w:id="1060635232">
              <w:marLeft w:val="0"/>
              <w:marRight w:val="0"/>
              <w:marTop w:val="0"/>
              <w:marBottom w:val="0"/>
              <w:divBdr>
                <w:top w:val="none" w:sz="0" w:space="0" w:color="auto"/>
                <w:left w:val="none" w:sz="0" w:space="0" w:color="auto"/>
                <w:bottom w:val="none" w:sz="0" w:space="0" w:color="auto"/>
                <w:right w:val="none" w:sz="0" w:space="0" w:color="auto"/>
              </w:divBdr>
              <w:divsChild>
                <w:div w:id="1225293711">
                  <w:marLeft w:val="0"/>
                  <w:marRight w:val="0"/>
                  <w:marTop w:val="0"/>
                  <w:marBottom w:val="0"/>
                  <w:divBdr>
                    <w:top w:val="none" w:sz="0" w:space="0" w:color="auto"/>
                    <w:left w:val="none" w:sz="0" w:space="0" w:color="auto"/>
                    <w:bottom w:val="none" w:sz="0" w:space="0" w:color="auto"/>
                    <w:right w:val="none" w:sz="0" w:space="0" w:color="auto"/>
                  </w:divBdr>
                </w:div>
              </w:divsChild>
            </w:div>
            <w:div w:id="1318024872">
              <w:marLeft w:val="0"/>
              <w:marRight w:val="0"/>
              <w:marTop w:val="0"/>
              <w:marBottom w:val="0"/>
              <w:divBdr>
                <w:top w:val="none" w:sz="0" w:space="0" w:color="auto"/>
                <w:left w:val="none" w:sz="0" w:space="0" w:color="auto"/>
                <w:bottom w:val="none" w:sz="0" w:space="0" w:color="auto"/>
                <w:right w:val="none" w:sz="0" w:space="0" w:color="auto"/>
              </w:divBdr>
              <w:divsChild>
                <w:div w:id="1372220686">
                  <w:marLeft w:val="0"/>
                  <w:marRight w:val="0"/>
                  <w:marTop w:val="0"/>
                  <w:marBottom w:val="0"/>
                  <w:divBdr>
                    <w:top w:val="none" w:sz="0" w:space="0" w:color="auto"/>
                    <w:left w:val="none" w:sz="0" w:space="0" w:color="auto"/>
                    <w:bottom w:val="none" w:sz="0" w:space="0" w:color="auto"/>
                    <w:right w:val="none" w:sz="0" w:space="0" w:color="auto"/>
                  </w:divBdr>
                </w:div>
              </w:divsChild>
            </w:div>
            <w:div w:id="1782067091">
              <w:marLeft w:val="0"/>
              <w:marRight w:val="0"/>
              <w:marTop w:val="0"/>
              <w:marBottom w:val="0"/>
              <w:divBdr>
                <w:top w:val="none" w:sz="0" w:space="0" w:color="auto"/>
                <w:left w:val="none" w:sz="0" w:space="0" w:color="auto"/>
                <w:bottom w:val="none" w:sz="0" w:space="0" w:color="auto"/>
                <w:right w:val="none" w:sz="0" w:space="0" w:color="auto"/>
              </w:divBdr>
              <w:divsChild>
                <w:div w:id="327902084">
                  <w:marLeft w:val="0"/>
                  <w:marRight w:val="0"/>
                  <w:marTop w:val="0"/>
                  <w:marBottom w:val="0"/>
                  <w:divBdr>
                    <w:top w:val="none" w:sz="0" w:space="0" w:color="auto"/>
                    <w:left w:val="none" w:sz="0" w:space="0" w:color="auto"/>
                    <w:bottom w:val="none" w:sz="0" w:space="0" w:color="auto"/>
                    <w:right w:val="none" w:sz="0" w:space="0" w:color="auto"/>
                  </w:divBdr>
                </w:div>
              </w:divsChild>
            </w:div>
            <w:div w:id="2042784366">
              <w:marLeft w:val="0"/>
              <w:marRight w:val="0"/>
              <w:marTop w:val="0"/>
              <w:marBottom w:val="0"/>
              <w:divBdr>
                <w:top w:val="none" w:sz="0" w:space="0" w:color="auto"/>
                <w:left w:val="none" w:sz="0" w:space="0" w:color="auto"/>
                <w:bottom w:val="none" w:sz="0" w:space="0" w:color="auto"/>
                <w:right w:val="none" w:sz="0" w:space="0" w:color="auto"/>
              </w:divBdr>
              <w:divsChild>
                <w:div w:id="55347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036856">
      <w:bodyDiv w:val="1"/>
      <w:marLeft w:val="0"/>
      <w:marRight w:val="0"/>
      <w:marTop w:val="0"/>
      <w:marBottom w:val="0"/>
      <w:divBdr>
        <w:top w:val="none" w:sz="0" w:space="0" w:color="auto"/>
        <w:left w:val="none" w:sz="0" w:space="0" w:color="auto"/>
        <w:bottom w:val="none" w:sz="0" w:space="0" w:color="auto"/>
        <w:right w:val="none" w:sz="0" w:space="0" w:color="auto"/>
      </w:divBdr>
    </w:div>
    <w:div w:id="445662144">
      <w:bodyDiv w:val="1"/>
      <w:marLeft w:val="0"/>
      <w:marRight w:val="0"/>
      <w:marTop w:val="0"/>
      <w:marBottom w:val="0"/>
      <w:divBdr>
        <w:top w:val="none" w:sz="0" w:space="0" w:color="auto"/>
        <w:left w:val="none" w:sz="0" w:space="0" w:color="auto"/>
        <w:bottom w:val="none" w:sz="0" w:space="0" w:color="auto"/>
        <w:right w:val="none" w:sz="0" w:space="0" w:color="auto"/>
      </w:divBdr>
    </w:div>
    <w:div w:id="449278651">
      <w:bodyDiv w:val="1"/>
      <w:marLeft w:val="0"/>
      <w:marRight w:val="0"/>
      <w:marTop w:val="0"/>
      <w:marBottom w:val="0"/>
      <w:divBdr>
        <w:top w:val="none" w:sz="0" w:space="0" w:color="auto"/>
        <w:left w:val="none" w:sz="0" w:space="0" w:color="auto"/>
        <w:bottom w:val="none" w:sz="0" w:space="0" w:color="auto"/>
        <w:right w:val="none" w:sz="0" w:space="0" w:color="auto"/>
      </w:divBdr>
    </w:div>
    <w:div w:id="449788935">
      <w:bodyDiv w:val="1"/>
      <w:marLeft w:val="0"/>
      <w:marRight w:val="0"/>
      <w:marTop w:val="0"/>
      <w:marBottom w:val="0"/>
      <w:divBdr>
        <w:top w:val="none" w:sz="0" w:space="0" w:color="auto"/>
        <w:left w:val="none" w:sz="0" w:space="0" w:color="auto"/>
        <w:bottom w:val="none" w:sz="0" w:space="0" w:color="auto"/>
        <w:right w:val="none" w:sz="0" w:space="0" w:color="auto"/>
      </w:divBdr>
    </w:div>
    <w:div w:id="452138214">
      <w:bodyDiv w:val="1"/>
      <w:marLeft w:val="0"/>
      <w:marRight w:val="0"/>
      <w:marTop w:val="0"/>
      <w:marBottom w:val="0"/>
      <w:divBdr>
        <w:top w:val="none" w:sz="0" w:space="0" w:color="auto"/>
        <w:left w:val="none" w:sz="0" w:space="0" w:color="auto"/>
        <w:bottom w:val="none" w:sz="0" w:space="0" w:color="auto"/>
        <w:right w:val="none" w:sz="0" w:space="0" w:color="auto"/>
      </w:divBdr>
    </w:div>
    <w:div w:id="457064115">
      <w:bodyDiv w:val="1"/>
      <w:marLeft w:val="0"/>
      <w:marRight w:val="0"/>
      <w:marTop w:val="0"/>
      <w:marBottom w:val="0"/>
      <w:divBdr>
        <w:top w:val="none" w:sz="0" w:space="0" w:color="auto"/>
        <w:left w:val="none" w:sz="0" w:space="0" w:color="auto"/>
        <w:bottom w:val="none" w:sz="0" w:space="0" w:color="auto"/>
        <w:right w:val="none" w:sz="0" w:space="0" w:color="auto"/>
      </w:divBdr>
    </w:div>
    <w:div w:id="457337784">
      <w:bodyDiv w:val="1"/>
      <w:marLeft w:val="0"/>
      <w:marRight w:val="0"/>
      <w:marTop w:val="0"/>
      <w:marBottom w:val="0"/>
      <w:divBdr>
        <w:top w:val="none" w:sz="0" w:space="0" w:color="auto"/>
        <w:left w:val="none" w:sz="0" w:space="0" w:color="auto"/>
        <w:bottom w:val="none" w:sz="0" w:space="0" w:color="auto"/>
        <w:right w:val="none" w:sz="0" w:space="0" w:color="auto"/>
      </w:divBdr>
    </w:div>
    <w:div w:id="457377643">
      <w:bodyDiv w:val="1"/>
      <w:marLeft w:val="0"/>
      <w:marRight w:val="0"/>
      <w:marTop w:val="0"/>
      <w:marBottom w:val="0"/>
      <w:divBdr>
        <w:top w:val="none" w:sz="0" w:space="0" w:color="auto"/>
        <w:left w:val="none" w:sz="0" w:space="0" w:color="auto"/>
        <w:bottom w:val="none" w:sz="0" w:space="0" w:color="auto"/>
        <w:right w:val="none" w:sz="0" w:space="0" w:color="auto"/>
      </w:divBdr>
    </w:div>
    <w:div w:id="457721737">
      <w:bodyDiv w:val="1"/>
      <w:marLeft w:val="0"/>
      <w:marRight w:val="0"/>
      <w:marTop w:val="0"/>
      <w:marBottom w:val="0"/>
      <w:divBdr>
        <w:top w:val="none" w:sz="0" w:space="0" w:color="auto"/>
        <w:left w:val="none" w:sz="0" w:space="0" w:color="auto"/>
        <w:bottom w:val="none" w:sz="0" w:space="0" w:color="auto"/>
        <w:right w:val="none" w:sz="0" w:space="0" w:color="auto"/>
      </w:divBdr>
    </w:div>
    <w:div w:id="462582685">
      <w:bodyDiv w:val="1"/>
      <w:marLeft w:val="0"/>
      <w:marRight w:val="0"/>
      <w:marTop w:val="0"/>
      <w:marBottom w:val="0"/>
      <w:divBdr>
        <w:top w:val="none" w:sz="0" w:space="0" w:color="auto"/>
        <w:left w:val="none" w:sz="0" w:space="0" w:color="auto"/>
        <w:bottom w:val="none" w:sz="0" w:space="0" w:color="auto"/>
        <w:right w:val="none" w:sz="0" w:space="0" w:color="auto"/>
      </w:divBdr>
    </w:div>
    <w:div w:id="464466900">
      <w:bodyDiv w:val="1"/>
      <w:marLeft w:val="0"/>
      <w:marRight w:val="0"/>
      <w:marTop w:val="0"/>
      <w:marBottom w:val="0"/>
      <w:divBdr>
        <w:top w:val="none" w:sz="0" w:space="0" w:color="auto"/>
        <w:left w:val="none" w:sz="0" w:space="0" w:color="auto"/>
        <w:bottom w:val="none" w:sz="0" w:space="0" w:color="auto"/>
        <w:right w:val="none" w:sz="0" w:space="0" w:color="auto"/>
      </w:divBdr>
    </w:div>
    <w:div w:id="464813080">
      <w:bodyDiv w:val="1"/>
      <w:marLeft w:val="0"/>
      <w:marRight w:val="0"/>
      <w:marTop w:val="0"/>
      <w:marBottom w:val="0"/>
      <w:divBdr>
        <w:top w:val="none" w:sz="0" w:space="0" w:color="auto"/>
        <w:left w:val="none" w:sz="0" w:space="0" w:color="auto"/>
        <w:bottom w:val="none" w:sz="0" w:space="0" w:color="auto"/>
        <w:right w:val="none" w:sz="0" w:space="0" w:color="auto"/>
      </w:divBdr>
    </w:div>
    <w:div w:id="465197532">
      <w:bodyDiv w:val="1"/>
      <w:marLeft w:val="0"/>
      <w:marRight w:val="0"/>
      <w:marTop w:val="0"/>
      <w:marBottom w:val="0"/>
      <w:divBdr>
        <w:top w:val="none" w:sz="0" w:space="0" w:color="auto"/>
        <w:left w:val="none" w:sz="0" w:space="0" w:color="auto"/>
        <w:bottom w:val="none" w:sz="0" w:space="0" w:color="auto"/>
        <w:right w:val="none" w:sz="0" w:space="0" w:color="auto"/>
      </w:divBdr>
    </w:div>
    <w:div w:id="466362918">
      <w:bodyDiv w:val="1"/>
      <w:marLeft w:val="0"/>
      <w:marRight w:val="0"/>
      <w:marTop w:val="0"/>
      <w:marBottom w:val="0"/>
      <w:divBdr>
        <w:top w:val="none" w:sz="0" w:space="0" w:color="auto"/>
        <w:left w:val="none" w:sz="0" w:space="0" w:color="auto"/>
        <w:bottom w:val="none" w:sz="0" w:space="0" w:color="auto"/>
        <w:right w:val="none" w:sz="0" w:space="0" w:color="auto"/>
      </w:divBdr>
    </w:div>
    <w:div w:id="473449272">
      <w:bodyDiv w:val="1"/>
      <w:marLeft w:val="0"/>
      <w:marRight w:val="0"/>
      <w:marTop w:val="0"/>
      <w:marBottom w:val="0"/>
      <w:divBdr>
        <w:top w:val="none" w:sz="0" w:space="0" w:color="auto"/>
        <w:left w:val="none" w:sz="0" w:space="0" w:color="auto"/>
        <w:bottom w:val="none" w:sz="0" w:space="0" w:color="auto"/>
        <w:right w:val="none" w:sz="0" w:space="0" w:color="auto"/>
      </w:divBdr>
    </w:div>
    <w:div w:id="473789850">
      <w:bodyDiv w:val="1"/>
      <w:marLeft w:val="0"/>
      <w:marRight w:val="0"/>
      <w:marTop w:val="0"/>
      <w:marBottom w:val="0"/>
      <w:divBdr>
        <w:top w:val="none" w:sz="0" w:space="0" w:color="auto"/>
        <w:left w:val="none" w:sz="0" w:space="0" w:color="auto"/>
        <w:bottom w:val="none" w:sz="0" w:space="0" w:color="auto"/>
        <w:right w:val="none" w:sz="0" w:space="0" w:color="auto"/>
      </w:divBdr>
    </w:div>
    <w:div w:id="475948519">
      <w:bodyDiv w:val="1"/>
      <w:marLeft w:val="0"/>
      <w:marRight w:val="0"/>
      <w:marTop w:val="0"/>
      <w:marBottom w:val="0"/>
      <w:divBdr>
        <w:top w:val="none" w:sz="0" w:space="0" w:color="auto"/>
        <w:left w:val="none" w:sz="0" w:space="0" w:color="auto"/>
        <w:bottom w:val="none" w:sz="0" w:space="0" w:color="auto"/>
        <w:right w:val="none" w:sz="0" w:space="0" w:color="auto"/>
      </w:divBdr>
    </w:div>
    <w:div w:id="479813175">
      <w:bodyDiv w:val="1"/>
      <w:marLeft w:val="0"/>
      <w:marRight w:val="0"/>
      <w:marTop w:val="0"/>
      <w:marBottom w:val="0"/>
      <w:divBdr>
        <w:top w:val="none" w:sz="0" w:space="0" w:color="auto"/>
        <w:left w:val="none" w:sz="0" w:space="0" w:color="auto"/>
        <w:bottom w:val="none" w:sz="0" w:space="0" w:color="auto"/>
        <w:right w:val="none" w:sz="0" w:space="0" w:color="auto"/>
      </w:divBdr>
    </w:div>
    <w:div w:id="479999229">
      <w:bodyDiv w:val="1"/>
      <w:marLeft w:val="0"/>
      <w:marRight w:val="0"/>
      <w:marTop w:val="0"/>
      <w:marBottom w:val="0"/>
      <w:divBdr>
        <w:top w:val="none" w:sz="0" w:space="0" w:color="auto"/>
        <w:left w:val="none" w:sz="0" w:space="0" w:color="auto"/>
        <w:bottom w:val="none" w:sz="0" w:space="0" w:color="auto"/>
        <w:right w:val="none" w:sz="0" w:space="0" w:color="auto"/>
      </w:divBdr>
    </w:div>
    <w:div w:id="480464413">
      <w:bodyDiv w:val="1"/>
      <w:marLeft w:val="0"/>
      <w:marRight w:val="0"/>
      <w:marTop w:val="0"/>
      <w:marBottom w:val="0"/>
      <w:divBdr>
        <w:top w:val="none" w:sz="0" w:space="0" w:color="auto"/>
        <w:left w:val="none" w:sz="0" w:space="0" w:color="auto"/>
        <w:bottom w:val="none" w:sz="0" w:space="0" w:color="auto"/>
        <w:right w:val="none" w:sz="0" w:space="0" w:color="auto"/>
      </w:divBdr>
    </w:div>
    <w:div w:id="485172051">
      <w:bodyDiv w:val="1"/>
      <w:marLeft w:val="0"/>
      <w:marRight w:val="0"/>
      <w:marTop w:val="0"/>
      <w:marBottom w:val="0"/>
      <w:divBdr>
        <w:top w:val="none" w:sz="0" w:space="0" w:color="auto"/>
        <w:left w:val="none" w:sz="0" w:space="0" w:color="auto"/>
        <w:bottom w:val="none" w:sz="0" w:space="0" w:color="auto"/>
        <w:right w:val="none" w:sz="0" w:space="0" w:color="auto"/>
      </w:divBdr>
    </w:div>
    <w:div w:id="491415102">
      <w:bodyDiv w:val="1"/>
      <w:marLeft w:val="0"/>
      <w:marRight w:val="0"/>
      <w:marTop w:val="0"/>
      <w:marBottom w:val="0"/>
      <w:divBdr>
        <w:top w:val="none" w:sz="0" w:space="0" w:color="auto"/>
        <w:left w:val="none" w:sz="0" w:space="0" w:color="auto"/>
        <w:bottom w:val="none" w:sz="0" w:space="0" w:color="auto"/>
        <w:right w:val="none" w:sz="0" w:space="0" w:color="auto"/>
      </w:divBdr>
    </w:div>
    <w:div w:id="494415531">
      <w:bodyDiv w:val="1"/>
      <w:marLeft w:val="0"/>
      <w:marRight w:val="0"/>
      <w:marTop w:val="0"/>
      <w:marBottom w:val="0"/>
      <w:divBdr>
        <w:top w:val="none" w:sz="0" w:space="0" w:color="auto"/>
        <w:left w:val="none" w:sz="0" w:space="0" w:color="auto"/>
        <w:bottom w:val="none" w:sz="0" w:space="0" w:color="auto"/>
        <w:right w:val="none" w:sz="0" w:space="0" w:color="auto"/>
      </w:divBdr>
    </w:div>
    <w:div w:id="495999533">
      <w:bodyDiv w:val="1"/>
      <w:marLeft w:val="0"/>
      <w:marRight w:val="0"/>
      <w:marTop w:val="0"/>
      <w:marBottom w:val="0"/>
      <w:divBdr>
        <w:top w:val="none" w:sz="0" w:space="0" w:color="auto"/>
        <w:left w:val="none" w:sz="0" w:space="0" w:color="auto"/>
        <w:bottom w:val="none" w:sz="0" w:space="0" w:color="auto"/>
        <w:right w:val="none" w:sz="0" w:space="0" w:color="auto"/>
      </w:divBdr>
    </w:div>
    <w:div w:id="496917203">
      <w:bodyDiv w:val="1"/>
      <w:marLeft w:val="0"/>
      <w:marRight w:val="0"/>
      <w:marTop w:val="0"/>
      <w:marBottom w:val="0"/>
      <w:divBdr>
        <w:top w:val="none" w:sz="0" w:space="0" w:color="auto"/>
        <w:left w:val="none" w:sz="0" w:space="0" w:color="auto"/>
        <w:bottom w:val="none" w:sz="0" w:space="0" w:color="auto"/>
        <w:right w:val="none" w:sz="0" w:space="0" w:color="auto"/>
      </w:divBdr>
    </w:div>
    <w:div w:id="499471033">
      <w:bodyDiv w:val="1"/>
      <w:marLeft w:val="0"/>
      <w:marRight w:val="0"/>
      <w:marTop w:val="0"/>
      <w:marBottom w:val="0"/>
      <w:divBdr>
        <w:top w:val="none" w:sz="0" w:space="0" w:color="auto"/>
        <w:left w:val="none" w:sz="0" w:space="0" w:color="auto"/>
        <w:bottom w:val="none" w:sz="0" w:space="0" w:color="auto"/>
        <w:right w:val="none" w:sz="0" w:space="0" w:color="auto"/>
      </w:divBdr>
    </w:div>
    <w:div w:id="500126099">
      <w:bodyDiv w:val="1"/>
      <w:marLeft w:val="0"/>
      <w:marRight w:val="0"/>
      <w:marTop w:val="0"/>
      <w:marBottom w:val="0"/>
      <w:divBdr>
        <w:top w:val="none" w:sz="0" w:space="0" w:color="auto"/>
        <w:left w:val="none" w:sz="0" w:space="0" w:color="auto"/>
        <w:bottom w:val="none" w:sz="0" w:space="0" w:color="auto"/>
        <w:right w:val="none" w:sz="0" w:space="0" w:color="auto"/>
      </w:divBdr>
    </w:div>
    <w:div w:id="501940308">
      <w:bodyDiv w:val="1"/>
      <w:marLeft w:val="0"/>
      <w:marRight w:val="0"/>
      <w:marTop w:val="0"/>
      <w:marBottom w:val="0"/>
      <w:divBdr>
        <w:top w:val="none" w:sz="0" w:space="0" w:color="auto"/>
        <w:left w:val="none" w:sz="0" w:space="0" w:color="auto"/>
        <w:bottom w:val="none" w:sz="0" w:space="0" w:color="auto"/>
        <w:right w:val="none" w:sz="0" w:space="0" w:color="auto"/>
      </w:divBdr>
    </w:div>
    <w:div w:id="502010138">
      <w:bodyDiv w:val="1"/>
      <w:marLeft w:val="0"/>
      <w:marRight w:val="0"/>
      <w:marTop w:val="0"/>
      <w:marBottom w:val="0"/>
      <w:divBdr>
        <w:top w:val="none" w:sz="0" w:space="0" w:color="auto"/>
        <w:left w:val="none" w:sz="0" w:space="0" w:color="auto"/>
        <w:bottom w:val="none" w:sz="0" w:space="0" w:color="auto"/>
        <w:right w:val="none" w:sz="0" w:space="0" w:color="auto"/>
      </w:divBdr>
    </w:div>
    <w:div w:id="505246960">
      <w:bodyDiv w:val="1"/>
      <w:marLeft w:val="0"/>
      <w:marRight w:val="0"/>
      <w:marTop w:val="0"/>
      <w:marBottom w:val="0"/>
      <w:divBdr>
        <w:top w:val="none" w:sz="0" w:space="0" w:color="auto"/>
        <w:left w:val="none" w:sz="0" w:space="0" w:color="auto"/>
        <w:bottom w:val="none" w:sz="0" w:space="0" w:color="auto"/>
        <w:right w:val="none" w:sz="0" w:space="0" w:color="auto"/>
      </w:divBdr>
    </w:div>
    <w:div w:id="505632964">
      <w:bodyDiv w:val="1"/>
      <w:marLeft w:val="0"/>
      <w:marRight w:val="0"/>
      <w:marTop w:val="0"/>
      <w:marBottom w:val="0"/>
      <w:divBdr>
        <w:top w:val="none" w:sz="0" w:space="0" w:color="auto"/>
        <w:left w:val="none" w:sz="0" w:space="0" w:color="auto"/>
        <w:bottom w:val="none" w:sz="0" w:space="0" w:color="auto"/>
        <w:right w:val="none" w:sz="0" w:space="0" w:color="auto"/>
      </w:divBdr>
    </w:div>
    <w:div w:id="510074441">
      <w:bodyDiv w:val="1"/>
      <w:marLeft w:val="0"/>
      <w:marRight w:val="0"/>
      <w:marTop w:val="0"/>
      <w:marBottom w:val="0"/>
      <w:divBdr>
        <w:top w:val="none" w:sz="0" w:space="0" w:color="auto"/>
        <w:left w:val="none" w:sz="0" w:space="0" w:color="auto"/>
        <w:bottom w:val="none" w:sz="0" w:space="0" w:color="auto"/>
        <w:right w:val="none" w:sz="0" w:space="0" w:color="auto"/>
      </w:divBdr>
    </w:div>
    <w:div w:id="513039128">
      <w:bodyDiv w:val="1"/>
      <w:marLeft w:val="0"/>
      <w:marRight w:val="0"/>
      <w:marTop w:val="0"/>
      <w:marBottom w:val="0"/>
      <w:divBdr>
        <w:top w:val="none" w:sz="0" w:space="0" w:color="auto"/>
        <w:left w:val="none" w:sz="0" w:space="0" w:color="auto"/>
        <w:bottom w:val="none" w:sz="0" w:space="0" w:color="auto"/>
        <w:right w:val="none" w:sz="0" w:space="0" w:color="auto"/>
      </w:divBdr>
    </w:div>
    <w:div w:id="514807437">
      <w:bodyDiv w:val="1"/>
      <w:marLeft w:val="0"/>
      <w:marRight w:val="0"/>
      <w:marTop w:val="0"/>
      <w:marBottom w:val="0"/>
      <w:divBdr>
        <w:top w:val="none" w:sz="0" w:space="0" w:color="auto"/>
        <w:left w:val="none" w:sz="0" w:space="0" w:color="auto"/>
        <w:bottom w:val="none" w:sz="0" w:space="0" w:color="auto"/>
        <w:right w:val="none" w:sz="0" w:space="0" w:color="auto"/>
      </w:divBdr>
    </w:div>
    <w:div w:id="516776259">
      <w:bodyDiv w:val="1"/>
      <w:marLeft w:val="0"/>
      <w:marRight w:val="0"/>
      <w:marTop w:val="0"/>
      <w:marBottom w:val="0"/>
      <w:divBdr>
        <w:top w:val="none" w:sz="0" w:space="0" w:color="auto"/>
        <w:left w:val="none" w:sz="0" w:space="0" w:color="auto"/>
        <w:bottom w:val="none" w:sz="0" w:space="0" w:color="auto"/>
        <w:right w:val="none" w:sz="0" w:space="0" w:color="auto"/>
      </w:divBdr>
    </w:div>
    <w:div w:id="519318374">
      <w:bodyDiv w:val="1"/>
      <w:marLeft w:val="0"/>
      <w:marRight w:val="0"/>
      <w:marTop w:val="0"/>
      <w:marBottom w:val="0"/>
      <w:divBdr>
        <w:top w:val="none" w:sz="0" w:space="0" w:color="auto"/>
        <w:left w:val="none" w:sz="0" w:space="0" w:color="auto"/>
        <w:bottom w:val="none" w:sz="0" w:space="0" w:color="auto"/>
        <w:right w:val="none" w:sz="0" w:space="0" w:color="auto"/>
      </w:divBdr>
    </w:div>
    <w:div w:id="519390517">
      <w:bodyDiv w:val="1"/>
      <w:marLeft w:val="0"/>
      <w:marRight w:val="0"/>
      <w:marTop w:val="0"/>
      <w:marBottom w:val="0"/>
      <w:divBdr>
        <w:top w:val="none" w:sz="0" w:space="0" w:color="auto"/>
        <w:left w:val="none" w:sz="0" w:space="0" w:color="auto"/>
        <w:bottom w:val="none" w:sz="0" w:space="0" w:color="auto"/>
        <w:right w:val="none" w:sz="0" w:space="0" w:color="auto"/>
      </w:divBdr>
    </w:div>
    <w:div w:id="519901185">
      <w:bodyDiv w:val="1"/>
      <w:marLeft w:val="0"/>
      <w:marRight w:val="0"/>
      <w:marTop w:val="0"/>
      <w:marBottom w:val="0"/>
      <w:divBdr>
        <w:top w:val="none" w:sz="0" w:space="0" w:color="auto"/>
        <w:left w:val="none" w:sz="0" w:space="0" w:color="auto"/>
        <w:bottom w:val="none" w:sz="0" w:space="0" w:color="auto"/>
        <w:right w:val="none" w:sz="0" w:space="0" w:color="auto"/>
      </w:divBdr>
    </w:div>
    <w:div w:id="519974819">
      <w:bodyDiv w:val="1"/>
      <w:marLeft w:val="0"/>
      <w:marRight w:val="0"/>
      <w:marTop w:val="0"/>
      <w:marBottom w:val="0"/>
      <w:divBdr>
        <w:top w:val="none" w:sz="0" w:space="0" w:color="auto"/>
        <w:left w:val="none" w:sz="0" w:space="0" w:color="auto"/>
        <w:bottom w:val="none" w:sz="0" w:space="0" w:color="auto"/>
        <w:right w:val="none" w:sz="0" w:space="0" w:color="auto"/>
      </w:divBdr>
    </w:div>
    <w:div w:id="521163152">
      <w:bodyDiv w:val="1"/>
      <w:marLeft w:val="0"/>
      <w:marRight w:val="0"/>
      <w:marTop w:val="0"/>
      <w:marBottom w:val="0"/>
      <w:divBdr>
        <w:top w:val="none" w:sz="0" w:space="0" w:color="auto"/>
        <w:left w:val="none" w:sz="0" w:space="0" w:color="auto"/>
        <w:bottom w:val="none" w:sz="0" w:space="0" w:color="auto"/>
        <w:right w:val="none" w:sz="0" w:space="0" w:color="auto"/>
      </w:divBdr>
    </w:div>
    <w:div w:id="526454742">
      <w:bodyDiv w:val="1"/>
      <w:marLeft w:val="0"/>
      <w:marRight w:val="0"/>
      <w:marTop w:val="0"/>
      <w:marBottom w:val="0"/>
      <w:divBdr>
        <w:top w:val="none" w:sz="0" w:space="0" w:color="auto"/>
        <w:left w:val="none" w:sz="0" w:space="0" w:color="auto"/>
        <w:bottom w:val="none" w:sz="0" w:space="0" w:color="auto"/>
        <w:right w:val="none" w:sz="0" w:space="0" w:color="auto"/>
      </w:divBdr>
    </w:div>
    <w:div w:id="527068798">
      <w:bodyDiv w:val="1"/>
      <w:marLeft w:val="0"/>
      <w:marRight w:val="0"/>
      <w:marTop w:val="0"/>
      <w:marBottom w:val="0"/>
      <w:divBdr>
        <w:top w:val="none" w:sz="0" w:space="0" w:color="auto"/>
        <w:left w:val="none" w:sz="0" w:space="0" w:color="auto"/>
        <w:bottom w:val="none" w:sz="0" w:space="0" w:color="auto"/>
        <w:right w:val="none" w:sz="0" w:space="0" w:color="auto"/>
      </w:divBdr>
    </w:div>
    <w:div w:id="528639086">
      <w:bodyDiv w:val="1"/>
      <w:marLeft w:val="0"/>
      <w:marRight w:val="0"/>
      <w:marTop w:val="0"/>
      <w:marBottom w:val="0"/>
      <w:divBdr>
        <w:top w:val="none" w:sz="0" w:space="0" w:color="auto"/>
        <w:left w:val="none" w:sz="0" w:space="0" w:color="auto"/>
        <w:bottom w:val="none" w:sz="0" w:space="0" w:color="auto"/>
        <w:right w:val="none" w:sz="0" w:space="0" w:color="auto"/>
      </w:divBdr>
    </w:div>
    <w:div w:id="530606251">
      <w:bodyDiv w:val="1"/>
      <w:marLeft w:val="0"/>
      <w:marRight w:val="0"/>
      <w:marTop w:val="0"/>
      <w:marBottom w:val="0"/>
      <w:divBdr>
        <w:top w:val="none" w:sz="0" w:space="0" w:color="auto"/>
        <w:left w:val="none" w:sz="0" w:space="0" w:color="auto"/>
        <w:bottom w:val="none" w:sz="0" w:space="0" w:color="auto"/>
        <w:right w:val="none" w:sz="0" w:space="0" w:color="auto"/>
      </w:divBdr>
    </w:div>
    <w:div w:id="530843246">
      <w:bodyDiv w:val="1"/>
      <w:marLeft w:val="0"/>
      <w:marRight w:val="0"/>
      <w:marTop w:val="0"/>
      <w:marBottom w:val="0"/>
      <w:divBdr>
        <w:top w:val="none" w:sz="0" w:space="0" w:color="auto"/>
        <w:left w:val="none" w:sz="0" w:space="0" w:color="auto"/>
        <w:bottom w:val="none" w:sz="0" w:space="0" w:color="auto"/>
        <w:right w:val="none" w:sz="0" w:space="0" w:color="auto"/>
      </w:divBdr>
    </w:div>
    <w:div w:id="531575279">
      <w:bodyDiv w:val="1"/>
      <w:marLeft w:val="0"/>
      <w:marRight w:val="0"/>
      <w:marTop w:val="0"/>
      <w:marBottom w:val="0"/>
      <w:divBdr>
        <w:top w:val="none" w:sz="0" w:space="0" w:color="auto"/>
        <w:left w:val="none" w:sz="0" w:space="0" w:color="auto"/>
        <w:bottom w:val="none" w:sz="0" w:space="0" w:color="auto"/>
        <w:right w:val="none" w:sz="0" w:space="0" w:color="auto"/>
      </w:divBdr>
    </w:div>
    <w:div w:id="533428384">
      <w:bodyDiv w:val="1"/>
      <w:marLeft w:val="0"/>
      <w:marRight w:val="0"/>
      <w:marTop w:val="0"/>
      <w:marBottom w:val="0"/>
      <w:divBdr>
        <w:top w:val="none" w:sz="0" w:space="0" w:color="auto"/>
        <w:left w:val="none" w:sz="0" w:space="0" w:color="auto"/>
        <w:bottom w:val="none" w:sz="0" w:space="0" w:color="auto"/>
        <w:right w:val="none" w:sz="0" w:space="0" w:color="auto"/>
      </w:divBdr>
    </w:div>
    <w:div w:id="537158684">
      <w:bodyDiv w:val="1"/>
      <w:marLeft w:val="0"/>
      <w:marRight w:val="0"/>
      <w:marTop w:val="0"/>
      <w:marBottom w:val="0"/>
      <w:divBdr>
        <w:top w:val="none" w:sz="0" w:space="0" w:color="auto"/>
        <w:left w:val="none" w:sz="0" w:space="0" w:color="auto"/>
        <w:bottom w:val="none" w:sz="0" w:space="0" w:color="auto"/>
        <w:right w:val="none" w:sz="0" w:space="0" w:color="auto"/>
      </w:divBdr>
    </w:div>
    <w:div w:id="537741087">
      <w:bodyDiv w:val="1"/>
      <w:marLeft w:val="0"/>
      <w:marRight w:val="0"/>
      <w:marTop w:val="0"/>
      <w:marBottom w:val="0"/>
      <w:divBdr>
        <w:top w:val="none" w:sz="0" w:space="0" w:color="auto"/>
        <w:left w:val="none" w:sz="0" w:space="0" w:color="auto"/>
        <w:bottom w:val="none" w:sz="0" w:space="0" w:color="auto"/>
        <w:right w:val="none" w:sz="0" w:space="0" w:color="auto"/>
      </w:divBdr>
    </w:div>
    <w:div w:id="538130170">
      <w:bodyDiv w:val="1"/>
      <w:marLeft w:val="0"/>
      <w:marRight w:val="0"/>
      <w:marTop w:val="0"/>
      <w:marBottom w:val="0"/>
      <w:divBdr>
        <w:top w:val="none" w:sz="0" w:space="0" w:color="auto"/>
        <w:left w:val="none" w:sz="0" w:space="0" w:color="auto"/>
        <w:bottom w:val="none" w:sz="0" w:space="0" w:color="auto"/>
        <w:right w:val="none" w:sz="0" w:space="0" w:color="auto"/>
      </w:divBdr>
    </w:div>
    <w:div w:id="538589893">
      <w:bodyDiv w:val="1"/>
      <w:marLeft w:val="0"/>
      <w:marRight w:val="0"/>
      <w:marTop w:val="0"/>
      <w:marBottom w:val="0"/>
      <w:divBdr>
        <w:top w:val="none" w:sz="0" w:space="0" w:color="auto"/>
        <w:left w:val="none" w:sz="0" w:space="0" w:color="auto"/>
        <w:bottom w:val="none" w:sz="0" w:space="0" w:color="auto"/>
        <w:right w:val="none" w:sz="0" w:space="0" w:color="auto"/>
      </w:divBdr>
    </w:div>
    <w:div w:id="539782657">
      <w:bodyDiv w:val="1"/>
      <w:marLeft w:val="0"/>
      <w:marRight w:val="0"/>
      <w:marTop w:val="0"/>
      <w:marBottom w:val="0"/>
      <w:divBdr>
        <w:top w:val="none" w:sz="0" w:space="0" w:color="auto"/>
        <w:left w:val="none" w:sz="0" w:space="0" w:color="auto"/>
        <w:bottom w:val="none" w:sz="0" w:space="0" w:color="auto"/>
        <w:right w:val="none" w:sz="0" w:space="0" w:color="auto"/>
      </w:divBdr>
    </w:div>
    <w:div w:id="540017924">
      <w:bodyDiv w:val="1"/>
      <w:marLeft w:val="0"/>
      <w:marRight w:val="0"/>
      <w:marTop w:val="0"/>
      <w:marBottom w:val="0"/>
      <w:divBdr>
        <w:top w:val="none" w:sz="0" w:space="0" w:color="auto"/>
        <w:left w:val="none" w:sz="0" w:space="0" w:color="auto"/>
        <w:bottom w:val="none" w:sz="0" w:space="0" w:color="auto"/>
        <w:right w:val="none" w:sz="0" w:space="0" w:color="auto"/>
      </w:divBdr>
    </w:div>
    <w:div w:id="544563303">
      <w:bodyDiv w:val="1"/>
      <w:marLeft w:val="0"/>
      <w:marRight w:val="0"/>
      <w:marTop w:val="0"/>
      <w:marBottom w:val="0"/>
      <w:divBdr>
        <w:top w:val="none" w:sz="0" w:space="0" w:color="auto"/>
        <w:left w:val="none" w:sz="0" w:space="0" w:color="auto"/>
        <w:bottom w:val="none" w:sz="0" w:space="0" w:color="auto"/>
        <w:right w:val="none" w:sz="0" w:space="0" w:color="auto"/>
      </w:divBdr>
    </w:div>
    <w:div w:id="548494393">
      <w:bodyDiv w:val="1"/>
      <w:marLeft w:val="0"/>
      <w:marRight w:val="0"/>
      <w:marTop w:val="0"/>
      <w:marBottom w:val="0"/>
      <w:divBdr>
        <w:top w:val="none" w:sz="0" w:space="0" w:color="auto"/>
        <w:left w:val="none" w:sz="0" w:space="0" w:color="auto"/>
        <w:bottom w:val="none" w:sz="0" w:space="0" w:color="auto"/>
        <w:right w:val="none" w:sz="0" w:space="0" w:color="auto"/>
      </w:divBdr>
    </w:div>
    <w:div w:id="551625038">
      <w:bodyDiv w:val="1"/>
      <w:marLeft w:val="0"/>
      <w:marRight w:val="0"/>
      <w:marTop w:val="0"/>
      <w:marBottom w:val="0"/>
      <w:divBdr>
        <w:top w:val="none" w:sz="0" w:space="0" w:color="auto"/>
        <w:left w:val="none" w:sz="0" w:space="0" w:color="auto"/>
        <w:bottom w:val="none" w:sz="0" w:space="0" w:color="auto"/>
        <w:right w:val="none" w:sz="0" w:space="0" w:color="auto"/>
      </w:divBdr>
    </w:div>
    <w:div w:id="552085563">
      <w:bodyDiv w:val="1"/>
      <w:marLeft w:val="0"/>
      <w:marRight w:val="0"/>
      <w:marTop w:val="0"/>
      <w:marBottom w:val="0"/>
      <w:divBdr>
        <w:top w:val="none" w:sz="0" w:space="0" w:color="auto"/>
        <w:left w:val="none" w:sz="0" w:space="0" w:color="auto"/>
        <w:bottom w:val="none" w:sz="0" w:space="0" w:color="auto"/>
        <w:right w:val="none" w:sz="0" w:space="0" w:color="auto"/>
      </w:divBdr>
    </w:div>
    <w:div w:id="552236352">
      <w:bodyDiv w:val="1"/>
      <w:marLeft w:val="0"/>
      <w:marRight w:val="0"/>
      <w:marTop w:val="0"/>
      <w:marBottom w:val="0"/>
      <w:divBdr>
        <w:top w:val="none" w:sz="0" w:space="0" w:color="auto"/>
        <w:left w:val="none" w:sz="0" w:space="0" w:color="auto"/>
        <w:bottom w:val="none" w:sz="0" w:space="0" w:color="auto"/>
        <w:right w:val="none" w:sz="0" w:space="0" w:color="auto"/>
      </w:divBdr>
    </w:div>
    <w:div w:id="552348316">
      <w:bodyDiv w:val="1"/>
      <w:marLeft w:val="0"/>
      <w:marRight w:val="0"/>
      <w:marTop w:val="0"/>
      <w:marBottom w:val="0"/>
      <w:divBdr>
        <w:top w:val="none" w:sz="0" w:space="0" w:color="auto"/>
        <w:left w:val="none" w:sz="0" w:space="0" w:color="auto"/>
        <w:bottom w:val="none" w:sz="0" w:space="0" w:color="auto"/>
        <w:right w:val="none" w:sz="0" w:space="0" w:color="auto"/>
      </w:divBdr>
    </w:div>
    <w:div w:id="553660057">
      <w:bodyDiv w:val="1"/>
      <w:marLeft w:val="0"/>
      <w:marRight w:val="0"/>
      <w:marTop w:val="0"/>
      <w:marBottom w:val="0"/>
      <w:divBdr>
        <w:top w:val="none" w:sz="0" w:space="0" w:color="auto"/>
        <w:left w:val="none" w:sz="0" w:space="0" w:color="auto"/>
        <w:bottom w:val="none" w:sz="0" w:space="0" w:color="auto"/>
        <w:right w:val="none" w:sz="0" w:space="0" w:color="auto"/>
      </w:divBdr>
    </w:div>
    <w:div w:id="555746844">
      <w:bodyDiv w:val="1"/>
      <w:marLeft w:val="0"/>
      <w:marRight w:val="0"/>
      <w:marTop w:val="0"/>
      <w:marBottom w:val="0"/>
      <w:divBdr>
        <w:top w:val="none" w:sz="0" w:space="0" w:color="auto"/>
        <w:left w:val="none" w:sz="0" w:space="0" w:color="auto"/>
        <w:bottom w:val="none" w:sz="0" w:space="0" w:color="auto"/>
        <w:right w:val="none" w:sz="0" w:space="0" w:color="auto"/>
      </w:divBdr>
    </w:div>
    <w:div w:id="556207925">
      <w:bodyDiv w:val="1"/>
      <w:marLeft w:val="0"/>
      <w:marRight w:val="0"/>
      <w:marTop w:val="0"/>
      <w:marBottom w:val="0"/>
      <w:divBdr>
        <w:top w:val="none" w:sz="0" w:space="0" w:color="auto"/>
        <w:left w:val="none" w:sz="0" w:space="0" w:color="auto"/>
        <w:bottom w:val="none" w:sz="0" w:space="0" w:color="auto"/>
        <w:right w:val="none" w:sz="0" w:space="0" w:color="auto"/>
      </w:divBdr>
    </w:div>
    <w:div w:id="557009755">
      <w:bodyDiv w:val="1"/>
      <w:marLeft w:val="0"/>
      <w:marRight w:val="0"/>
      <w:marTop w:val="0"/>
      <w:marBottom w:val="0"/>
      <w:divBdr>
        <w:top w:val="none" w:sz="0" w:space="0" w:color="auto"/>
        <w:left w:val="none" w:sz="0" w:space="0" w:color="auto"/>
        <w:bottom w:val="none" w:sz="0" w:space="0" w:color="auto"/>
        <w:right w:val="none" w:sz="0" w:space="0" w:color="auto"/>
      </w:divBdr>
    </w:div>
    <w:div w:id="562983051">
      <w:bodyDiv w:val="1"/>
      <w:marLeft w:val="0"/>
      <w:marRight w:val="0"/>
      <w:marTop w:val="0"/>
      <w:marBottom w:val="0"/>
      <w:divBdr>
        <w:top w:val="none" w:sz="0" w:space="0" w:color="auto"/>
        <w:left w:val="none" w:sz="0" w:space="0" w:color="auto"/>
        <w:bottom w:val="none" w:sz="0" w:space="0" w:color="auto"/>
        <w:right w:val="none" w:sz="0" w:space="0" w:color="auto"/>
      </w:divBdr>
    </w:div>
    <w:div w:id="566838549">
      <w:bodyDiv w:val="1"/>
      <w:marLeft w:val="0"/>
      <w:marRight w:val="0"/>
      <w:marTop w:val="0"/>
      <w:marBottom w:val="0"/>
      <w:divBdr>
        <w:top w:val="none" w:sz="0" w:space="0" w:color="auto"/>
        <w:left w:val="none" w:sz="0" w:space="0" w:color="auto"/>
        <w:bottom w:val="none" w:sz="0" w:space="0" w:color="auto"/>
        <w:right w:val="none" w:sz="0" w:space="0" w:color="auto"/>
      </w:divBdr>
    </w:div>
    <w:div w:id="568269164">
      <w:bodyDiv w:val="1"/>
      <w:marLeft w:val="0"/>
      <w:marRight w:val="0"/>
      <w:marTop w:val="0"/>
      <w:marBottom w:val="0"/>
      <w:divBdr>
        <w:top w:val="none" w:sz="0" w:space="0" w:color="auto"/>
        <w:left w:val="none" w:sz="0" w:space="0" w:color="auto"/>
        <w:bottom w:val="none" w:sz="0" w:space="0" w:color="auto"/>
        <w:right w:val="none" w:sz="0" w:space="0" w:color="auto"/>
      </w:divBdr>
    </w:div>
    <w:div w:id="574509152">
      <w:bodyDiv w:val="1"/>
      <w:marLeft w:val="0"/>
      <w:marRight w:val="0"/>
      <w:marTop w:val="0"/>
      <w:marBottom w:val="0"/>
      <w:divBdr>
        <w:top w:val="none" w:sz="0" w:space="0" w:color="auto"/>
        <w:left w:val="none" w:sz="0" w:space="0" w:color="auto"/>
        <w:bottom w:val="none" w:sz="0" w:space="0" w:color="auto"/>
        <w:right w:val="none" w:sz="0" w:space="0" w:color="auto"/>
      </w:divBdr>
    </w:div>
    <w:div w:id="581523335">
      <w:bodyDiv w:val="1"/>
      <w:marLeft w:val="0"/>
      <w:marRight w:val="0"/>
      <w:marTop w:val="0"/>
      <w:marBottom w:val="0"/>
      <w:divBdr>
        <w:top w:val="none" w:sz="0" w:space="0" w:color="auto"/>
        <w:left w:val="none" w:sz="0" w:space="0" w:color="auto"/>
        <w:bottom w:val="none" w:sz="0" w:space="0" w:color="auto"/>
        <w:right w:val="none" w:sz="0" w:space="0" w:color="auto"/>
      </w:divBdr>
    </w:div>
    <w:div w:id="582225794">
      <w:bodyDiv w:val="1"/>
      <w:marLeft w:val="0"/>
      <w:marRight w:val="0"/>
      <w:marTop w:val="0"/>
      <w:marBottom w:val="0"/>
      <w:divBdr>
        <w:top w:val="none" w:sz="0" w:space="0" w:color="auto"/>
        <w:left w:val="none" w:sz="0" w:space="0" w:color="auto"/>
        <w:bottom w:val="none" w:sz="0" w:space="0" w:color="auto"/>
        <w:right w:val="none" w:sz="0" w:space="0" w:color="auto"/>
      </w:divBdr>
    </w:div>
    <w:div w:id="585572103">
      <w:bodyDiv w:val="1"/>
      <w:marLeft w:val="0"/>
      <w:marRight w:val="0"/>
      <w:marTop w:val="0"/>
      <w:marBottom w:val="0"/>
      <w:divBdr>
        <w:top w:val="none" w:sz="0" w:space="0" w:color="auto"/>
        <w:left w:val="none" w:sz="0" w:space="0" w:color="auto"/>
        <w:bottom w:val="none" w:sz="0" w:space="0" w:color="auto"/>
        <w:right w:val="none" w:sz="0" w:space="0" w:color="auto"/>
      </w:divBdr>
    </w:div>
    <w:div w:id="587349111">
      <w:bodyDiv w:val="1"/>
      <w:marLeft w:val="0"/>
      <w:marRight w:val="0"/>
      <w:marTop w:val="0"/>
      <w:marBottom w:val="0"/>
      <w:divBdr>
        <w:top w:val="none" w:sz="0" w:space="0" w:color="auto"/>
        <w:left w:val="none" w:sz="0" w:space="0" w:color="auto"/>
        <w:bottom w:val="none" w:sz="0" w:space="0" w:color="auto"/>
        <w:right w:val="none" w:sz="0" w:space="0" w:color="auto"/>
      </w:divBdr>
    </w:div>
    <w:div w:id="588386214">
      <w:bodyDiv w:val="1"/>
      <w:marLeft w:val="0"/>
      <w:marRight w:val="0"/>
      <w:marTop w:val="0"/>
      <w:marBottom w:val="0"/>
      <w:divBdr>
        <w:top w:val="none" w:sz="0" w:space="0" w:color="auto"/>
        <w:left w:val="none" w:sz="0" w:space="0" w:color="auto"/>
        <w:bottom w:val="none" w:sz="0" w:space="0" w:color="auto"/>
        <w:right w:val="none" w:sz="0" w:space="0" w:color="auto"/>
      </w:divBdr>
    </w:div>
    <w:div w:id="590046643">
      <w:bodyDiv w:val="1"/>
      <w:marLeft w:val="0"/>
      <w:marRight w:val="0"/>
      <w:marTop w:val="0"/>
      <w:marBottom w:val="0"/>
      <w:divBdr>
        <w:top w:val="none" w:sz="0" w:space="0" w:color="auto"/>
        <w:left w:val="none" w:sz="0" w:space="0" w:color="auto"/>
        <w:bottom w:val="none" w:sz="0" w:space="0" w:color="auto"/>
        <w:right w:val="none" w:sz="0" w:space="0" w:color="auto"/>
      </w:divBdr>
    </w:div>
    <w:div w:id="596212126">
      <w:bodyDiv w:val="1"/>
      <w:marLeft w:val="0"/>
      <w:marRight w:val="0"/>
      <w:marTop w:val="0"/>
      <w:marBottom w:val="0"/>
      <w:divBdr>
        <w:top w:val="none" w:sz="0" w:space="0" w:color="auto"/>
        <w:left w:val="none" w:sz="0" w:space="0" w:color="auto"/>
        <w:bottom w:val="none" w:sz="0" w:space="0" w:color="auto"/>
        <w:right w:val="none" w:sz="0" w:space="0" w:color="auto"/>
      </w:divBdr>
    </w:div>
    <w:div w:id="597255955">
      <w:bodyDiv w:val="1"/>
      <w:marLeft w:val="0"/>
      <w:marRight w:val="0"/>
      <w:marTop w:val="0"/>
      <w:marBottom w:val="0"/>
      <w:divBdr>
        <w:top w:val="none" w:sz="0" w:space="0" w:color="auto"/>
        <w:left w:val="none" w:sz="0" w:space="0" w:color="auto"/>
        <w:bottom w:val="none" w:sz="0" w:space="0" w:color="auto"/>
        <w:right w:val="none" w:sz="0" w:space="0" w:color="auto"/>
      </w:divBdr>
    </w:div>
    <w:div w:id="598295204">
      <w:bodyDiv w:val="1"/>
      <w:marLeft w:val="0"/>
      <w:marRight w:val="0"/>
      <w:marTop w:val="0"/>
      <w:marBottom w:val="0"/>
      <w:divBdr>
        <w:top w:val="none" w:sz="0" w:space="0" w:color="auto"/>
        <w:left w:val="none" w:sz="0" w:space="0" w:color="auto"/>
        <w:bottom w:val="none" w:sz="0" w:space="0" w:color="auto"/>
        <w:right w:val="none" w:sz="0" w:space="0" w:color="auto"/>
      </w:divBdr>
    </w:div>
    <w:div w:id="599148253">
      <w:bodyDiv w:val="1"/>
      <w:marLeft w:val="0"/>
      <w:marRight w:val="0"/>
      <w:marTop w:val="0"/>
      <w:marBottom w:val="0"/>
      <w:divBdr>
        <w:top w:val="none" w:sz="0" w:space="0" w:color="auto"/>
        <w:left w:val="none" w:sz="0" w:space="0" w:color="auto"/>
        <w:bottom w:val="none" w:sz="0" w:space="0" w:color="auto"/>
        <w:right w:val="none" w:sz="0" w:space="0" w:color="auto"/>
      </w:divBdr>
    </w:div>
    <w:div w:id="600184213">
      <w:bodyDiv w:val="1"/>
      <w:marLeft w:val="0"/>
      <w:marRight w:val="0"/>
      <w:marTop w:val="0"/>
      <w:marBottom w:val="0"/>
      <w:divBdr>
        <w:top w:val="none" w:sz="0" w:space="0" w:color="auto"/>
        <w:left w:val="none" w:sz="0" w:space="0" w:color="auto"/>
        <w:bottom w:val="none" w:sz="0" w:space="0" w:color="auto"/>
        <w:right w:val="none" w:sz="0" w:space="0" w:color="auto"/>
      </w:divBdr>
    </w:div>
    <w:div w:id="600262071">
      <w:bodyDiv w:val="1"/>
      <w:marLeft w:val="0"/>
      <w:marRight w:val="0"/>
      <w:marTop w:val="0"/>
      <w:marBottom w:val="0"/>
      <w:divBdr>
        <w:top w:val="none" w:sz="0" w:space="0" w:color="auto"/>
        <w:left w:val="none" w:sz="0" w:space="0" w:color="auto"/>
        <w:bottom w:val="none" w:sz="0" w:space="0" w:color="auto"/>
        <w:right w:val="none" w:sz="0" w:space="0" w:color="auto"/>
      </w:divBdr>
    </w:div>
    <w:div w:id="604004387">
      <w:bodyDiv w:val="1"/>
      <w:marLeft w:val="0"/>
      <w:marRight w:val="0"/>
      <w:marTop w:val="0"/>
      <w:marBottom w:val="0"/>
      <w:divBdr>
        <w:top w:val="none" w:sz="0" w:space="0" w:color="auto"/>
        <w:left w:val="none" w:sz="0" w:space="0" w:color="auto"/>
        <w:bottom w:val="none" w:sz="0" w:space="0" w:color="auto"/>
        <w:right w:val="none" w:sz="0" w:space="0" w:color="auto"/>
      </w:divBdr>
    </w:div>
    <w:div w:id="607590169">
      <w:bodyDiv w:val="1"/>
      <w:marLeft w:val="0"/>
      <w:marRight w:val="0"/>
      <w:marTop w:val="0"/>
      <w:marBottom w:val="0"/>
      <w:divBdr>
        <w:top w:val="none" w:sz="0" w:space="0" w:color="auto"/>
        <w:left w:val="none" w:sz="0" w:space="0" w:color="auto"/>
        <w:bottom w:val="none" w:sz="0" w:space="0" w:color="auto"/>
        <w:right w:val="none" w:sz="0" w:space="0" w:color="auto"/>
      </w:divBdr>
    </w:div>
    <w:div w:id="611786556">
      <w:bodyDiv w:val="1"/>
      <w:marLeft w:val="0"/>
      <w:marRight w:val="0"/>
      <w:marTop w:val="0"/>
      <w:marBottom w:val="0"/>
      <w:divBdr>
        <w:top w:val="none" w:sz="0" w:space="0" w:color="auto"/>
        <w:left w:val="none" w:sz="0" w:space="0" w:color="auto"/>
        <w:bottom w:val="none" w:sz="0" w:space="0" w:color="auto"/>
        <w:right w:val="none" w:sz="0" w:space="0" w:color="auto"/>
      </w:divBdr>
    </w:div>
    <w:div w:id="613951332">
      <w:bodyDiv w:val="1"/>
      <w:marLeft w:val="0"/>
      <w:marRight w:val="0"/>
      <w:marTop w:val="0"/>
      <w:marBottom w:val="0"/>
      <w:divBdr>
        <w:top w:val="none" w:sz="0" w:space="0" w:color="auto"/>
        <w:left w:val="none" w:sz="0" w:space="0" w:color="auto"/>
        <w:bottom w:val="none" w:sz="0" w:space="0" w:color="auto"/>
        <w:right w:val="none" w:sz="0" w:space="0" w:color="auto"/>
      </w:divBdr>
    </w:div>
    <w:div w:id="621498896">
      <w:bodyDiv w:val="1"/>
      <w:marLeft w:val="0"/>
      <w:marRight w:val="0"/>
      <w:marTop w:val="0"/>
      <w:marBottom w:val="0"/>
      <w:divBdr>
        <w:top w:val="none" w:sz="0" w:space="0" w:color="auto"/>
        <w:left w:val="none" w:sz="0" w:space="0" w:color="auto"/>
        <w:bottom w:val="none" w:sz="0" w:space="0" w:color="auto"/>
        <w:right w:val="none" w:sz="0" w:space="0" w:color="auto"/>
      </w:divBdr>
    </w:div>
    <w:div w:id="622807716">
      <w:bodyDiv w:val="1"/>
      <w:marLeft w:val="0"/>
      <w:marRight w:val="0"/>
      <w:marTop w:val="0"/>
      <w:marBottom w:val="0"/>
      <w:divBdr>
        <w:top w:val="none" w:sz="0" w:space="0" w:color="auto"/>
        <w:left w:val="none" w:sz="0" w:space="0" w:color="auto"/>
        <w:bottom w:val="none" w:sz="0" w:space="0" w:color="auto"/>
        <w:right w:val="none" w:sz="0" w:space="0" w:color="auto"/>
      </w:divBdr>
    </w:div>
    <w:div w:id="626205287">
      <w:bodyDiv w:val="1"/>
      <w:marLeft w:val="0"/>
      <w:marRight w:val="0"/>
      <w:marTop w:val="0"/>
      <w:marBottom w:val="0"/>
      <w:divBdr>
        <w:top w:val="none" w:sz="0" w:space="0" w:color="auto"/>
        <w:left w:val="none" w:sz="0" w:space="0" w:color="auto"/>
        <w:bottom w:val="none" w:sz="0" w:space="0" w:color="auto"/>
        <w:right w:val="none" w:sz="0" w:space="0" w:color="auto"/>
      </w:divBdr>
    </w:div>
    <w:div w:id="627472663">
      <w:bodyDiv w:val="1"/>
      <w:marLeft w:val="0"/>
      <w:marRight w:val="0"/>
      <w:marTop w:val="0"/>
      <w:marBottom w:val="0"/>
      <w:divBdr>
        <w:top w:val="none" w:sz="0" w:space="0" w:color="auto"/>
        <w:left w:val="none" w:sz="0" w:space="0" w:color="auto"/>
        <w:bottom w:val="none" w:sz="0" w:space="0" w:color="auto"/>
        <w:right w:val="none" w:sz="0" w:space="0" w:color="auto"/>
      </w:divBdr>
    </w:div>
    <w:div w:id="629748295">
      <w:bodyDiv w:val="1"/>
      <w:marLeft w:val="0"/>
      <w:marRight w:val="0"/>
      <w:marTop w:val="0"/>
      <w:marBottom w:val="0"/>
      <w:divBdr>
        <w:top w:val="none" w:sz="0" w:space="0" w:color="auto"/>
        <w:left w:val="none" w:sz="0" w:space="0" w:color="auto"/>
        <w:bottom w:val="none" w:sz="0" w:space="0" w:color="auto"/>
        <w:right w:val="none" w:sz="0" w:space="0" w:color="auto"/>
      </w:divBdr>
    </w:div>
    <w:div w:id="630136558">
      <w:bodyDiv w:val="1"/>
      <w:marLeft w:val="0"/>
      <w:marRight w:val="0"/>
      <w:marTop w:val="0"/>
      <w:marBottom w:val="0"/>
      <w:divBdr>
        <w:top w:val="none" w:sz="0" w:space="0" w:color="auto"/>
        <w:left w:val="none" w:sz="0" w:space="0" w:color="auto"/>
        <w:bottom w:val="none" w:sz="0" w:space="0" w:color="auto"/>
        <w:right w:val="none" w:sz="0" w:space="0" w:color="auto"/>
      </w:divBdr>
    </w:div>
    <w:div w:id="630938965">
      <w:bodyDiv w:val="1"/>
      <w:marLeft w:val="0"/>
      <w:marRight w:val="0"/>
      <w:marTop w:val="0"/>
      <w:marBottom w:val="0"/>
      <w:divBdr>
        <w:top w:val="none" w:sz="0" w:space="0" w:color="auto"/>
        <w:left w:val="none" w:sz="0" w:space="0" w:color="auto"/>
        <w:bottom w:val="none" w:sz="0" w:space="0" w:color="auto"/>
        <w:right w:val="none" w:sz="0" w:space="0" w:color="auto"/>
      </w:divBdr>
    </w:div>
    <w:div w:id="631987102">
      <w:bodyDiv w:val="1"/>
      <w:marLeft w:val="0"/>
      <w:marRight w:val="0"/>
      <w:marTop w:val="0"/>
      <w:marBottom w:val="0"/>
      <w:divBdr>
        <w:top w:val="none" w:sz="0" w:space="0" w:color="auto"/>
        <w:left w:val="none" w:sz="0" w:space="0" w:color="auto"/>
        <w:bottom w:val="none" w:sz="0" w:space="0" w:color="auto"/>
        <w:right w:val="none" w:sz="0" w:space="0" w:color="auto"/>
      </w:divBdr>
    </w:div>
    <w:div w:id="632057044">
      <w:bodyDiv w:val="1"/>
      <w:marLeft w:val="0"/>
      <w:marRight w:val="0"/>
      <w:marTop w:val="0"/>
      <w:marBottom w:val="0"/>
      <w:divBdr>
        <w:top w:val="none" w:sz="0" w:space="0" w:color="auto"/>
        <w:left w:val="none" w:sz="0" w:space="0" w:color="auto"/>
        <w:bottom w:val="none" w:sz="0" w:space="0" w:color="auto"/>
        <w:right w:val="none" w:sz="0" w:space="0" w:color="auto"/>
      </w:divBdr>
    </w:div>
    <w:div w:id="633675886">
      <w:bodyDiv w:val="1"/>
      <w:marLeft w:val="0"/>
      <w:marRight w:val="0"/>
      <w:marTop w:val="0"/>
      <w:marBottom w:val="0"/>
      <w:divBdr>
        <w:top w:val="none" w:sz="0" w:space="0" w:color="auto"/>
        <w:left w:val="none" w:sz="0" w:space="0" w:color="auto"/>
        <w:bottom w:val="none" w:sz="0" w:space="0" w:color="auto"/>
        <w:right w:val="none" w:sz="0" w:space="0" w:color="auto"/>
      </w:divBdr>
    </w:div>
    <w:div w:id="639577615">
      <w:bodyDiv w:val="1"/>
      <w:marLeft w:val="0"/>
      <w:marRight w:val="0"/>
      <w:marTop w:val="0"/>
      <w:marBottom w:val="0"/>
      <w:divBdr>
        <w:top w:val="none" w:sz="0" w:space="0" w:color="auto"/>
        <w:left w:val="none" w:sz="0" w:space="0" w:color="auto"/>
        <w:bottom w:val="none" w:sz="0" w:space="0" w:color="auto"/>
        <w:right w:val="none" w:sz="0" w:space="0" w:color="auto"/>
      </w:divBdr>
    </w:div>
    <w:div w:id="641082198">
      <w:bodyDiv w:val="1"/>
      <w:marLeft w:val="0"/>
      <w:marRight w:val="0"/>
      <w:marTop w:val="0"/>
      <w:marBottom w:val="0"/>
      <w:divBdr>
        <w:top w:val="none" w:sz="0" w:space="0" w:color="auto"/>
        <w:left w:val="none" w:sz="0" w:space="0" w:color="auto"/>
        <w:bottom w:val="none" w:sz="0" w:space="0" w:color="auto"/>
        <w:right w:val="none" w:sz="0" w:space="0" w:color="auto"/>
      </w:divBdr>
    </w:div>
    <w:div w:id="641883403">
      <w:bodyDiv w:val="1"/>
      <w:marLeft w:val="0"/>
      <w:marRight w:val="0"/>
      <w:marTop w:val="0"/>
      <w:marBottom w:val="0"/>
      <w:divBdr>
        <w:top w:val="none" w:sz="0" w:space="0" w:color="auto"/>
        <w:left w:val="none" w:sz="0" w:space="0" w:color="auto"/>
        <w:bottom w:val="none" w:sz="0" w:space="0" w:color="auto"/>
        <w:right w:val="none" w:sz="0" w:space="0" w:color="auto"/>
      </w:divBdr>
    </w:div>
    <w:div w:id="645402177">
      <w:bodyDiv w:val="1"/>
      <w:marLeft w:val="0"/>
      <w:marRight w:val="0"/>
      <w:marTop w:val="0"/>
      <w:marBottom w:val="0"/>
      <w:divBdr>
        <w:top w:val="none" w:sz="0" w:space="0" w:color="auto"/>
        <w:left w:val="none" w:sz="0" w:space="0" w:color="auto"/>
        <w:bottom w:val="none" w:sz="0" w:space="0" w:color="auto"/>
        <w:right w:val="none" w:sz="0" w:space="0" w:color="auto"/>
      </w:divBdr>
    </w:div>
    <w:div w:id="646589551">
      <w:bodyDiv w:val="1"/>
      <w:marLeft w:val="0"/>
      <w:marRight w:val="0"/>
      <w:marTop w:val="0"/>
      <w:marBottom w:val="0"/>
      <w:divBdr>
        <w:top w:val="none" w:sz="0" w:space="0" w:color="auto"/>
        <w:left w:val="none" w:sz="0" w:space="0" w:color="auto"/>
        <w:bottom w:val="none" w:sz="0" w:space="0" w:color="auto"/>
        <w:right w:val="none" w:sz="0" w:space="0" w:color="auto"/>
      </w:divBdr>
    </w:div>
    <w:div w:id="651375810">
      <w:bodyDiv w:val="1"/>
      <w:marLeft w:val="0"/>
      <w:marRight w:val="0"/>
      <w:marTop w:val="0"/>
      <w:marBottom w:val="0"/>
      <w:divBdr>
        <w:top w:val="none" w:sz="0" w:space="0" w:color="auto"/>
        <w:left w:val="none" w:sz="0" w:space="0" w:color="auto"/>
        <w:bottom w:val="none" w:sz="0" w:space="0" w:color="auto"/>
        <w:right w:val="none" w:sz="0" w:space="0" w:color="auto"/>
      </w:divBdr>
    </w:div>
    <w:div w:id="654994104">
      <w:bodyDiv w:val="1"/>
      <w:marLeft w:val="0"/>
      <w:marRight w:val="0"/>
      <w:marTop w:val="0"/>
      <w:marBottom w:val="0"/>
      <w:divBdr>
        <w:top w:val="none" w:sz="0" w:space="0" w:color="auto"/>
        <w:left w:val="none" w:sz="0" w:space="0" w:color="auto"/>
        <w:bottom w:val="none" w:sz="0" w:space="0" w:color="auto"/>
        <w:right w:val="none" w:sz="0" w:space="0" w:color="auto"/>
      </w:divBdr>
    </w:div>
    <w:div w:id="658077010">
      <w:bodyDiv w:val="1"/>
      <w:marLeft w:val="0"/>
      <w:marRight w:val="0"/>
      <w:marTop w:val="0"/>
      <w:marBottom w:val="0"/>
      <w:divBdr>
        <w:top w:val="none" w:sz="0" w:space="0" w:color="auto"/>
        <w:left w:val="none" w:sz="0" w:space="0" w:color="auto"/>
        <w:bottom w:val="none" w:sz="0" w:space="0" w:color="auto"/>
        <w:right w:val="none" w:sz="0" w:space="0" w:color="auto"/>
      </w:divBdr>
    </w:div>
    <w:div w:id="659774894">
      <w:bodyDiv w:val="1"/>
      <w:marLeft w:val="0"/>
      <w:marRight w:val="0"/>
      <w:marTop w:val="0"/>
      <w:marBottom w:val="0"/>
      <w:divBdr>
        <w:top w:val="none" w:sz="0" w:space="0" w:color="auto"/>
        <w:left w:val="none" w:sz="0" w:space="0" w:color="auto"/>
        <w:bottom w:val="none" w:sz="0" w:space="0" w:color="auto"/>
        <w:right w:val="none" w:sz="0" w:space="0" w:color="auto"/>
      </w:divBdr>
    </w:div>
    <w:div w:id="665284554">
      <w:bodyDiv w:val="1"/>
      <w:marLeft w:val="0"/>
      <w:marRight w:val="0"/>
      <w:marTop w:val="0"/>
      <w:marBottom w:val="0"/>
      <w:divBdr>
        <w:top w:val="none" w:sz="0" w:space="0" w:color="auto"/>
        <w:left w:val="none" w:sz="0" w:space="0" w:color="auto"/>
        <w:bottom w:val="none" w:sz="0" w:space="0" w:color="auto"/>
        <w:right w:val="none" w:sz="0" w:space="0" w:color="auto"/>
      </w:divBdr>
    </w:div>
    <w:div w:id="676661068">
      <w:bodyDiv w:val="1"/>
      <w:marLeft w:val="0"/>
      <w:marRight w:val="0"/>
      <w:marTop w:val="0"/>
      <w:marBottom w:val="0"/>
      <w:divBdr>
        <w:top w:val="none" w:sz="0" w:space="0" w:color="auto"/>
        <w:left w:val="none" w:sz="0" w:space="0" w:color="auto"/>
        <w:bottom w:val="none" w:sz="0" w:space="0" w:color="auto"/>
        <w:right w:val="none" w:sz="0" w:space="0" w:color="auto"/>
      </w:divBdr>
    </w:div>
    <w:div w:id="677654148">
      <w:bodyDiv w:val="1"/>
      <w:marLeft w:val="0"/>
      <w:marRight w:val="0"/>
      <w:marTop w:val="0"/>
      <w:marBottom w:val="0"/>
      <w:divBdr>
        <w:top w:val="none" w:sz="0" w:space="0" w:color="auto"/>
        <w:left w:val="none" w:sz="0" w:space="0" w:color="auto"/>
        <w:bottom w:val="none" w:sz="0" w:space="0" w:color="auto"/>
        <w:right w:val="none" w:sz="0" w:space="0" w:color="auto"/>
      </w:divBdr>
    </w:div>
    <w:div w:id="680012784">
      <w:bodyDiv w:val="1"/>
      <w:marLeft w:val="0"/>
      <w:marRight w:val="0"/>
      <w:marTop w:val="0"/>
      <w:marBottom w:val="0"/>
      <w:divBdr>
        <w:top w:val="none" w:sz="0" w:space="0" w:color="auto"/>
        <w:left w:val="none" w:sz="0" w:space="0" w:color="auto"/>
        <w:bottom w:val="none" w:sz="0" w:space="0" w:color="auto"/>
        <w:right w:val="none" w:sz="0" w:space="0" w:color="auto"/>
      </w:divBdr>
    </w:div>
    <w:div w:id="680663989">
      <w:bodyDiv w:val="1"/>
      <w:marLeft w:val="0"/>
      <w:marRight w:val="0"/>
      <w:marTop w:val="0"/>
      <w:marBottom w:val="0"/>
      <w:divBdr>
        <w:top w:val="none" w:sz="0" w:space="0" w:color="auto"/>
        <w:left w:val="none" w:sz="0" w:space="0" w:color="auto"/>
        <w:bottom w:val="none" w:sz="0" w:space="0" w:color="auto"/>
        <w:right w:val="none" w:sz="0" w:space="0" w:color="auto"/>
      </w:divBdr>
    </w:div>
    <w:div w:id="687681658">
      <w:bodyDiv w:val="1"/>
      <w:marLeft w:val="0"/>
      <w:marRight w:val="0"/>
      <w:marTop w:val="0"/>
      <w:marBottom w:val="0"/>
      <w:divBdr>
        <w:top w:val="none" w:sz="0" w:space="0" w:color="auto"/>
        <w:left w:val="none" w:sz="0" w:space="0" w:color="auto"/>
        <w:bottom w:val="none" w:sz="0" w:space="0" w:color="auto"/>
        <w:right w:val="none" w:sz="0" w:space="0" w:color="auto"/>
      </w:divBdr>
    </w:div>
    <w:div w:id="687874122">
      <w:bodyDiv w:val="1"/>
      <w:marLeft w:val="0"/>
      <w:marRight w:val="0"/>
      <w:marTop w:val="0"/>
      <w:marBottom w:val="0"/>
      <w:divBdr>
        <w:top w:val="none" w:sz="0" w:space="0" w:color="auto"/>
        <w:left w:val="none" w:sz="0" w:space="0" w:color="auto"/>
        <w:bottom w:val="none" w:sz="0" w:space="0" w:color="auto"/>
        <w:right w:val="none" w:sz="0" w:space="0" w:color="auto"/>
      </w:divBdr>
    </w:div>
    <w:div w:id="694230469">
      <w:bodyDiv w:val="1"/>
      <w:marLeft w:val="0"/>
      <w:marRight w:val="0"/>
      <w:marTop w:val="0"/>
      <w:marBottom w:val="0"/>
      <w:divBdr>
        <w:top w:val="none" w:sz="0" w:space="0" w:color="auto"/>
        <w:left w:val="none" w:sz="0" w:space="0" w:color="auto"/>
        <w:bottom w:val="none" w:sz="0" w:space="0" w:color="auto"/>
        <w:right w:val="none" w:sz="0" w:space="0" w:color="auto"/>
      </w:divBdr>
    </w:div>
    <w:div w:id="697434393">
      <w:bodyDiv w:val="1"/>
      <w:marLeft w:val="0"/>
      <w:marRight w:val="0"/>
      <w:marTop w:val="0"/>
      <w:marBottom w:val="0"/>
      <w:divBdr>
        <w:top w:val="none" w:sz="0" w:space="0" w:color="auto"/>
        <w:left w:val="none" w:sz="0" w:space="0" w:color="auto"/>
        <w:bottom w:val="none" w:sz="0" w:space="0" w:color="auto"/>
        <w:right w:val="none" w:sz="0" w:space="0" w:color="auto"/>
      </w:divBdr>
    </w:div>
    <w:div w:id="697783068">
      <w:bodyDiv w:val="1"/>
      <w:marLeft w:val="0"/>
      <w:marRight w:val="0"/>
      <w:marTop w:val="0"/>
      <w:marBottom w:val="0"/>
      <w:divBdr>
        <w:top w:val="none" w:sz="0" w:space="0" w:color="auto"/>
        <w:left w:val="none" w:sz="0" w:space="0" w:color="auto"/>
        <w:bottom w:val="none" w:sz="0" w:space="0" w:color="auto"/>
        <w:right w:val="none" w:sz="0" w:space="0" w:color="auto"/>
      </w:divBdr>
    </w:div>
    <w:div w:id="698697677">
      <w:bodyDiv w:val="1"/>
      <w:marLeft w:val="0"/>
      <w:marRight w:val="0"/>
      <w:marTop w:val="0"/>
      <w:marBottom w:val="0"/>
      <w:divBdr>
        <w:top w:val="none" w:sz="0" w:space="0" w:color="auto"/>
        <w:left w:val="none" w:sz="0" w:space="0" w:color="auto"/>
        <w:bottom w:val="none" w:sz="0" w:space="0" w:color="auto"/>
        <w:right w:val="none" w:sz="0" w:space="0" w:color="auto"/>
      </w:divBdr>
    </w:div>
    <w:div w:id="700474699">
      <w:bodyDiv w:val="1"/>
      <w:marLeft w:val="0"/>
      <w:marRight w:val="0"/>
      <w:marTop w:val="0"/>
      <w:marBottom w:val="0"/>
      <w:divBdr>
        <w:top w:val="none" w:sz="0" w:space="0" w:color="auto"/>
        <w:left w:val="none" w:sz="0" w:space="0" w:color="auto"/>
        <w:bottom w:val="none" w:sz="0" w:space="0" w:color="auto"/>
        <w:right w:val="none" w:sz="0" w:space="0" w:color="auto"/>
      </w:divBdr>
    </w:div>
    <w:div w:id="700592936">
      <w:bodyDiv w:val="1"/>
      <w:marLeft w:val="0"/>
      <w:marRight w:val="0"/>
      <w:marTop w:val="0"/>
      <w:marBottom w:val="0"/>
      <w:divBdr>
        <w:top w:val="none" w:sz="0" w:space="0" w:color="auto"/>
        <w:left w:val="none" w:sz="0" w:space="0" w:color="auto"/>
        <w:bottom w:val="none" w:sz="0" w:space="0" w:color="auto"/>
        <w:right w:val="none" w:sz="0" w:space="0" w:color="auto"/>
      </w:divBdr>
    </w:div>
    <w:div w:id="701173691">
      <w:bodyDiv w:val="1"/>
      <w:marLeft w:val="0"/>
      <w:marRight w:val="0"/>
      <w:marTop w:val="0"/>
      <w:marBottom w:val="0"/>
      <w:divBdr>
        <w:top w:val="none" w:sz="0" w:space="0" w:color="auto"/>
        <w:left w:val="none" w:sz="0" w:space="0" w:color="auto"/>
        <w:bottom w:val="none" w:sz="0" w:space="0" w:color="auto"/>
        <w:right w:val="none" w:sz="0" w:space="0" w:color="auto"/>
      </w:divBdr>
    </w:div>
    <w:div w:id="702050840">
      <w:bodyDiv w:val="1"/>
      <w:marLeft w:val="0"/>
      <w:marRight w:val="0"/>
      <w:marTop w:val="0"/>
      <w:marBottom w:val="0"/>
      <w:divBdr>
        <w:top w:val="none" w:sz="0" w:space="0" w:color="auto"/>
        <w:left w:val="none" w:sz="0" w:space="0" w:color="auto"/>
        <w:bottom w:val="none" w:sz="0" w:space="0" w:color="auto"/>
        <w:right w:val="none" w:sz="0" w:space="0" w:color="auto"/>
      </w:divBdr>
    </w:div>
    <w:div w:id="702946988">
      <w:bodyDiv w:val="1"/>
      <w:marLeft w:val="0"/>
      <w:marRight w:val="0"/>
      <w:marTop w:val="0"/>
      <w:marBottom w:val="0"/>
      <w:divBdr>
        <w:top w:val="none" w:sz="0" w:space="0" w:color="auto"/>
        <w:left w:val="none" w:sz="0" w:space="0" w:color="auto"/>
        <w:bottom w:val="none" w:sz="0" w:space="0" w:color="auto"/>
        <w:right w:val="none" w:sz="0" w:space="0" w:color="auto"/>
      </w:divBdr>
    </w:div>
    <w:div w:id="703867278">
      <w:bodyDiv w:val="1"/>
      <w:marLeft w:val="0"/>
      <w:marRight w:val="0"/>
      <w:marTop w:val="0"/>
      <w:marBottom w:val="0"/>
      <w:divBdr>
        <w:top w:val="none" w:sz="0" w:space="0" w:color="auto"/>
        <w:left w:val="none" w:sz="0" w:space="0" w:color="auto"/>
        <w:bottom w:val="none" w:sz="0" w:space="0" w:color="auto"/>
        <w:right w:val="none" w:sz="0" w:space="0" w:color="auto"/>
      </w:divBdr>
    </w:div>
    <w:div w:id="704251998">
      <w:bodyDiv w:val="1"/>
      <w:marLeft w:val="0"/>
      <w:marRight w:val="0"/>
      <w:marTop w:val="0"/>
      <w:marBottom w:val="0"/>
      <w:divBdr>
        <w:top w:val="none" w:sz="0" w:space="0" w:color="auto"/>
        <w:left w:val="none" w:sz="0" w:space="0" w:color="auto"/>
        <w:bottom w:val="none" w:sz="0" w:space="0" w:color="auto"/>
        <w:right w:val="none" w:sz="0" w:space="0" w:color="auto"/>
      </w:divBdr>
    </w:div>
    <w:div w:id="705299314">
      <w:bodyDiv w:val="1"/>
      <w:marLeft w:val="0"/>
      <w:marRight w:val="0"/>
      <w:marTop w:val="0"/>
      <w:marBottom w:val="0"/>
      <w:divBdr>
        <w:top w:val="none" w:sz="0" w:space="0" w:color="auto"/>
        <w:left w:val="none" w:sz="0" w:space="0" w:color="auto"/>
        <w:bottom w:val="none" w:sz="0" w:space="0" w:color="auto"/>
        <w:right w:val="none" w:sz="0" w:space="0" w:color="auto"/>
      </w:divBdr>
    </w:div>
    <w:div w:id="713507376">
      <w:bodyDiv w:val="1"/>
      <w:marLeft w:val="0"/>
      <w:marRight w:val="0"/>
      <w:marTop w:val="0"/>
      <w:marBottom w:val="0"/>
      <w:divBdr>
        <w:top w:val="none" w:sz="0" w:space="0" w:color="auto"/>
        <w:left w:val="none" w:sz="0" w:space="0" w:color="auto"/>
        <w:bottom w:val="none" w:sz="0" w:space="0" w:color="auto"/>
        <w:right w:val="none" w:sz="0" w:space="0" w:color="auto"/>
      </w:divBdr>
    </w:div>
    <w:div w:id="717359135">
      <w:bodyDiv w:val="1"/>
      <w:marLeft w:val="0"/>
      <w:marRight w:val="0"/>
      <w:marTop w:val="0"/>
      <w:marBottom w:val="0"/>
      <w:divBdr>
        <w:top w:val="none" w:sz="0" w:space="0" w:color="auto"/>
        <w:left w:val="none" w:sz="0" w:space="0" w:color="auto"/>
        <w:bottom w:val="none" w:sz="0" w:space="0" w:color="auto"/>
        <w:right w:val="none" w:sz="0" w:space="0" w:color="auto"/>
      </w:divBdr>
    </w:div>
    <w:div w:id="718241518">
      <w:bodyDiv w:val="1"/>
      <w:marLeft w:val="0"/>
      <w:marRight w:val="0"/>
      <w:marTop w:val="0"/>
      <w:marBottom w:val="0"/>
      <w:divBdr>
        <w:top w:val="none" w:sz="0" w:space="0" w:color="auto"/>
        <w:left w:val="none" w:sz="0" w:space="0" w:color="auto"/>
        <w:bottom w:val="none" w:sz="0" w:space="0" w:color="auto"/>
        <w:right w:val="none" w:sz="0" w:space="0" w:color="auto"/>
      </w:divBdr>
    </w:div>
    <w:div w:id="719061242">
      <w:bodyDiv w:val="1"/>
      <w:marLeft w:val="0"/>
      <w:marRight w:val="0"/>
      <w:marTop w:val="0"/>
      <w:marBottom w:val="0"/>
      <w:divBdr>
        <w:top w:val="none" w:sz="0" w:space="0" w:color="auto"/>
        <w:left w:val="none" w:sz="0" w:space="0" w:color="auto"/>
        <w:bottom w:val="none" w:sz="0" w:space="0" w:color="auto"/>
        <w:right w:val="none" w:sz="0" w:space="0" w:color="auto"/>
      </w:divBdr>
    </w:div>
    <w:div w:id="720247834">
      <w:bodyDiv w:val="1"/>
      <w:marLeft w:val="0"/>
      <w:marRight w:val="0"/>
      <w:marTop w:val="0"/>
      <w:marBottom w:val="0"/>
      <w:divBdr>
        <w:top w:val="none" w:sz="0" w:space="0" w:color="auto"/>
        <w:left w:val="none" w:sz="0" w:space="0" w:color="auto"/>
        <w:bottom w:val="none" w:sz="0" w:space="0" w:color="auto"/>
        <w:right w:val="none" w:sz="0" w:space="0" w:color="auto"/>
      </w:divBdr>
    </w:div>
    <w:div w:id="720713923">
      <w:bodyDiv w:val="1"/>
      <w:marLeft w:val="0"/>
      <w:marRight w:val="0"/>
      <w:marTop w:val="0"/>
      <w:marBottom w:val="0"/>
      <w:divBdr>
        <w:top w:val="none" w:sz="0" w:space="0" w:color="auto"/>
        <w:left w:val="none" w:sz="0" w:space="0" w:color="auto"/>
        <w:bottom w:val="none" w:sz="0" w:space="0" w:color="auto"/>
        <w:right w:val="none" w:sz="0" w:space="0" w:color="auto"/>
      </w:divBdr>
    </w:div>
    <w:div w:id="720714769">
      <w:bodyDiv w:val="1"/>
      <w:marLeft w:val="0"/>
      <w:marRight w:val="0"/>
      <w:marTop w:val="0"/>
      <w:marBottom w:val="0"/>
      <w:divBdr>
        <w:top w:val="none" w:sz="0" w:space="0" w:color="auto"/>
        <w:left w:val="none" w:sz="0" w:space="0" w:color="auto"/>
        <w:bottom w:val="none" w:sz="0" w:space="0" w:color="auto"/>
        <w:right w:val="none" w:sz="0" w:space="0" w:color="auto"/>
      </w:divBdr>
    </w:div>
    <w:div w:id="731461751">
      <w:bodyDiv w:val="1"/>
      <w:marLeft w:val="0"/>
      <w:marRight w:val="0"/>
      <w:marTop w:val="0"/>
      <w:marBottom w:val="0"/>
      <w:divBdr>
        <w:top w:val="none" w:sz="0" w:space="0" w:color="auto"/>
        <w:left w:val="none" w:sz="0" w:space="0" w:color="auto"/>
        <w:bottom w:val="none" w:sz="0" w:space="0" w:color="auto"/>
        <w:right w:val="none" w:sz="0" w:space="0" w:color="auto"/>
      </w:divBdr>
    </w:div>
    <w:div w:id="731585156">
      <w:bodyDiv w:val="1"/>
      <w:marLeft w:val="0"/>
      <w:marRight w:val="0"/>
      <w:marTop w:val="0"/>
      <w:marBottom w:val="0"/>
      <w:divBdr>
        <w:top w:val="none" w:sz="0" w:space="0" w:color="auto"/>
        <w:left w:val="none" w:sz="0" w:space="0" w:color="auto"/>
        <w:bottom w:val="none" w:sz="0" w:space="0" w:color="auto"/>
        <w:right w:val="none" w:sz="0" w:space="0" w:color="auto"/>
      </w:divBdr>
    </w:div>
    <w:div w:id="731778501">
      <w:bodyDiv w:val="1"/>
      <w:marLeft w:val="0"/>
      <w:marRight w:val="0"/>
      <w:marTop w:val="0"/>
      <w:marBottom w:val="0"/>
      <w:divBdr>
        <w:top w:val="none" w:sz="0" w:space="0" w:color="auto"/>
        <w:left w:val="none" w:sz="0" w:space="0" w:color="auto"/>
        <w:bottom w:val="none" w:sz="0" w:space="0" w:color="auto"/>
        <w:right w:val="none" w:sz="0" w:space="0" w:color="auto"/>
      </w:divBdr>
    </w:div>
    <w:div w:id="737553023">
      <w:bodyDiv w:val="1"/>
      <w:marLeft w:val="0"/>
      <w:marRight w:val="0"/>
      <w:marTop w:val="0"/>
      <w:marBottom w:val="0"/>
      <w:divBdr>
        <w:top w:val="none" w:sz="0" w:space="0" w:color="auto"/>
        <w:left w:val="none" w:sz="0" w:space="0" w:color="auto"/>
        <w:bottom w:val="none" w:sz="0" w:space="0" w:color="auto"/>
        <w:right w:val="none" w:sz="0" w:space="0" w:color="auto"/>
      </w:divBdr>
    </w:div>
    <w:div w:id="739790937">
      <w:bodyDiv w:val="1"/>
      <w:marLeft w:val="0"/>
      <w:marRight w:val="0"/>
      <w:marTop w:val="0"/>
      <w:marBottom w:val="0"/>
      <w:divBdr>
        <w:top w:val="none" w:sz="0" w:space="0" w:color="auto"/>
        <w:left w:val="none" w:sz="0" w:space="0" w:color="auto"/>
        <w:bottom w:val="none" w:sz="0" w:space="0" w:color="auto"/>
        <w:right w:val="none" w:sz="0" w:space="0" w:color="auto"/>
      </w:divBdr>
    </w:div>
    <w:div w:id="742991852">
      <w:bodyDiv w:val="1"/>
      <w:marLeft w:val="0"/>
      <w:marRight w:val="0"/>
      <w:marTop w:val="0"/>
      <w:marBottom w:val="0"/>
      <w:divBdr>
        <w:top w:val="none" w:sz="0" w:space="0" w:color="auto"/>
        <w:left w:val="none" w:sz="0" w:space="0" w:color="auto"/>
        <w:bottom w:val="none" w:sz="0" w:space="0" w:color="auto"/>
        <w:right w:val="none" w:sz="0" w:space="0" w:color="auto"/>
      </w:divBdr>
    </w:div>
    <w:div w:id="744568877">
      <w:bodyDiv w:val="1"/>
      <w:marLeft w:val="0"/>
      <w:marRight w:val="0"/>
      <w:marTop w:val="0"/>
      <w:marBottom w:val="0"/>
      <w:divBdr>
        <w:top w:val="none" w:sz="0" w:space="0" w:color="auto"/>
        <w:left w:val="none" w:sz="0" w:space="0" w:color="auto"/>
        <w:bottom w:val="none" w:sz="0" w:space="0" w:color="auto"/>
        <w:right w:val="none" w:sz="0" w:space="0" w:color="auto"/>
      </w:divBdr>
    </w:div>
    <w:div w:id="744646203">
      <w:bodyDiv w:val="1"/>
      <w:marLeft w:val="0"/>
      <w:marRight w:val="0"/>
      <w:marTop w:val="0"/>
      <w:marBottom w:val="0"/>
      <w:divBdr>
        <w:top w:val="none" w:sz="0" w:space="0" w:color="auto"/>
        <w:left w:val="none" w:sz="0" w:space="0" w:color="auto"/>
        <w:bottom w:val="none" w:sz="0" w:space="0" w:color="auto"/>
        <w:right w:val="none" w:sz="0" w:space="0" w:color="auto"/>
      </w:divBdr>
    </w:div>
    <w:div w:id="745956323">
      <w:bodyDiv w:val="1"/>
      <w:marLeft w:val="0"/>
      <w:marRight w:val="0"/>
      <w:marTop w:val="0"/>
      <w:marBottom w:val="0"/>
      <w:divBdr>
        <w:top w:val="none" w:sz="0" w:space="0" w:color="auto"/>
        <w:left w:val="none" w:sz="0" w:space="0" w:color="auto"/>
        <w:bottom w:val="none" w:sz="0" w:space="0" w:color="auto"/>
        <w:right w:val="none" w:sz="0" w:space="0" w:color="auto"/>
      </w:divBdr>
    </w:div>
    <w:div w:id="747266230">
      <w:bodyDiv w:val="1"/>
      <w:marLeft w:val="0"/>
      <w:marRight w:val="0"/>
      <w:marTop w:val="0"/>
      <w:marBottom w:val="0"/>
      <w:divBdr>
        <w:top w:val="none" w:sz="0" w:space="0" w:color="auto"/>
        <w:left w:val="none" w:sz="0" w:space="0" w:color="auto"/>
        <w:bottom w:val="none" w:sz="0" w:space="0" w:color="auto"/>
        <w:right w:val="none" w:sz="0" w:space="0" w:color="auto"/>
      </w:divBdr>
    </w:div>
    <w:div w:id="748769516">
      <w:bodyDiv w:val="1"/>
      <w:marLeft w:val="0"/>
      <w:marRight w:val="0"/>
      <w:marTop w:val="0"/>
      <w:marBottom w:val="0"/>
      <w:divBdr>
        <w:top w:val="none" w:sz="0" w:space="0" w:color="auto"/>
        <w:left w:val="none" w:sz="0" w:space="0" w:color="auto"/>
        <w:bottom w:val="none" w:sz="0" w:space="0" w:color="auto"/>
        <w:right w:val="none" w:sz="0" w:space="0" w:color="auto"/>
      </w:divBdr>
    </w:div>
    <w:div w:id="748844638">
      <w:bodyDiv w:val="1"/>
      <w:marLeft w:val="0"/>
      <w:marRight w:val="0"/>
      <w:marTop w:val="0"/>
      <w:marBottom w:val="0"/>
      <w:divBdr>
        <w:top w:val="none" w:sz="0" w:space="0" w:color="auto"/>
        <w:left w:val="none" w:sz="0" w:space="0" w:color="auto"/>
        <w:bottom w:val="none" w:sz="0" w:space="0" w:color="auto"/>
        <w:right w:val="none" w:sz="0" w:space="0" w:color="auto"/>
      </w:divBdr>
    </w:div>
    <w:div w:id="749616221">
      <w:bodyDiv w:val="1"/>
      <w:marLeft w:val="0"/>
      <w:marRight w:val="0"/>
      <w:marTop w:val="0"/>
      <w:marBottom w:val="0"/>
      <w:divBdr>
        <w:top w:val="none" w:sz="0" w:space="0" w:color="auto"/>
        <w:left w:val="none" w:sz="0" w:space="0" w:color="auto"/>
        <w:bottom w:val="none" w:sz="0" w:space="0" w:color="auto"/>
        <w:right w:val="none" w:sz="0" w:space="0" w:color="auto"/>
      </w:divBdr>
    </w:div>
    <w:div w:id="750782351">
      <w:bodyDiv w:val="1"/>
      <w:marLeft w:val="0"/>
      <w:marRight w:val="0"/>
      <w:marTop w:val="0"/>
      <w:marBottom w:val="0"/>
      <w:divBdr>
        <w:top w:val="none" w:sz="0" w:space="0" w:color="auto"/>
        <w:left w:val="none" w:sz="0" w:space="0" w:color="auto"/>
        <w:bottom w:val="none" w:sz="0" w:space="0" w:color="auto"/>
        <w:right w:val="none" w:sz="0" w:space="0" w:color="auto"/>
      </w:divBdr>
    </w:div>
    <w:div w:id="750927792">
      <w:bodyDiv w:val="1"/>
      <w:marLeft w:val="0"/>
      <w:marRight w:val="0"/>
      <w:marTop w:val="0"/>
      <w:marBottom w:val="0"/>
      <w:divBdr>
        <w:top w:val="none" w:sz="0" w:space="0" w:color="auto"/>
        <w:left w:val="none" w:sz="0" w:space="0" w:color="auto"/>
        <w:bottom w:val="none" w:sz="0" w:space="0" w:color="auto"/>
        <w:right w:val="none" w:sz="0" w:space="0" w:color="auto"/>
      </w:divBdr>
    </w:div>
    <w:div w:id="752507058">
      <w:bodyDiv w:val="1"/>
      <w:marLeft w:val="0"/>
      <w:marRight w:val="0"/>
      <w:marTop w:val="0"/>
      <w:marBottom w:val="0"/>
      <w:divBdr>
        <w:top w:val="none" w:sz="0" w:space="0" w:color="auto"/>
        <w:left w:val="none" w:sz="0" w:space="0" w:color="auto"/>
        <w:bottom w:val="none" w:sz="0" w:space="0" w:color="auto"/>
        <w:right w:val="none" w:sz="0" w:space="0" w:color="auto"/>
      </w:divBdr>
    </w:div>
    <w:div w:id="753741008">
      <w:bodyDiv w:val="1"/>
      <w:marLeft w:val="0"/>
      <w:marRight w:val="0"/>
      <w:marTop w:val="0"/>
      <w:marBottom w:val="0"/>
      <w:divBdr>
        <w:top w:val="none" w:sz="0" w:space="0" w:color="auto"/>
        <w:left w:val="none" w:sz="0" w:space="0" w:color="auto"/>
        <w:bottom w:val="none" w:sz="0" w:space="0" w:color="auto"/>
        <w:right w:val="none" w:sz="0" w:space="0" w:color="auto"/>
      </w:divBdr>
    </w:div>
    <w:div w:id="756288880">
      <w:bodyDiv w:val="1"/>
      <w:marLeft w:val="0"/>
      <w:marRight w:val="0"/>
      <w:marTop w:val="0"/>
      <w:marBottom w:val="0"/>
      <w:divBdr>
        <w:top w:val="none" w:sz="0" w:space="0" w:color="auto"/>
        <w:left w:val="none" w:sz="0" w:space="0" w:color="auto"/>
        <w:bottom w:val="none" w:sz="0" w:space="0" w:color="auto"/>
        <w:right w:val="none" w:sz="0" w:space="0" w:color="auto"/>
      </w:divBdr>
    </w:div>
    <w:div w:id="760446477">
      <w:bodyDiv w:val="1"/>
      <w:marLeft w:val="0"/>
      <w:marRight w:val="0"/>
      <w:marTop w:val="0"/>
      <w:marBottom w:val="0"/>
      <w:divBdr>
        <w:top w:val="none" w:sz="0" w:space="0" w:color="auto"/>
        <w:left w:val="none" w:sz="0" w:space="0" w:color="auto"/>
        <w:bottom w:val="none" w:sz="0" w:space="0" w:color="auto"/>
        <w:right w:val="none" w:sz="0" w:space="0" w:color="auto"/>
      </w:divBdr>
    </w:div>
    <w:div w:id="763112584">
      <w:bodyDiv w:val="1"/>
      <w:marLeft w:val="0"/>
      <w:marRight w:val="0"/>
      <w:marTop w:val="0"/>
      <w:marBottom w:val="0"/>
      <w:divBdr>
        <w:top w:val="none" w:sz="0" w:space="0" w:color="auto"/>
        <w:left w:val="none" w:sz="0" w:space="0" w:color="auto"/>
        <w:bottom w:val="none" w:sz="0" w:space="0" w:color="auto"/>
        <w:right w:val="none" w:sz="0" w:space="0" w:color="auto"/>
      </w:divBdr>
    </w:div>
    <w:div w:id="764764774">
      <w:bodyDiv w:val="1"/>
      <w:marLeft w:val="0"/>
      <w:marRight w:val="0"/>
      <w:marTop w:val="0"/>
      <w:marBottom w:val="0"/>
      <w:divBdr>
        <w:top w:val="none" w:sz="0" w:space="0" w:color="auto"/>
        <w:left w:val="none" w:sz="0" w:space="0" w:color="auto"/>
        <w:bottom w:val="none" w:sz="0" w:space="0" w:color="auto"/>
        <w:right w:val="none" w:sz="0" w:space="0" w:color="auto"/>
      </w:divBdr>
    </w:div>
    <w:div w:id="768503448">
      <w:bodyDiv w:val="1"/>
      <w:marLeft w:val="0"/>
      <w:marRight w:val="0"/>
      <w:marTop w:val="0"/>
      <w:marBottom w:val="0"/>
      <w:divBdr>
        <w:top w:val="none" w:sz="0" w:space="0" w:color="auto"/>
        <w:left w:val="none" w:sz="0" w:space="0" w:color="auto"/>
        <w:bottom w:val="none" w:sz="0" w:space="0" w:color="auto"/>
        <w:right w:val="none" w:sz="0" w:space="0" w:color="auto"/>
      </w:divBdr>
    </w:div>
    <w:div w:id="770005669">
      <w:bodyDiv w:val="1"/>
      <w:marLeft w:val="0"/>
      <w:marRight w:val="0"/>
      <w:marTop w:val="0"/>
      <w:marBottom w:val="0"/>
      <w:divBdr>
        <w:top w:val="none" w:sz="0" w:space="0" w:color="auto"/>
        <w:left w:val="none" w:sz="0" w:space="0" w:color="auto"/>
        <w:bottom w:val="none" w:sz="0" w:space="0" w:color="auto"/>
        <w:right w:val="none" w:sz="0" w:space="0" w:color="auto"/>
      </w:divBdr>
    </w:div>
    <w:div w:id="771167914">
      <w:bodyDiv w:val="1"/>
      <w:marLeft w:val="0"/>
      <w:marRight w:val="0"/>
      <w:marTop w:val="0"/>
      <w:marBottom w:val="0"/>
      <w:divBdr>
        <w:top w:val="none" w:sz="0" w:space="0" w:color="auto"/>
        <w:left w:val="none" w:sz="0" w:space="0" w:color="auto"/>
        <w:bottom w:val="none" w:sz="0" w:space="0" w:color="auto"/>
        <w:right w:val="none" w:sz="0" w:space="0" w:color="auto"/>
      </w:divBdr>
    </w:div>
    <w:div w:id="771821235">
      <w:bodyDiv w:val="1"/>
      <w:marLeft w:val="0"/>
      <w:marRight w:val="0"/>
      <w:marTop w:val="0"/>
      <w:marBottom w:val="0"/>
      <w:divBdr>
        <w:top w:val="none" w:sz="0" w:space="0" w:color="auto"/>
        <w:left w:val="none" w:sz="0" w:space="0" w:color="auto"/>
        <w:bottom w:val="none" w:sz="0" w:space="0" w:color="auto"/>
        <w:right w:val="none" w:sz="0" w:space="0" w:color="auto"/>
      </w:divBdr>
    </w:div>
    <w:div w:id="771894953">
      <w:bodyDiv w:val="1"/>
      <w:marLeft w:val="0"/>
      <w:marRight w:val="0"/>
      <w:marTop w:val="0"/>
      <w:marBottom w:val="0"/>
      <w:divBdr>
        <w:top w:val="none" w:sz="0" w:space="0" w:color="auto"/>
        <w:left w:val="none" w:sz="0" w:space="0" w:color="auto"/>
        <w:bottom w:val="none" w:sz="0" w:space="0" w:color="auto"/>
        <w:right w:val="none" w:sz="0" w:space="0" w:color="auto"/>
      </w:divBdr>
    </w:div>
    <w:div w:id="775029161">
      <w:bodyDiv w:val="1"/>
      <w:marLeft w:val="0"/>
      <w:marRight w:val="0"/>
      <w:marTop w:val="0"/>
      <w:marBottom w:val="0"/>
      <w:divBdr>
        <w:top w:val="none" w:sz="0" w:space="0" w:color="auto"/>
        <w:left w:val="none" w:sz="0" w:space="0" w:color="auto"/>
        <w:bottom w:val="none" w:sz="0" w:space="0" w:color="auto"/>
        <w:right w:val="none" w:sz="0" w:space="0" w:color="auto"/>
      </w:divBdr>
    </w:div>
    <w:div w:id="776095137">
      <w:bodyDiv w:val="1"/>
      <w:marLeft w:val="0"/>
      <w:marRight w:val="0"/>
      <w:marTop w:val="0"/>
      <w:marBottom w:val="0"/>
      <w:divBdr>
        <w:top w:val="none" w:sz="0" w:space="0" w:color="auto"/>
        <w:left w:val="none" w:sz="0" w:space="0" w:color="auto"/>
        <w:bottom w:val="none" w:sz="0" w:space="0" w:color="auto"/>
        <w:right w:val="none" w:sz="0" w:space="0" w:color="auto"/>
      </w:divBdr>
    </w:div>
    <w:div w:id="777262573">
      <w:bodyDiv w:val="1"/>
      <w:marLeft w:val="0"/>
      <w:marRight w:val="0"/>
      <w:marTop w:val="0"/>
      <w:marBottom w:val="0"/>
      <w:divBdr>
        <w:top w:val="none" w:sz="0" w:space="0" w:color="auto"/>
        <w:left w:val="none" w:sz="0" w:space="0" w:color="auto"/>
        <w:bottom w:val="none" w:sz="0" w:space="0" w:color="auto"/>
        <w:right w:val="none" w:sz="0" w:space="0" w:color="auto"/>
      </w:divBdr>
    </w:div>
    <w:div w:id="780033542">
      <w:bodyDiv w:val="1"/>
      <w:marLeft w:val="0"/>
      <w:marRight w:val="0"/>
      <w:marTop w:val="0"/>
      <w:marBottom w:val="0"/>
      <w:divBdr>
        <w:top w:val="none" w:sz="0" w:space="0" w:color="auto"/>
        <w:left w:val="none" w:sz="0" w:space="0" w:color="auto"/>
        <w:bottom w:val="none" w:sz="0" w:space="0" w:color="auto"/>
        <w:right w:val="none" w:sz="0" w:space="0" w:color="auto"/>
      </w:divBdr>
    </w:div>
    <w:div w:id="780760414">
      <w:bodyDiv w:val="1"/>
      <w:marLeft w:val="0"/>
      <w:marRight w:val="0"/>
      <w:marTop w:val="0"/>
      <w:marBottom w:val="0"/>
      <w:divBdr>
        <w:top w:val="none" w:sz="0" w:space="0" w:color="auto"/>
        <w:left w:val="none" w:sz="0" w:space="0" w:color="auto"/>
        <w:bottom w:val="none" w:sz="0" w:space="0" w:color="auto"/>
        <w:right w:val="none" w:sz="0" w:space="0" w:color="auto"/>
      </w:divBdr>
    </w:div>
    <w:div w:id="785656474">
      <w:bodyDiv w:val="1"/>
      <w:marLeft w:val="0"/>
      <w:marRight w:val="0"/>
      <w:marTop w:val="0"/>
      <w:marBottom w:val="0"/>
      <w:divBdr>
        <w:top w:val="none" w:sz="0" w:space="0" w:color="auto"/>
        <w:left w:val="none" w:sz="0" w:space="0" w:color="auto"/>
        <w:bottom w:val="none" w:sz="0" w:space="0" w:color="auto"/>
        <w:right w:val="none" w:sz="0" w:space="0" w:color="auto"/>
      </w:divBdr>
    </w:div>
    <w:div w:id="786310351">
      <w:bodyDiv w:val="1"/>
      <w:marLeft w:val="0"/>
      <w:marRight w:val="0"/>
      <w:marTop w:val="0"/>
      <w:marBottom w:val="0"/>
      <w:divBdr>
        <w:top w:val="none" w:sz="0" w:space="0" w:color="auto"/>
        <w:left w:val="none" w:sz="0" w:space="0" w:color="auto"/>
        <w:bottom w:val="none" w:sz="0" w:space="0" w:color="auto"/>
        <w:right w:val="none" w:sz="0" w:space="0" w:color="auto"/>
      </w:divBdr>
    </w:div>
    <w:div w:id="796680916">
      <w:bodyDiv w:val="1"/>
      <w:marLeft w:val="0"/>
      <w:marRight w:val="0"/>
      <w:marTop w:val="0"/>
      <w:marBottom w:val="0"/>
      <w:divBdr>
        <w:top w:val="none" w:sz="0" w:space="0" w:color="auto"/>
        <w:left w:val="none" w:sz="0" w:space="0" w:color="auto"/>
        <w:bottom w:val="none" w:sz="0" w:space="0" w:color="auto"/>
        <w:right w:val="none" w:sz="0" w:space="0" w:color="auto"/>
      </w:divBdr>
    </w:div>
    <w:div w:id="798837516">
      <w:bodyDiv w:val="1"/>
      <w:marLeft w:val="0"/>
      <w:marRight w:val="0"/>
      <w:marTop w:val="0"/>
      <w:marBottom w:val="0"/>
      <w:divBdr>
        <w:top w:val="none" w:sz="0" w:space="0" w:color="auto"/>
        <w:left w:val="none" w:sz="0" w:space="0" w:color="auto"/>
        <w:bottom w:val="none" w:sz="0" w:space="0" w:color="auto"/>
        <w:right w:val="none" w:sz="0" w:space="0" w:color="auto"/>
      </w:divBdr>
    </w:div>
    <w:div w:id="799038000">
      <w:bodyDiv w:val="1"/>
      <w:marLeft w:val="0"/>
      <w:marRight w:val="0"/>
      <w:marTop w:val="0"/>
      <w:marBottom w:val="0"/>
      <w:divBdr>
        <w:top w:val="none" w:sz="0" w:space="0" w:color="auto"/>
        <w:left w:val="none" w:sz="0" w:space="0" w:color="auto"/>
        <w:bottom w:val="none" w:sz="0" w:space="0" w:color="auto"/>
        <w:right w:val="none" w:sz="0" w:space="0" w:color="auto"/>
      </w:divBdr>
    </w:div>
    <w:div w:id="803236054">
      <w:bodyDiv w:val="1"/>
      <w:marLeft w:val="0"/>
      <w:marRight w:val="0"/>
      <w:marTop w:val="0"/>
      <w:marBottom w:val="0"/>
      <w:divBdr>
        <w:top w:val="none" w:sz="0" w:space="0" w:color="auto"/>
        <w:left w:val="none" w:sz="0" w:space="0" w:color="auto"/>
        <w:bottom w:val="none" w:sz="0" w:space="0" w:color="auto"/>
        <w:right w:val="none" w:sz="0" w:space="0" w:color="auto"/>
      </w:divBdr>
    </w:div>
    <w:div w:id="804736163">
      <w:bodyDiv w:val="1"/>
      <w:marLeft w:val="0"/>
      <w:marRight w:val="0"/>
      <w:marTop w:val="0"/>
      <w:marBottom w:val="0"/>
      <w:divBdr>
        <w:top w:val="none" w:sz="0" w:space="0" w:color="auto"/>
        <w:left w:val="none" w:sz="0" w:space="0" w:color="auto"/>
        <w:bottom w:val="none" w:sz="0" w:space="0" w:color="auto"/>
        <w:right w:val="none" w:sz="0" w:space="0" w:color="auto"/>
      </w:divBdr>
    </w:div>
    <w:div w:id="805316486">
      <w:bodyDiv w:val="1"/>
      <w:marLeft w:val="0"/>
      <w:marRight w:val="0"/>
      <w:marTop w:val="0"/>
      <w:marBottom w:val="0"/>
      <w:divBdr>
        <w:top w:val="none" w:sz="0" w:space="0" w:color="auto"/>
        <w:left w:val="none" w:sz="0" w:space="0" w:color="auto"/>
        <w:bottom w:val="none" w:sz="0" w:space="0" w:color="auto"/>
        <w:right w:val="none" w:sz="0" w:space="0" w:color="auto"/>
      </w:divBdr>
    </w:div>
    <w:div w:id="805394988">
      <w:bodyDiv w:val="1"/>
      <w:marLeft w:val="0"/>
      <w:marRight w:val="0"/>
      <w:marTop w:val="0"/>
      <w:marBottom w:val="0"/>
      <w:divBdr>
        <w:top w:val="none" w:sz="0" w:space="0" w:color="auto"/>
        <w:left w:val="none" w:sz="0" w:space="0" w:color="auto"/>
        <w:bottom w:val="none" w:sz="0" w:space="0" w:color="auto"/>
        <w:right w:val="none" w:sz="0" w:space="0" w:color="auto"/>
      </w:divBdr>
    </w:div>
    <w:div w:id="807480965">
      <w:bodyDiv w:val="1"/>
      <w:marLeft w:val="0"/>
      <w:marRight w:val="0"/>
      <w:marTop w:val="0"/>
      <w:marBottom w:val="0"/>
      <w:divBdr>
        <w:top w:val="none" w:sz="0" w:space="0" w:color="auto"/>
        <w:left w:val="none" w:sz="0" w:space="0" w:color="auto"/>
        <w:bottom w:val="none" w:sz="0" w:space="0" w:color="auto"/>
        <w:right w:val="none" w:sz="0" w:space="0" w:color="auto"/>
      </w:divBdr>
    </w:div>
    <w:div w:id="810907128">
      <w:bodyDiv w:val="1"/>
      <w:marLeft w:val="0"/>
      <w:marRight w:val="0"/>
      <w:marTop w:val="0"/>
      <w:marBottom w:val="0"/>
      <w:divBdr>
        <w:top w:val="none" w:sz="0" w:space="0" w:color="auto"/>
        <w:left w:val="none" w:sz="0" w:space="0" w:color="auto"/>
        <w:bottom w:val="none" w:sz="0" w:space="0" w:color="auto"/>
        <w:right w:val="none" w:sz="0" w:space="0" w:color="auto"/>
      </w:divBdr>
    </w:div>
    <w:div w:id="811337083">
      <w:bodyDiv w:val="1"/>
      <w:marLeft w:val="0"/>
      <w:marRight w:val="0"/>
      <w:marTop w:val="0"/>
      <w:marBottom w:val="0"/>
      <w:divBdr>
        <w:top w:val="none" w:sz="0" w:space="0" w:color="auto"/>
        <w:left w:val="none" w:sz="0" w:space="0" w:color="auto"/>
        <w:bottom w:val="none" w:sz="0" w:space="0" w:color="auto"/>
        <w:right w:val="none" w:sz="0" w:space="0" w:color="auto"/>
      </w:divBdr>
    </w:div>
    <w:div w:id="812410927">
      <w:bodyDiv w:val="1"/>
      <w:marLeft w:val="0"/>
      <w:marRight w:val="0"/>
      <w:marTop w:val="0"/>
      <w:marBottom w:val="0"/>
      <w:divBdr>
        <w:top w:val="none" w:sz="0" w:space="0" w:color="auto"/>
        <w:left w:val="none" w:sz="0" w:space="0" w:color="auto"/>
        <w:bottom w:val="none" w:sz="0" w:space="0" w:color="auto"/>
        <w:right w:val="none" w:sz="0" w:space="0" w:color="auto"/>
      </w:divBdr>
    </w:div>
    <w:div w:id="819616689">
      <w:bodyDiv w:val="1"/>
      <w:marLeft w:val="0"/>
      <w:marRight w:val="0"/>
      <w:marTop w:val="0"/>
      <w:marBottom w:val="0"/>
      <w:divBdr>
        <w:top w:val="none" w:sz="0" w:space="0" w:color="auto"/>
        <w:left w:val="none" w:sz="0" w:space="0" w:color="auto"/>
        <w:bottom w:val="none" w:sz="0" w:space="0" w:color="auto"/>
        <w:right w:val="none" w:sz="0" w:space="0" w:color="auto"/>
      </w:divBdr>
    </w:div>
    <w:div w:id="821507319">
      <w:bodyDiv w:val="1"/>
      <w:marLeft w:val="0"/>
      <w:marRight w:val="0"/>
      <w:marTop w:val="0"/>
      <w:marBottom w:val="0"/>
      <w:divBdr>
        <w:top w:val="none" w:sz="0" w:space="0" w:color="auto"/>
        <w:left w:val="none" w:sz="0" w:space="0" w:color="auto"/>
        <w:bottom w:val="none" w:sz="0" w:space="0" w:color="auto"/>
        <w:right w:val="none" w:sz="0" w:space="0" w:color="auto"/>
      </w:divBdr>
    </w:div>
    <w:div w:id="823863029">
      <w:bodyDiv w:val="1"/>
      <w:marLeft w:val="0"/>
      <w:marRight w:val="0"/>
      <w:marTop w:val="0"/>
      <w:marBottom w:val="0"/>
      <w:divBdr>
        <w:top w:val="none" w:sz="0" w:space="0" w:color="auto"/>
        <w:left w:val="none" w:sz="0" w:space="0" w:color="auto"/>
        <w:bottom w:val="none" w:sz="0" w:space="0" w:color="auto"/>
        <w:right w:val="none" w:sz="0" w:space="0" w:color="auto"/>
      </w:divBdr>
    </w:div>
    <w:div w:id="826167330">
      <w:bodyDiv w:val="1"/>
      <w:marLeft w:val="0"/>
      <w:marRight w:val="0"/>
      <w:marTop w:val="0"/>
      <w:marBottom w:val="0"/>
      <w:divBdr>
        <w:top w:val="none" w:sz="0" w:space="0" w:color="auto"/>
        <w:left w:val="none" w:sz="0" w:space="0" w:color="auto"/>
        <w:bottom w:val="none" w:sz="0" w:space="0" w:color="auto"/>
        <w:right w:val="none" w:sz="0" w:space="0" w:color="auto"/>
      </w:divBdr>
    </w:div>
    <w:div w:id="826357505">
      <w:bodyDiv w:val="1"/>
      <w:marLeft w:val="0"/>
      <w:marRight w:val="0"/>
      <w:marTop w:val="0"/>
      <w:marBottom w:val="0"/>
      <w:divBdr>
        <w:top w:val="none" w:sz="0" w:space="0" w:color="auto"/>
        <w:left w:val="none" w:sz="0" w:space="0" w:color="auto"/>
        <w:bottom w:val="none" w:sz="0" w:space="0" w:color="auto"/>
        <w:right w:val="none" w:sz="0" w:space="0" w:color="auto"/>
      </w:divBdr>
    </w:div>
    <w:div w:id="827788894">
      <w:bodyDiv w:val="1"/>
      <w:marLeft w:val="0"/>
      <w:marRight w:val="0"/>
      <w:marTop w:val="0"/>
      <w:marBottom w:val="0"/>
      <w:divBdr>
        <w:top w:val="none" w:sz="0" w:space="0" w:color="auto"/>
        <w:left w:val="none" w:sz="0" w:space="0" w:color="auto"/>
        <w:bottom w:val="none" w:sz="0" w:space="0" w:color="auto"/>
        <w:right w:val="none" w:sz="0" w:space="0" w:color="auto"/>
      </w:divBdr>
    </w:div>
    <w:div w:id="830095522">
      <w:bodyDiv w:val="1"/>
      <w:marLeft w:val="0"/>
      <w:marRight w:val="0"/>
      <w:marTop w:val="0"/>
      <w:marBottom w:val="0"/>
      <w:divBdr>
        <w:top w:val="none" w:sz="0" w:space="0" w:color="auto"/>
        <w:left w:val="none" w:sz="0" w:space="0" w:color="auto"/>
        <w:bottom w:val="none" w:sz="0" w:space="0" w:color="auto"/>
        <w:right w:val="none" w:sz="0" w:space="0" w:color="auto"/>
      </w:divBdr>
    </w:div>
    <w:div w:id="835261990">
      <w:bodyDiv w:val="1"/>
      <w:marLeft w:val="0"/>
      <w:marRight w:val="0"/>
      <w:marTop w:val="0"/>
      <w:marBottom w:val="0"/>
      <w:divBdr>
        <w:top w:val="none" w:sz="0" w:space="0" w:color="auto"/>
        <w:left w:val="none" w:sz="0" w:space="0" w:color="auto"/>
        <w:bottom w:val="none" w:sz="0" w:space="0" w:color="auto"/>
        <w:right w:val="none" w:sz="0" w:space="0" w:color="auto"/>
      </w:divBdr>
    </w:div>
    <w:div w:id="842203613">
      <w:bodyDiv w:val="1"/>
      <w:marLeft w:val="0"/>
      <w:marRight w:val="0"/>
      <w:marTop w:val="0"/>
      <w:marBottom w:val="0"/>
      <w:divBdr>
        <w:top w:val="none" w:sz="0" w:space="0" w:color="auto"/>
        <w:left w:val="none" w:sz="0" w:space="0" w:color="auto"/>
        <w:bottom w:val="none" w:sz="0" w:space="0" w:color="auto"/>
        <w:right w:val="none" w:sz="0" w:space="0" w:color="auto"/>
      </w:divBdr>
    </w:div>
    <w:div w:id="845707908">
      <w:bodyDiv w:val="1"/>
      <w:marLeft w:val="0"/>
      <w:marRight w:val="0"/>
      <w:marTop w:val="0"/>
      <w:marBottom w:val="0"/>
      <w:divBdr>
        <w:top w:val="none" w:sz="0" w:space="0" w:color="auto"/>
        <w:left w:val="none" w:sz="0" w:space="0" w:color="auto"/>
        <w:bottom w:val="none" w:sz="0" w:space="0" w:color="auto"/>
        <w:right w:val="none" w:sz="0" w:space="0" w:color="auto"/>
      </w:divBdr>
    </w:div>
    <w:div w:id="847401774">
      <w:bodyDiv w:val="1"/>
      <w:marLeft w:val="0"/>
      <w:marRight w:val="0"/>
      <w:marTop w:val="0"/>
      <w:marBottom w:val="0"/>
      <w:divBdr>
        <w:top w:val="none" w:sz="0" w:space="0" w:color="auto"/>
        <w:left w:val="none" w:sz="0" w:space="0" w:color="auto"/>
        <w:bottom w:val="none" w:sz="0" w:space="0" w:color="auto"/>
        <w:right w:val="none" w:sz="0" w:space="0" w:color="auto"/>
      </w:divBdr>
    </w:div>
    <w:div w:id="847520536">
      <w:bodyDiv w:val="1"/>
      <w:marLeft w:val="0"/>
      <w:marRight w:val="0"/>
      <w:marTop w:val="0"/>
      <w:marBottom w:val="0"/>
      <w:divBdr>
        <w:top w:val="none" w:sz="0" w:space="0" w:color="auto"/>
        <w:left w:val="none" w:sz="0" w:space="0" w:color="auto"/>
        <w:bottom w:val="none" w:sz="0" w:space="0" w:color="auto"/>
        <w:right w:val="none" w:sz="0" w:space="0" w:color="auto"/>
      </w:divBdr>
    </w:div>
    <w:div w:id="847521991">
      <w:bodyDiv w:val="1"/>
      <w:marLeft w:val="0"/>
      <w:marRight w:val="0"/>
      <w:marTop w:val="0"/>
      <w:marBottom w:val="0"/>
      <w:divBdr>
        <w:top w:val="none" w:sz="0" w:space="0" w:color="auto"/>
        <w:left w:val="none" w:sz="0" w:space="0" w:color="auto"/>
        <w:bottom w:val="none" w:sz="0" w:space="0" w:color="auto"/>
        <w:right w:val="none" w:sz="0" w:space="0" w:color="auto"/>
      </w:divBdr>
    </w:div>
    <w:div w:id="851453532">
      <w:bodyDiv w:val="1"/>
      <w:marLeft w:val="0"/>
      <w:marRight w:val="0"/>
      <w:marTop w:val="0"/>
      <w:marBottom w:val="0"/>
      <w:divBdr>
        <w:top w:val="none" w:sz="0" w:space="0" w:color="auto"/>
        <w:left w:val="none" w:sz="0" w:space="0" w:color="auto"/>
        <w:bottom w:val="none" w:sz="0" w:space="0" w:color="auto"/>
        <w:right w:val="none" w:sz="0" w:space="0" w:color="auto"/>
      </w:divBdr>
    </w:div>
    <w:div w:id="853109762">
      <w:bodyDiv w:val="1"/>
      <w:marLeft w:val="0"/>
      <w:marRight w:val="0"/>
      <w:marTop w:val="0"/>
      <w:marBottom w:val="0"/>
      <w:divBdr>
        <w:top w:val="none" w:sz="0" w:space="0" w:color="auto"/>
        <w:left w:val="none" w:sz="0" w:space="0" w:color="auto"/>
        <w:bottom w:val="none" w:sz="0" w:space="0" w:color="auto"/>
        <w:right w:val="none" w:sz="0" w:space="0" w:color="auto"/>
      </w:divBdr>
    </w:div>
    <w:div w:id="856505471">
      <w:bodyDiv w:val="1"/>
      <w:marLeft w:val="0"/>
      <w:marRight w:val="0"/>
      <w:marTop w:val="0"/>
      <w:marBottom w:val="0"/>
      <w:divBdr>
        <w:top w:val="none" w:sz="0" w:space="0" w:color="auto"/>
        <w:left w:val="none" w:sz="0" w:space="0" w:color="auto"/>
        <w:bottom w:val="none" w:sz="0" w:space="0" w:color="auto"/>
        <w:right w:val="none" w:sz="0" w:space="0" w:color="auto"/>
      </w:divBdr>
    </w:div>
    <w:div w:id="856626366">
      <w:bodyDiv w:val="1"/>
      <w:marLeft w:val="0"/>
      <w:marRight w:val="0"/>
      <w:marTop w:val="0"/>
      <w:marBottom w:val="0"/>
      <w:divBdr>
        <w:top w:val="none" w:sz="0" w:space="0" w:color="auto"/>
        <w:left w:val="none" w:sz="0" w:space="0" w:color="auto"/>
        <w:bottom w:val="none" w:sz="0" w:space="0" w:color="auto"/>
        <w:right w:val="none" w:sz="0" w:space="0" w:color="auto"/>
      </w:divBdr>
    </w:div>
    <w:div w:id="857161800">
      <w:bodyDiv w:val="1"/>
      <w:marLeft w:val="0"/>
      <w:marRight w:val="0"/>
      <w:marTop w:val="0"/>
      <w:marBottom w:val="0"/>
      <w:divBdr>
        <w:top w:val="none" w:sz="0" w:space="0" w:color="auto"/>
        <w:left w:val="none" w:sz="0" w:space="0" w:color="auto"/>
        <w:bottom w:val="none" w:sz="0" w:space="0" w:color="auto"/>
        <w:right w:val="none" w:sz="0" w:space="0" w:color="auto"/>
      </w:divBdr>
    </w:div>
    <w:div w:id="857239234">
      <w:bodyDiv w:val="1"/>
      <w:marLeft w:val="0"/>
      <w:marRight w:val="0"/>
      <w:marTop w:val="0"/>
      <w:marBottom w:val="0"/>
      <w:divBdr>
        <w:top w:val="none" w:sz="0" w:space="0" w:color="auto"/>
        <w:left w:val="none" w:sz="0" w:space="0" w:color="auto"/>
        <w:bottom w:val="none" w:sz="0" w:space="0" w:color="auto"/>
        <w:right w:val="none" w:sz="0" w:space="0" w:color="auto"/>
      </w:divBdr>
    </w:div>
    <w:div w:id="858201263">
      <w:bodyDiv w:val="1"/>
      <w:marLeft w:val="0"/>
      <w:marRight w:val="0"/>
      <w:marTop w:val="0"/>
      <w:marBottom w:val="0"/>
      <w:divBdr>
        <w:top w:val="none" w:sz="0" w:space="0" w:color="auto"/>
        <w:left w:val="none" w:sz="0" w:space="0" w:color="auto"/>
        <w:bottom w:val="none" w:sz="0" w:space="0" w:color="auto"/>
        <w:right w:val="none" w:sz="0" w:space="0" w:color="auto"/>
      </w:divBdr>
    </w:div>
    <w:div w:id="862205967">
      <w:bodyDiv w:val="1"/>
      <w:marLeft w:val="0"/>
      <w:marRight w:val="0"/>
      <w:marTop w:val="0"/>
      <w:marBottom w:val="0"/>
      <w:divBdr>
        <w:top w:val="none" w:sz="0" w:space="0" w:color="auto"/>
        <w:left w:val="none" w:sz="0" w:space="0" w:color="auto"/>
        <w:bottom w:val="none" w:sz="0" w:space="0" w:color="auto"/>
        <w:right w:val="none" w:sz="0" w:space="0" w:color="auto"/>
      </w:divBdr>
    </w:div>
    <w:div w:id="862594551">
      <w:bodyDiv w:val="1"/>
      <w:marLeft w:val="0"/>
      <w:marRight w:val="0"/>
      <w:marTop w:val="0"/>
      <w:marBottom w:val="0"/>
      <w:divBdr>
        <w:top w:val="none" w:sz="0" w:space="0" w:color="auto"/>
        <w:left w:val="none" w:sz="0" w:space="0" w:color="auto"/>
        <w:bottom w:val="none" w:sz="0" w:space="0" w:color="auto"/>
        <w:right w:val="none" w:sz="0" w:space="0" w:color="auto"/>
      </w:divBdr>
    </w:div>
    <w:div w:id="862865285">
      <w:bodyDiv w:val="1"/>
      <w:marLeft w:val="0"/>
      <w:marRight w:val="0"/>
      <w:marTop w:val="0"/>
      <w:marBottom w:val="0"/>
      <w:divBdr>
        <w:top w:val="none" w:sz="0" w:space="0" w:color="auto"/>
        <w:left w:val="none" w:sz="0" w:space="0" w:color="auto"/>
        <w:bottom w:val="none" w:sz="0" w:space="0" w:color="auto"/>
        <w:right w:val="none" w:sz="0" w:space="0" w:color="auto"/>
      </w:divBdr>
    </w:div>
    <w:div w:id="865414129">
      <w:bodyDiv w:val="1"/>
      <w:marLeft w:val="0"/>
      <w:marRight w:val="0"/>
      <w:marTop w:val="0"/>
      <w:marBottom w:val="0"/>
      <w:divBdr>
        <w:top w:val="none" w:sz="0" w:space="0" w:color="auto"/>
        <w:left w:val="none" w:sz="0" w:space="0" w:color="auto"/>
        <w:bottom w:val="none" w:sz="0" w:space="0" w:color="auto"/>
        <w:right w:val="none" w:sz="0" w:space="0" w:color="auto"/>
      </w:divBdr>
    </w:div>
    <w:div w:id="866985635">
      <w:bodyDiv w:val="1"/>
      <w:marLeft w:val="0"/>
      <w:marRight w:val="0"/>
      <w:marTop w:val="0"/>
      <w:marBottom w:val="0"/>
      <w:divBdr>
        <w:top w:val="none" w:sz="0" w:space="0" w:color="auto"/>
        <w:left w:val="none" w:sz="0" w:space="0" w:color="auto"/>
        <w:bottom w:val="none" w:sz="0" w:space="0" w:color="auto"/>
        <w:right w:val="none" w:sz="0" w:space="0" w:color="auto"/>
      </w:divBdr>
    </w:div>
    <w:div w:id="869420509">
      <w:bodyDiv w:val="1"/>
      <w:marLeft w:val="0"/>
      <w:marRight w:val="0"/>
      <w:marTop w:val="0"/>
      <w:marBottom w:val="0"/>
      <w:divBdr>
        <w:top w:val="none" w:sz="0" w:space="0" w:color="auto"/>
        <w:left w:val="none" w:sz="0" w:space="0" w:color="auto"/>
        <w:bottom w:val="none" w:sz="0" w:space="0" w:color="auto"/>
        <w:right w:val="none" w:sz="0" w:space="0" w:color="auto"/>
      </w:divBdr>
    </w:div>
    <w:div w:id="871459577">
      <w:bodyDiv w:val="1"/>
      <w:marLeft w:val="0"/>
      <w:marRight w:val="0"/>
      <w:marTop w:val="0"/>
      <w:marBottom w:val="0"/>
      <w:divBdr>
        <w:top w:val="none" w:sz="0" w:space="0" w:color="auto"/>
        <w:left w:val="none" w:sz="0" w:space="0" w:color="auto"/>
        <w:bottom w:val="none" w:sz="0" w:space="0" w:color="auto"/>
        <w:right w:val="none" w:sz="0" w:space="0" w:color="auto"/>
      </w:divBdr>
    </w:div>
    <w:div w:id="875775227">
      <w:bodyDiv w:val="1"/>
      <w:marLeft w:val="0"/>
      <w:marRight w:val="0"/>
      <w:marTop w:val="0"/>
      <w:marBottom w:val="0"/>
      <w:divBdr>
        <w:top w:val="none" w:sz="0" w:space="0" w:color="auto"/>
        <w:left w:val="none" w:sz="0" w:space="0" w:color="auto"/>
        <w:bottom w:val="none" w:sz="0" w:space="0" w:color="auto"/>
        <w:right w:val="none" w:sz="0" w:space="0" w:color="auto"/>
      </w:divBdr>
    </w:div>
    <w:div w:id="876354213">
      <w:bodyDiv w:val="1"/>
      <w:marLeft w:val="0"/>
      <w:marRight w:val="0"/>
      <w:marTop w:val="0"/>
      <w:marBottom w:val="0"/>
      <w:divBdr>
        <w:top w:val="none" w:sz="0" w:space="0" w:color="auto"/>
        <w:left w:val="none" w:sz="0" w:space="0" w:color="auto"/>
        <w:bottom w:val="none" w:sz="0" w:space="0" w:color="auto"/>
        <w:right w:val="none" w:sz="0" w:space="0" w:color="auto"/>
      </w:divBdr>
    </w:div>
    <w:div w:id="882062399">
      <w:bodyDiv w:val="1"/>
      <w:marLeft w:val="0"/>
      <w:marRight w:val="0"/>
      <w:marTop w:val="0"/>
      <w:marBottom w:val="0"/>
      <w:divBdr>
        <w:top w:val="none" w:sz="0" w:space="0" w:color="auto"/>
        <w:left w:val="none" w:sz="0" w:space="0" w:color="auto"/>
        <w:bottom w:val="none" w:sz="0" w:space="0" w:color="auto"/>
        <w:right w:val="none" w:sz="0" w:space="0" w:color="auto"/>
      </w:divBdr>
    </w:div>
    <w:div w:id="882793913">
      <w:bodyDiv w:val="1"/>
      <w:marLeft w:val="0"/>
      <w:marRight w:val="0"/>
      <w:marTop w:val="0"/>
      <w:marBottom w:val="0"/>
      <w:divBdr>
        <w:top w:val="none" w:sz="0" w:space="0" w:color="auto"/>
        <w:left w:val="none" w:sz="0" w:space="0" w:color="auto"/>
        <w:bottom w:val="none" w:sz="0" w:space="0" w:color="auto"/>
        <w:right w:val="none" w:sz="0" w:space="0" w:color="auto"/>
      </w:divBdr>
    </w:div>
    <w:div w:id="884408773">
      <w:bodyDiv w:val="1"/>
      <w:marLeft w:val="0"/>
      <w:marRight w:val="0"/>
      <w:marTop w:val="0"/>
      <w:marBottom w:val="0"/>
      <w:divBdr>
        <w:top w:val="none" w:sz="0" w:space="0" w:color="auto"/>
        <w:left w:val="none" w:sz="0" w:space="0" w:color="auto"/>
        <w:bottom w:val="none" w:sz="0" w:space="0" w:color="auto"/>
        <w:right w:val="none" w:sz="0" w:space="0" w:color="auto"/>
      </w:divBdr>
    </w:div>
    <w:div w:id="885801357">
      <w:bodyDiv w:val="1"/>
      <w:marLeft w:val="0"/>
      <w:marRight w:val="0"/>
      <w:marTop w:val="0"/>
      <w:marBottom w:val="0"/>
      <w:divBdr>
        <w:top w:val="none" w:sz="0" w:space="0" w:color="auto"/>
        <w:left w:val="none" w:sz="0" w:space="0" w:color="auto"/>
        <w:bottom w:val="none" w:sz="0" w:space="0" w:color="auto"/>
        <w:right w:val="none" w:sz="0" w:space="0" w:color="auto"/>
      </w:divBdr>
    </w:div>
    <w:div w:id="886448799">
      <w:bodyDiv w:val="1"/>
      <w:marLeft w:val="0"/>
      <w:marRight w:val="0"/>
      <w:marTop w:val="0"/>
      <w:marBottom w:val="0"/>
      <w:divBdr>
        <w:top w:val="none" w:sz="0" w:space="0" w:color="auto"/>
        <w:left w:val="none" w:sz="0" w:space="0" w:color="auto"/>
        <w:bottom w:val="none" w:sz="0" w:space="0" w:color="auto"/>
        <w:right w:val="none" w:sz="0" w:space="0" w:color="auto"/>
      </w:divBdr>
    </w:div>
    <w:div w:id="888882227">
      <w:bodyDiv w:val="1"/>
      <w:marLeft w:val="0"/>
      <w:marRight w:val="0"/>
      <w:marTop w:val="0"/>
      <w:marBottom w:val="0"/>
      <w:divBdr>
        <w:top w:val="none" w:sz="0" w:space="0" w:color="auto"/>
        <w:left w:val="none" w:sz="0" w:space="0" w:color="auto"/>
        <w:bottom w:val="none" w:sz="0" w:space="0" w:color="auto"/>
        <w:right w:val="none" w:sz="0" w:space="0" w:color="auto"/>
      </w:divBdr>
    </w:div>
    <w:div w:id="893733685">
      <w:bodyDiv w:val="1"/>
      <w:marLeft w:val="0"/>
      <w:marRight w:val="0"/>
      <w:marTop w:val="0"/>
      <w:marBottom w:val="0"/>
      <w:divBdr>
        <w:top w:val="none" w:sz="0" w:space="0" w:color="auto"/>
        <w:left w:val="none" w:sz="0" w:space="0" w:color="auto"/>
        <w:bottom w:val="none" w:sz="0" w:space="0" w:color="auto"/>
        <w:right w:val="none" w:sz="0" w:space="0" w:color="auto"/>
      </w:divBdr>
    </w:div>
    <w:div w:id="897588296">
      <w:bodyDiv w:val="1"/>
      <w:marLeft w:val="0"/>
      <w:marRight w:val="0"/>
      <w:marTop w:val="0"/>
      <w:marBottom w:val="0"/>
      <w:divBdr>
        <w:top w:val="none" w:sz="0" w:space="0" w:color="auto"/>
        <w:left w:val="none" w:sz="0" w:space="0" w:color="auto"/>
        <w:bottom w:val="none" w:sz="0" w:space="0" w:color="auto"/>
        <w:right w:val="none" w:sz="0" w:space="0" w:color="auto"/>
      </w:divBdr>
    </w:div>
    <w:div w:id="898251010">
      <w:bodyDiv w:val="1"/>
      <w:marLeft w:val="0"/>
      <w:marRight w:val="0"/>
      <w:marTop w:val="0"/>
      <w:marBottom w:val="0"/>
      <w:divBdr>
        <w:top w:val="none" w:sz="0" w:space="0" w:color="auto"/>
        <w:left w:val="none" w:sz="0" w:space="0" w:color="auto"/>
        <w:bottom w:val="none" w:sz="0" w:space="0" w:color="auto"/>
        <w:right w:val="none" w:sz="0" w:space="0" w:color="auto"/>
      </w:divBdr>
    </w:div>
    <w:div w:id="899679104">
      <w:bodyDiv w:val="1"/>
      <w:marLeft w:val="0"/>
      <w:marRight w:val="0"/>
      <w:marTop w:val="0"/>
      <w:marBottom w:val="0"/>
      <w:divBdr>
        <w:top w:val="none" w:sz="0" w:space="0" w:color="auto"/>
        <w:left w:val="none" w:sz="0" w:space="0" w:color="auto"/>
        <w:bottom w:val="none" w:sz="0" w:space="0" w:color="auto"/>
        <w:right w:val="none" w:sz="0" w:space="0" w:color="auto"/>
      </w:divBdr>
    </w:div>
    <w:div w:id="900748659">
      <w:bodyDiv w:val="1"/>
      <w:marLeft w:val="0"/>
      <w:marRight w:val="0"/>
      <w:marTop w:val="0"/>
      <w:marBottom w:val="0"/>
      <w:divBdr>
        <w:top w:val="none" w:sz="0" w:space="0" w:color="auto"/>
        <w:left w:val="none" w:sz="0" w:space="0" w:color="auto"/>
        <w:bottom w:val="none" w:sz="0" w:space="0" w:color="auto"/>
        <w:right w:val="none" w:sz="0" w:space="0" w:color="auto"/>
      </w:divBdr>
    </w:div>
    <w:div w:id="903758183">
      <w:bodyDiv w:val="1"/>
      <w:marLeft w:val="0"/>
      <w:marRight w:val="0"/>
      <w:marTop w:val="0"/>
      <w:marBottom w:val="0"/>
      <w:divBdr>
        <w:top w:val="none" w:sz="0" w:space="0" w:color="auto"/>
        <w:left w:val="none" w:sz="0" w:space="0" w:color="auto"/>
        <w:bottom w:val="none" w:sz="0" w:space="0" w:color="auto"/>
        <w:right w:val="none" w:sz="0" w:space="0" w:color="auto"/>
      </w:divBdr>
    </w:div>
    <w:div w:id="903948673">
      <w:bodyDiv w:val="1"/>
      <w:marLeft w:val="0"/>
      <w:marRight w:val="0"/>
      <w:marTop w:val="0"/>
      <w:marBottom w:val="0"/>
      <w:divBdr>
        <w:top w:val="none" w:sz="0" w:space="0" w:color="auto"/>
        <w:left w:val="none" w:sz="0" w:space="0" w:color="auto"/>
        <w:bottom w:val="none" w:sz="0" w:space="0" w:color="auto"/>
        <w:right w:val="none" w:sz="0" w:space="0" w:color="auto"/>
      </w:divBdr>
    </w:div>
    <w:div w:id="904533298">
      <w:bodyDiv w:val="1"/>
      <w:marLeft w:val="0"/>
      <w:marRight w:val="0"/>
      <w:marTop w:val="0"/>
      <w:marBottom w:val="0"/>
      <w:divBdr>
        <w:top w:val="none" w:sz="0" w:space="0" w:color="auto"/>
        <w:left w:val="none" w:sz="0" w:space="0" w:color="auto"/>
        <w:bottom w:val="none" w:sz="0" w:space="0" w:color="auto"/>
        <w:right w:val="none" w:sz="0" w:space="0" w:color="auto"/>
      </w:divBdr>
    </w:div>
    <w:div w:id="906915246">
      <w:bodyDiv w:val="1"/>
      <w:marLeft w:val="0"/>
      <w:marRight w:val="0"/>
      <w:marTop w:val="0"/>
      <w:marBottom w:val="0"/>
      <w:divBdr>
        <w:top w:val="none" w:sz="0" w:space="0" w:color="auto"/>
        <w:left w:val="none" w:sz="0" w:space="0" w:color="auto"/>
        <w:bottom w:val="none" w:sz="0" w:space="0" w:color="auto"/>
        <w:right w:val="none" w:sz="0" w:space="0" w:color="auto"/>
      </w:divBdr>
    </w:div>
    <w:div w:id="909458358">
      <w:bodyDiv w:val="1"/>
      <w:marLeft w:val="0"/>
      <w:marRight w:val="0"/>
      <w:marTop w:val="0"/>
      <w:marBottom w:val="0"/>
      <w:divBdr>
        <w:top w:val="none" w:sz="0" w:space="0" w:color="auto"/>
        <w:left w:val="none" w:sz="0" w:space="0" w:color="auto"/>
        <w:bottom w:val="none" w:sz="0" w:space="0" w:color="auto"/>
        <w:right w:val="none" w:sz="0" w:space="0" w:color="auto"/>
      </w:divBdr>
    </w:div>
    <w:div w:id="909654868">
      <w:bodyDiv w:val="1"/>
      <w:marLeft w:val="0"/>
      <w:marRight w:val="0"/>
      <w:marTop w:val="0"/>
      <w:marBottom w:val="0"/>
      <w:divBdr>
        <w:top w:val="none" w:sz="0" w:space="0" w:color="auto"/>
        <w:left w:val="none" w:sz="0" w:space="0" w:color="auto"/>
        <w:bottom w:val="none" w:sz="0" w:space="0" w:color="auto"/>
        <w:right w:val="none" w:sz="0" w:space="0" w:color="auto"/>
      </w:divBdr>
    </w:div>
    <w:div w:id="911812992">
      <w:bodyDiv w:val="1"/>
      <w:marLeft w:val="0"/>
      <w:marRight w:val="0"/>
      <w:marTop w:val="0"/>
      <w:marBottom w:val="0"/>
      <w:divBdr>
        <w:top w:val="none" w:sz="0" w:space="0" w:color="auto"/>
        <w:left w:val="none" w:sz="0" w:space="0" w:color="auto"/>
        <w:bottom w:val="none" w:sz="0" w:space="0" w:color="auto"/>
        <w:right w:val="none" w:sz="0" w:space="0" w:color="auto"/>
      </w:divBdr>
    </w:div>
    <w:div w:id="913785362">
      <w:bodyDiv w:val="1"/>
      <w:marLeft w:val="0"/>
      <w:marRight w:val="0"/>
      <w:marTop w:val="0"/>
      <w:marBottom w:val="0"/>
      <w:divBdr>
        <w:top w:val="none" w:sz="0" w:space="0" w:color="auto"/>
        <w:left w:val="none" w:sz="0" w:space="0" w:color="auto"/>
        <w:bottom w:val="none" w:sz="0" w:space="0" w:color="auto"/>
        <w:right w:val="none" w:sz="0" w:space="0" w:color="auto"/>
      </w:divBdr>
    </w:div>
    <w:div w:id="915090995">
      <w:bodyDiv w:val="1"/>
      <w:marLeft w:val="0"/>
      <w:marRight w:val="0"/>
      <w:marTop w:val="0"/>
      <w:marBottom w:val="0"/>
      <w:divBdr>
        <w:top w:val="none" w:sz="0" w:space="0" w:color="auto"/>
        <w:left w:val="none" w:sz="0" w:space="0" w:color="auto"/>
        <w:bottom w:val="none" w:sz="0" w:space="0" w:color="auto"/>
        <w:right w:val="none" w:sz="0" w:space="0" w:color="auto"/>
      </w:divBdr>
    </w:div>
    <w:div w:id="921522903">
      <w:bodyDiv w:val="1"/>
      <w:marLeft w:val="0"/>
      <w:marRight w:val="0"/>
      <w:marTop w:val="0"/>
      <w:marBottom w:val="0"/>
      <w:divBdr>
        <w:top w:val="none" w:sz="0" w:space="0" w:color="auto"/>
        <w:left w:val="none" w:sz="0" w:space="0" w:color="auto"/>
        <w:bottom w:val="none" w:sz="0" w:space="0" w:color="auto"/>
        <w:right w:val="none" w:sz="0" w:space="0" w:color="auto"/>
      </w:divBdr>
    </w:div>
    <w:div w:id="924917259">
      <w:bodyDiv w:val="1"/>
      <w:marLeft w:val="0"/>
      <w:marRight w:val="0"/>
      <w:marTop w:val="0"/>
      <w:marBottom w:val="0"/>
      <w:divBdr>
        <w:top w:val="none" w:sz="0" w:space="0" w:color="auto"/>
        <w:left w:val="none" w:sz="0" w:space="0" w:color="auto"/>
        <w:bottom w:val="none" w:sz="0" w:space="0" w:color="auto"/>
        <w:right w:val="none" w:sz="0" w:space="0" w:color="auto"/>
      </w:divBdr>
    </w:div>
    <w:div w:id="926039223">
      <w:bodyDiv w:val="1"/>
      <w:marLeft w:val="0"/>
      <w:marRight w:val="0"/>
      <w:marTop w:val="0"/>
      <w:marBottom w:val="0"/>
      <w:divBdr>
        <w:top w:val="none" w:sz="0" w:space="0" w:color="auto"/>
        <w:left w:val="none" w:sz="0" w:space="0" w:color="auto"/>
        <w:bottom w:val="none" w:sz="0" w:space="0" w:color="auto"/>
        <w:right w:val="none" w:sz="0" w:space="0" w:color="auto"/>
      </w:divBdr>
    </w:div>
    <w:div w:id="926110106">
      <w:bodyDiv w:val="1"/>
      <w:marLeft w:val="0"/>
      <w:marRight w:val="0"/>
      <w:marTop w:val="0"/>
      <w:marBottom w:val="0"/>
      <w:divBdr>
        <w:top w:val="none" w:sz="0" w:space="0" w:color="auto"/>
        <w:left w:val="none" w:sz="0" w:space="0" w:color="auto"/>
        <w:bottom w:val="none" w:sz="0" w:space="0" w:color="auto"/>
        <w:right w:val="none" w:sz="0" w:space="0" w:color="auto"/>
      </w:divBdr>
    </w:div>
    <w:div w:id="933513677">
      <w:bodyDiv w:val="1"/>
      <w:marLeft w:val="0"/>
      <w:marRight w:val="0"/>
      <w:marTop w:val="0"/>
      <w:marBottom w:val="0"/>
      <w:divBdr>
        <w:top w:val="none" w:sz="0" w:space="0" w:color="auto"/>
        <w:left w:val="none" w:sz="0" w:space="0" w:color="auto"/>
        <w:bottom w:val="none" w:sz="0" w:space="0" w:color="auto"/>
        <w:right w:val="none" w:sz="0" w:space="0" w:color="auto"/>
      </w:divBdr>
    </w:div>
    <w:div w:id="934364280">
      <w:bodyDiv w:val="1"/>
      <w:marLeft w:val="0"/>
      <w:marRight w:val="0"/>
      <w:marTop w:val="0"/>
      <w:marBottom w:val="0"/>
      <w:divBdr>
        <w:top w:val="none" w:sz="0" w:space="0" w:color="auto"/>
        <w:left w:val="none" w:sz="0" w:space="0" w:color="auto"/>
        <w:bottom w:val="none" w:sz="0" w:space="0" w:color="auto"/>
        <w:right w:val="none" w:sz="0" w:space="0" w:color="auto"/>
      </w:divBdr>
    </w:div>
    <w:div w:id="934366331">
      <w:bodyDiv w:val="1"/>
      <w:marLeft w:val="0"/>
      <w:marRight w:val="0"/>
      <w:marTop w:val="0"/>
      <w:marBottom w:val="0"/>
      <w:divBdr>
        <w:top w:val="none" w:sz="0" w:space="0" w:color="auto"/>
        <w:left w:val="none" w:sz="0" w:space="0" w:color="auto"/>
        <w:bottom w:val="none" w:sz="0" w:space="0" w:color="auto"/>
        <w:right w:val="none" w:sz="0" w:space="0" w:color="auto"/>
      </w:divBdr>
    </w:div>
    <w:div w:id="934898941">
      <w:bodyDiv w:val="1"/>
      <w:marLeft w:val="0"/>
      <w:marRight w:val="0"/>
      <w:marTop w:val="0"/>
      <w:marBottom w:val="0"/>
      <w:divBdr>
        <w:top w:val="none" w:sz="0" w:space="0" w:color="auto"/>
        <w:left w:val="none" w:sz="0" w:space="0" w:color="auto"/>
        <w:bottom w:val="none" w:sz="0" w:space="0" w:color="auto"/>
        <w:right w:val="none" w:sz="0" w:space="0" w:color="auto"/>
      </w:divBdr>
    </w:div>
    <w:div w:id="938171989">
      <w:bodyDiv w:val="1"/>
      <w:marLeft w:val="0"/>
      <w:marRight w:val="0"/>
      <w:marTop w:val="0"/>
      <w:marBottom w:val="0"/>
      <w:divBdr>
        <w:top w:val="none" w:sz="0" w:space="0" w:color="auto"/>
        <w:left w:val="none" w:sz="0" w:space="0" w:color="auto"/>
        <w:bottom w:val="none" w:sz="0" w:space="0" w:color="auto"/>
        <w:right w:val="none" w:sz="0" w:space="0" w:color="auto"/>
      </w:divBdr>
    </w:div>
    <w:div w:id="939682620">
      <w:bodyDiv w:val="1"/>
      <w:marLeft w:val="0"/>
      <w:marRight w:val="0"/>
      <w:marTop w:val="0"/>
      <w:marBottom w:val="0"/>
      <w:divBdr>
        <w:top w:val="none" w:sz="0" w:space="0" w:color="auto"/>
        <w:left w:val="none" w:sz="0" w:space="0" w:color="auto"/>
        <w:bottom w:val="none" w:sz="0" w:space="0" w:color="auto"/>
        <w:right w:val="none" w:sz="0" w:space="0" w:color="auto"/>
      </w:divBdr>
    </w:div>
    <w:div w:id="940649668">
      <w:bodyDiv w:val="1"/>
      <w:marLeft w:val="0"/>
      <w:marRight w:val="0"/>
      <w:marTop w:val="0"/>
      <w:marBottom w:val="0"/>
      <w:divBdr>
        <w:top w:val="none" w:sz="0" w:space="0" w:color="auto"/>
        <w:left w:val="none" w:sz="0" w:space="0" w:color="auto"/>
        <w:bottom w:val="none" w:sz="0" w:space="0" w:color="auto"/>
        <w:right w:val="none" w:sz="0" w:space="0" w:color="auto"/>
      </w:divBdr>
    </w:div>
    <w:div w:id="943613890">
      <w:bodyDiv w:val="1"/>
      <w:marLeft w:val="0"/>
      <w:marRight w:val="0"/>
      <w:marTop w:val="0"/>
      <w:marBottom w:val="0"/>
      <w:divBdr>
        <w:top w:val="none" w:sz="0" w:space="0" w:color="auto"/>
        <w:left w:val="none" w:sz="0" w:space="0" w:color="auto"/>
        <w:bottom w:val="none" w:sz="0" w:space="0" w:color="auto"/>
        <w:right w:val="none" w:sz="0" w:space="0" w:color="auto"/>
      </w:divBdr>
      <w:divsChild>
        <w:div w:id="217327109">
          <w:marLeft w:val="0"/>
          <w:marRight w:val="0"/>
          <w:marTop w:val="0"/>
          <w:marBottom w:val="0"/>
          <w:divBdr>
            <w:top w:val="none" w:sz="0" w:space="0" w:color="auto"/>
            <w:left w:val="none" w:sz="0" w:space="0" w:color="auto"/>
            <w:bottom w:val="none" w:sz="0" w:space="0" w:color="auto"/>
            <w:right w:val="none" w:sz="0" w:space="0" w:color="auto"/>
          </w:divBdr>
          <w:divsChild>
            <w:div w:id="1634170225">
              <w:marLeft w:val="0"/>
              <w:marRight w:val="0"/>
              <w:marTop w:val="0"/>
              <w:marBottom w:val="0"/>
              <w:divBdr>
                <w:top w:val="none" w:sz="0" w:space="0" w:color="auto"/>
                <w:left w:val="none" w:sz="0" w:space="0" w:color="auto"/>
                <w:bottom w:val="none" w:sz="0" w:space="0" w:color="auto"/>
                <w:right w:val="none" w:sz="0" w:space="0" w:color="auto"/>
              </w:divBdr>
              <w:divsChild>
                <w:div w:id="631207026">
                  <w:marLeft w:val="0"/>
                  <w:marRight w:val="0"/>
                  <w:marTop w:val="0"/>
                  <w:marBottom w:val="0"/>
                  <w:divBdr>
                    <w:top w:val="none" w:sz="0" w:space="0" w:color="auto"/>
                    <w:left w:val="none" w:sz="0" w:space="0" w:color="auto"/>
                    <w:bottom w:val="none" w:sz="0" w:space="0" w:color="auto"/>
                    <w:right w:val="none" w:sz="0" w:space="0" w:color="auto"/>
                  </w:divBdr>
                  <w:divsChild>
                    <w:div w:id="147640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651574">
          <w:marLeft w:val="0"/>
          <w:marRight w:val="0"/>
          <w:marTop w:val="0"/>
          <w:marBottom w:val="0"/>
          <w:divBdr>
            <w:top w:val="none" w:sz="0" w:space="0" w:color="auto"/>
            <w:left w:val="none" w:sz="0" w:space="0" w:color="auto"/>
            <w:bottom w:val="none" w:sz="0" w:space="0" w:color="auto"/>
            <w:right w:val="none" w:sz="0" w:space="0" w:color="auto"/>
          </w:divBdr>
        </w:div>
        <w:div w:id="2123842082">
          <w:marLeft w:val="0"/>
          <w:marRight w:val="0"/>
          <w:marTop w:val="0"/>
          <w:marBottom w:val="0"/>
          <w:divBdr>
            <w:top w:val="none" w:sz="0" w:space="0" w:color="auto"/>
            <w:left w:val="none" w:sz="0" w:space="0" w:color="auto"/>
            <w:bottom w:val="none" w:sz="0" w:space="0" w:color="auto"/>
            <w:right w:val="none" w:sz="0" w:space="0" w:color="auto"/>
          </w:divBdr>
          <w:divsChild>
            <w:div w:id="1904220465">
              <w:marLeft w:val="0"/>
              <w:marRight w:val="0"/>
              <w:marTop w:val="0"/>
              <w:marBottom w:val="0"/>
              <w:divBdr>
                <w:top w:val="none" w:sz="0" w:space="0" w:color="auto"/>
                <w:left w:val="none" w:sz="0" w:space="0" w:color="auto"/>
                <w:bottom w:val="none" w:sz="0" w:space="0" w:color="auto"/>
                <w:right w:val="none" w:sz="0" w:space="0" w:color="auto"/>
              </w:divBdr>
              <w:divsChild>
                <w:div w:id="1848128382">
                  <w:marLeft w:val="0"/>
                  <w:marRight w:val="0"/>
                  <w:marTop w:val="0"/>
                  <w:marBottom w:val="0"/>
                  <w:divBdr>
                    <w:top w:val="none" w:sz="0" w:space="0" w:color="auto"/>
                    <w:left w:val="none" w:sz="0" w:space="0" w:color="auto"/>
                    <w:bottom w:val="none" w:sz="0" w:space="0" w:color="auto"/>
                    <w:right w:val="none" w:sz="0" w:space="0" w:color="auto"/>
                  </w:divBdr>
                  <w:divsChild>
                    <w:div w:id="57751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3994405">
      <w:bodyDiv w:val="1"/>
      <w:marLeft w:val="0"/>
      <w:marRight w:val="0"/>
      <w:marTop w:val="0"/>
      <w:marBottom w:val="0"/>
      <w:divBdr>
        <w:top w:val="none" w:sz="0" w:space="0" w:color="auto"/>
        <w:left w:val="none" w:sz="0" w:space="0" w:color="auto"/>
        <w:bottom w:val="none" w:sz="0" w:space="0" w:color="auto"/>
        <w:right w:val="none" w:sz="0" w:space="0" w:color="auto"/>
      </w:divBdr>
    </w:div>
    <w:div w:id="946498555">
      <w:bodyDiv w:val="1"/>
      <w:marLeft w:val="0"/>
      <w:marRight w:val="0"/>
      <w:marTop w:val="0"/>
      <w:marBottom w:val="0"/>
      <w:divBdr>
        <w:top w:val="none" w:sz="0" w:space="0" w:color="auto"/>
        <w:left w:val="none" w:sz="0" w:space="0" w:color="auto"/>
        <w:bottom w:val="none" w:sz="0" w:space="0" w:color="auto"/>
        <w:right w:val="none" w:sz="0" w:space="0" w:color="auto"/>
      </w:divBdr>
    </w:div>
    <w:div w:id="948050093">
      <w:bodyDiv w:val="1"/>
      <w:marLeft w:val="0"/>
      <w:marRight w:val="0"/>
      <w:marTop w:val="0"/>
      <w:marBottom w:val="0"/>
      <w:divBdr>
        <w:top w:val="none" w:sz="0" w:space="0" w:color="auto"/>
        <w:left w:val="none" w:sz="0" w:space="0" w:color="auto"/>
        <w:bottom w:val="none" w:sz="0" w:space="0" w:color="auto"/>
        <w:right w:val="none" w:sz="0" w:space="0" w:color="auto"/>
      </w:divBdr>
    </w:div>
    <w:div w:id="949239932">
      <w:bodyDiv w:val="1"/>
      <w:marLeft w:val="0"/>
      <w:marRight w:val="0"/>
      <w:marTop w:val="0"/>
      <w:marBottom w:val="0"/>
      <w:divBdr>
        <w:top w:val="none" w:sz="0" w:space="0" w:color="auto"/>
        <w:left w:val="none" w:sz="0" w:space="0" w:color="auto"/>
        <w:bottom w:val="none" w:sz="0" w:space="0" w:color="auto"/>
        <w:right w:val="none" w:sz="0" w:space="0" w:color="auto"/>
      </w:divBdr>
    </w:div>
    <w:div w:id="953099826">
      <w:bodyDiv w:val="1"/>
      <w:marLeft w:val="0"/>
      <w:marRight w:val="0"/>
      <w:marTop w:val="0"/>
      <w:marBottom w:val="0"/>
      <w:divBdr>
        <w:top w:val="none" w:sz="0" w:space="0" w:color="auto"/>
        <w:left w:val="none" w:sz="0" w:space="0" w:color="auto"/>
        <w:bottom w:val="none" w:sz="0" w:space="0" w:color="auto"/>
        <w:right w:val="none" w:sz="0" w:space="0" w:color="auto"/>
      </w:divBdr>
    </w:div>
    <w:div w:id="953288412">
      <w:bodyDiv w:val="1"/>
      <w:marLeft w:val="0"/>
      <w:marRight w:val="0"/>
      <w:marTop w:val="0"/>
      <w:marBottom w:val="0"/>
      <w:divBdr>
        <w:top w:val="none" w:sz="0" w:space="0" w:color="auto"/>
        <w:left w:val="none" w:sz="0" w:space="0" w:color="auto"/>
        <w:bottom w:val="none" w:sz="0" w:space="0" w:color="auto"/>
        <w:right w:val="none" w:sz="0" w:space="0" w:color="auto"/>
      </w:divBdr>
    </w:div>
    <w:div w:id="954093735">
      <w:bodyDiv w:val="1"/>
      <w:marLeft w:val="0"/>
      <w:marRight w:val="0"/>
      <w:marTop w:val="0"/>
      <w:marBottom w:val="0"/>
      <w:divBdr>
        <w:top w:val="none" w:sz="0" w:space="0" w:color="auto"/>
        <w:left w:val="none" w:sz="0" w:space="0" w:color="auto"/>
        <w:bottom w:val="none" w:sz="0" w:space="0" w:color="auto"/>
        <w:right w:val="none" w:sz="0" w:space="0" w:color="auto"/>
      </w:divBdr>
    </w:div>
    <w:div w:id="959994068">
      <w:bodyDiv w:val="1"/>
      <w:marLeft w:val="0"/>
      <w:marRight w:val="0"/>
      <w:marTop w:val="0"/>
      <w:marBottom w:val="0"/>
      <w:divBdr>
        <w:top w:val="none" w:sz="0" w:space="0" w:color="auto"/>
        <w:left w:val="none" w:sz="0" w:space="0" w:color="auto"/>
        <w:bottom w:val="none" w:sz="0" w:space="0" w:color="auto"/>
        <w:right w:val="none" w:sz="0" w:space="0" w:color="auto"/>
      </w:divBdr>
    </w:div>
    <w:div w:id="963779055">
      <w:bodyDiv w:val="1"/>
      <w:marLeft w:val="0"/>
      <w:marRight w:val="0"/>
      <w:marTop w:val="0"/>
      <w:marBottom w:val="0"/>
      <w:divBdr>
        <w:top w:val="none" w:sz="0" w:space="0" w:color="auto"/>
        <w:left w:val="none" w:sz="0" w:space="0" w:color="auto"/>
        <w:bottom w:val="none" w:sz="0" w:space="0" w:color="auto"/>
        <w:right w:val="none" w:sz="0" w:space="0" w:color="auto"/>
      </w:divBdr>
    </w:div>
    <w:div w:id="964196441">
      <w:bodyDiv w:val="1"/>
      <w:marLeft w:val="0"/>
      <w:marRight w:val="0"/>
      <w:marTop w:val="0"/>
      <w:marBottom w:val="0"/>
      <w:divBdr>
        <w:top w:val="none" w:sz="0" w:space="0" w:color="auto"/>
        <w:left w:val="none" w:sz="0" w:space="0" w:color="auto"/>
        <w:bottom w:val="none" w:sz="0" w:space="0" w:color="auto"/>
        <w:right w:val="none" w:sz="0" w:space="0" w:color="auto"/>
      </w:divBdr>
    </w:div>
    <w:div w:id="965356646">
      <w:bodyDiv w:val="1"/>
      <w:marLeft w:val="0"/>
      <w:marRight w:val="0"/>
      <w:marTop w:val="0"/>
      <w:marBottom w:val="0"/>
      <w:divBdr>
        <w:top w:val="none" w:sz="0" w:space="0" w:color="auto"/>
        <w:left w:val="none" w:sz="0" w:space="0" w:color="auto"/>
        <w:bottom w:val="none" w:sz="0" w:space="0" w:color="auto"/>
        <w:right w:val="none" w:sz="0" w:space="0" w:color="auto"/>
      </w:divBdr>
    </w:div>
    <w:div w:id="965938877">
      <w:bodyDiv w:val="1"/>
      <w:marLeft w:val="0"/>
      <w:marRight w:val="0"/>
      <w:marTop w:val="0"/>
      <w:marBottom w:val="0"/>
      <w:divBdr>
        <w:top w:val="none" w:sz="0" w:space="0" w:color="auto"/>
        <w:left w:val="none" w:sz="0" w:space="0" w:color="auto"/>
        <w:bottom w:val="none" w:sz="0" w:space="0" w:color="auto"/>
        <w:right w:val="none" w:sz="0" w:space="0" w:color="auto"/>
      </w:divBdr>
    </w:div>
    <w:div w:id="966816309">
      <w:bodyDiv w:val="1"/>
      <w:marLeft w:val="0"/>
      <w:marRight w:val="0"/>
      <w:marTop w:val="0"/>
      <w:marBottom w:val="0"/>
      <w:divBdr>
        <w:top w:val="none" w:sz="0" w:space="0" w:color="auto"/>
        <w:left w:val="none" w:sz="0" w:space="0" w:color="auto"/>
        <w:bottom w:val="none" w:sz="0" w:space="0" w:color="auto"/>
        <w:right w:val="none" w:sz="0" w:space="0" w:color="auto"/>
      </w:divBdr>
    </w:div>
    <w:div w:id="967784659">
      <w:bodyDiv w:val="1"/>
      <w:marLeft w:val="0"/>
      <w:marRight w:val="0"/>
      <w:marTop w:val="0"/>
      <w:marBottom w:val="0"/>
      <w:divBdr>
        <w:top w:val="none" w:sz="0" w:space="0" w:color="auto"/>
        <w:left w:val="none" w:sz="0" w:space="0" w:color="auto"/>
        <w:bottom w:val="none" w:sz="0" w:space="0" w:color="auto"/>
        <w:right w:val="none" w:sz="0" w:space="0" w:color="auto"/>
      </w:divBdr>
    </w:div>
    <w:div w:id="968585775">
      <w:bodyDiv w:val="1"/>
      <w:marLeft w:val="0"/>
      <w:marRight w:val="0"/>
      <w:marTop w:val="0"/>
      <w:marBottom w:val="0"/>
      <w:divBdr>
        <w:top w:val="none" w:sz="0" w:space="0" w:color="auto"/>
        <w:left w:val="none" w:sz="0" w:space="0" w:color="auto"/>
        <w:bottom w:val="none" w:sz="0" w:space="0" w:color="auto"/>
        <w:right w:val="none" w:sz="0" w:space="0" w:color="auto"/>
      </w:divBdr>
    </w:div>
    <w:div w:id="969044985">
      <w:bodyDiv w:val="1"/>
      <w:marLeft w:val="0"/>
      <w:marRight w:val="0"/>
      <w:marTop w:val="0"/>
      <w:marBottom w:val="0"/>
      <w:divBdr>
        <w:top w:val="none" w:sz="0" w:space="0" w:color="auto"/>
        <w:left w:val="none" w:sz="0" w:space="0" w:color="auto"/>
        <w:bottom w:val="none" w:sz="0" w:space="0" w:color="auto"/>
        <w:right w:val="none" w:sz="0" w:space="0" w:color="auto"/>
      </w:divBdr>
    </w:div>
    <w:div w:id="969480556">
      <w:bodyDiv w:val="1"/>
      <w:marLeft w:val="0"/>
      <w:marRight w:val="0"/>
      <w:marTop w:val="0"/>
      <w:marBottom w:val="0"/>
      <w:divBdr>
        <w:top w:val="none" w:sz="0" w:space="0" w:color="auto"/>
        <w:left w:val="none" w:sz="0" w:space="0" w:color="auto"/>
        <w:bottom w:val="none" w:sz="0" w:space="0" w:color="auto"/>
        <w:right w:val="none" w:sz="0" w:space="0" w:color="auto"/>
      </w:divBdr>
    </w:div>
    <w:div w:id="970599804">
      <w:bodyDiv w:val="1"/>
      <w:marLeft w:val="0"/>
      <w:marRight w:val="0"/>
      <w:marTop w:val="0"/>
      <w:marBottom w:val="0"/>
      <w:divBdr>
        <w:top w:val="none" w:sz="0" w:space="0" w:color="auto"/>
        <w:left w:val="none" w:sz="0" w:space="0" w:color="auto"/>
        <w:bottom w:val="none" w:sz="0" w:space="0" w:color="auto"/>
        <w:right w:val="none" w:sz="0" w:space="0" w:color="auto"/>
      </w:divBdr>
    </w:div>
    <w:div w:id="971251022">
      <w:bodyDiv w:val="1"/>
      <w:marLeft w:val="0"/>
      <w:marRight w:val="0"/>
      <w:marTop w:val="0"/>
      <w:marBottom w:val="0"/>
      <w:divBdr>
        <w:top w:val="none" w:sz="0" w:space="0" w:color="auto"/>
        <w:left w:val="none" w:sz="0" w:space="0" w:color="auto"/>
        <w:bottom w:val="none" w:sz="0" w:space="0" w:color="auto"/>
        <w:right w:val="none" w:sz="0" w:space="0" w:color="auto"/>
      </w:divBdr>
    </w:div>
    <w:div w:id="973288914">
      <w:bodyDiv w:val="1"/>
      <w:marLeft w:val="0"/>
      <w:marRight w:val="0"/>
      <w:marTop w:val="0"/>
      <w:marBottom w:val="0"/>
      <w:divBdr>
        <w:top w:val="none" w:sz="0" w:space="0" w:color="auto"/>
        <w:left w:val="none" w:sz="0" w:space="0" w:color="auto"/>
        <w:bottom w:val="none" w:sz="0" w:space="0" w:color="auto"/>
        <w:right w:val="none" w:sz="0" w:space="0" w:color="auto"/>
      </w:divBdr>
    </w:div>
    <w:div w:id="975572643">
      <w:bodyDiv w:val="1"/>
      <w:marLeft w:val="0"/>
      <w:marRight w:val="0"/>
      <w:marTop w:val="0"/>
      <w:marBottom w:val="0"/>
      <w:divBdr>
        <w:top w:val="none" w:sz="0" w:space="0" w:color="auto"/>
        <w:left w:val="none" w:sz="0" w:space="0" w:color="auto"/>
        <w:bottom w:val="none" w:sz="0" w:space="0" w:color="auto"/>
        <w:right w:val="none" w:sz="0" w:space="0" w:color="auto"/>
      </w:divBdr>
    </w:div>
    <w:div w:id="977732063">
      <w:bodyDiv w:val="1"/>
      <w:marLeft w:val="0"/>
      <w:marRight w:val="0"/>
      <w:marTop w:val="0"/>
      <w:marBottom w:val="0"/>
      <w:divBdr>
        <w:top w:val="none" w:sz="0" w:space="0" w:color="auto"/>
        <w:left w:val="none" w:sz="0" w:space="0" w:color="auto"/>
        <w:bottom w:val="none" w:sz="0" w:space="0" w:color="auto"/>
        <w:right w:val="none" w:sz="0" w:space="0" w:color="auto"/>
      </w:divBdr>
    </w:div>
    <w:div w:id="978724969">
      <w:bodyDiv w:val="1"/>
      <w:marLeft w:val="0"/>
      <w:marRight w:val="0"/>
      <w:marTop w:val="0"/>
      <w:marBottom w:val="0"/>
      <w:divBdr>
        <w:top w:val="none" w:sz="0" w:space="0" w:color="auto"/>
        <w:left w:val="none" w:sz="0" w:space="0" w:color="auto"/>
        <w:bottom w:val="none" w:sz="0" w:space="0" w:color="auto"/>
        <w:right w:val="none" w:sz="0" w:space="0" w:color="auto"/>
      </w:divBdr>
    </w:div>
    <w:div w:id="983779996">
      <w:bodyDiv w:val="1"/>
      <w:marLeft w:val="0"/>
      <w:marRight w:val="0"/>
      <w:marTop w:val="0"/>
      <w:marBottom w:val="0"/>
      <w:divBdr>
        <w:top w:val="none" w:sz="0" w:space="0" w:color="auto"/>
        <w:left w:val="none" w:sz="0" w:space="0" w:color="auto"/>
        <w:bottom w:val="none" w:sz="0" w:space="0" w:color="auto"/>
        <w:right w:val="none" w:sz="0" w:space="0" w:color="auto"/>
      </w:divBdr>
    </w:div>
    <w:div w:id="984894326">
      <w:bodyDiv w:val="1"/>
      <w:marLeft w:val="0"/>
      <w:marRight w:val="0"/>
      <w:marTop w:val="0"/>
      <w:marBottom w:val="0"/>
      <w:divBdr>
        <w:top w:val="none" w:sz="0" w:space="0" w:color="auto"/>
        <w:left w:val="none" w:sz="0" w:space="0" w:color="auto"/>
        <w:bottom w:val="none" w:sz="0" w:space="0" w:color="auto"/>
        <w:right w:val="none" w:sz="0" w:space="0" w:color="auto"/>
      </w:divBdr>
    </w:div>
    <w:div w:id="986665325">
      <w:bodyDiv w:val="1"/>
      <w:marLeft w:val="0"/>
      <w:marRight w:val="0"/>
      <w:marTop w:val="0"/>
      <w:marBottom w:val="0"/>
      <w:divBdr>
        <w:top w:val="none" w:sz="0" w:space="0" w:color="auto"/>
        <w:left w:val="none" w:sz="0" w:space="0" w:color="auto"/>
        <w:bottom w:val="none" w:sz="0" w:space="0" w:color="auto"/>
        <w:right w:val="none" w:sz="0" w:space="0" w:color="auto"/>
      </w:divBdr>
    </w:div>
    <w:div w:id="989135179">
      <w:bodyDiv w:val="1"/>
      <w:marLeft w:val="0"/>
      <w:marRight w:val="0"/>
      <w:marTop w:val="0"/>
      <w:marBottom w:val="0"/>
      <w:divBdr>
        <w:top w:val="none" w:sz="0" w:space="0" w:color="auto"/>
        <w:left w:val="none" w:sz="0" w:space="0" w:color="auto"/>
        <w:bottom w:val="none" w:sz="0" w:space="0" w:color="auto"/>
        <w:right w:val="none" w:sz="0" w:space="0" w:color="auto"/>
      </w:divBdr>
    </w:div>
    <w:div w:id="991446386">
      <w:bodyDiv w:val="1"/>
      <w:marLeft w:val="0"/>
      <w:marRight w:val="0"/>
      <w:marTop w:val="0"/>
      <w:marBottom w:val="0"/>
      <w:divBdr>
        <w:top w:val="none" w:sz="0" w:space="0" w:color="auto"/>
        <w:left w:val="none" w:sz="0" w:space="0" w:color="auto"/>
        <w:bottom w:val="none" w:sz="0" w:space="0" w:color="auto"/>
        <w:right w:val="none" w:sz="0" w:space="0" w:color="auto"/>
      </w:divBdr>
    </w:div>
    <w:div w:id="993802498">
      <w:bodyDiv w:val="1"/>
      <w:marLeft w:val="0"/>
      <w:marRight w:val="0"/>
      <w:marTop w:val="0"/>
      <w:marBottom w:val="0"/>
      <w:divBdr>
        <w:top w:val="none" w:sz="0" w:space="0" w:color="auto"/>
        <w:left w:val="none" w:sz="0" w:space="0" w:color="auto"/>
        <w:bottom w:val="none" w:sz="0" w:space="0" w:color="auto"/>
        <w:right w:val="none" w:sz="0" w:space="0" w:color="auto"/>
      </w:divBdr>
    </w:div>
    <w:div w:id="1000161825">
      <w:bodyDiv w:val="1"/>
      <w:marLeft w:val="0"/>
      <w:marRight w:val="0"/>
      <w:marTop w:val="0"/>
      <w:marBottom w:val="0"/>
      <w:divBdr>
        <w:top w:val="none" w:sz="0" w:space="0" w:color="auto"/>
        <w:left w:val="none" w:sz="0" w:space="0" w:color="auto"/>
        <w:bottom w:val="none" w:sz="0" w:space="0" w:color="auto"/>
        <w:right w:val="none" w:sz="0" w:space="0" w:color="auto"/>
      </w:divBdr>
    </w:div>
    <w:div w:id="1001392887">
      <w:bodyDiv w:val="1"/>
      <w:marLeft w:val="0"/>
      <w:marRight w:val="0"/>
      <w:marTop w:val="0"/>
      <w:marBottom w:val="0"/>
      <w:divBdr>
        <w:top w:val="none" w:sz="0" w:space="0" w:color="auto"/>
        <w:left w:val="none" w:sz="0" w:space="0" w:color="auto"/>
        <w:bottom w:val="none" w:sz="0" w:space="0" w:color="auto"/>
        <w:right w:val="none" w:sz="0" w:space="0" w:color="auto"/>
      </w:divBdr>
    </w:div>
    <w:div w:id="1001393979">
      <w:bodyDiv w:val="1"/>
      <w:marLeft w:val="0"/>
      <w:marRight w:val="0"/>
      <w:marTop w:val="0"/>
      <w:marBottom w:val="0"/>
      <w:divBdr>
        <w:top w:val="none" w:sz="0" w:space="0" w:color="auto"/>
        <w:left w:val="none" w:sz="0" w:space="0" w:color="auto"/>
        <w:bottom w:val="none" w:sz="0" w:space="0" w:color="auto"/>
        <w:right w:val="none" w:sz="0" w:space="0" w:color="auto"/>
      </w:divBdr>
    </w:div>
    <w:div w:id="1009023380">
      <w:bodyDiv w:val="1"/>
      <w:marLeft w:val="0"/>
      <w:marRight w:val="0"/>
      <w:marTop w:val="0"/>
      <w:marBottom w:val="0"/>
      <w:divBdr>
        <w:top w:val="none" w:sz="0" w:space="0" w:color="auto"/>
        <w:left w:val="none" w:sz="0" w:space="0" w:color="auto"/>
        <w:bottom w:val="none" w:sz="0" w:space="0" w:color="auto"/>
        <w:right w:val="none" w:sz="0" w:space="0" w:color="auto"/>
      </w:divBdr>
    </w:div>
    <w:div w:id="1009328116">
      <w:bodyDiv w:val="1"/>
      <w:marLeft w:val="0"/>
      <w:marRight w:val="0"/>
      <w:marTop w:val="0"/>
      <w:marBottom w:val="0"/>
      <w:divBdr>
        <w:top w:val="none" w:sz="0" w:space="0" w:color="auto"/>
        <w:left w:val="none" w:sz="0" w:space="0" w:color="auto"/>
        <w:bottom w:val="none" w:sz="0" w:space="0" w:color="auto"/>
        <w:right w:val="none" w:sz="0" w:space="0" w:color="auto"/>
      </w:divBdr>
    </w:div>
    <w:div w:id="1014458128">
      <w:bodyDiv w:val="1"/>
      <w:marLeft w:val="0"/>
      <w:marRight w:val="0"/>
      <w:marTop w:val="0"/>
      <w:marBottom w:val="0"/>
      <w:divBdr>
        <w:top w:val="none" w:sz="0" w:space="0" w:color="auto"/>
        <w:left w:val="none" w:sz="0" w:space="0" w:color="auto"/>
        <w:bottom w:val="none" w:sz="0" w:space="0" w:color="auto"/>
        <w:right w:val="none" w:sz="0" w:space="0" w:color="auto"/>
      </w:divBdr>
    </w:div>
    <w:div w:id="1015110174">
      <w:bodyDiv w:val="1"/>
      <w:marLeft w:val="0"/>
      <w:marRight w:val="0"/>
      <w:marTop w:val="0"/>
      <w:marBottom w:val="0"/>
      <w:divBdr>
        <w:top w:val="none" w:sz="0" w:space="0" w:color="auto"/>
        <w:left w:val="none" w:sz="0" w:space="0" w:color="auto"/>
        <w:bottom w:val="none" w:sz="0" w:space="0" w:color="auto"/>
        <w:right w:val="none" w:sz="0" w:space="0" w:color="auto"/>
      </w:divBdr>
    </w:div>
    <w:div w:id="1021394656">
      <w:bodyDiv w:val="1"/>
      <w:marLeft w:val="0"/>
      <w:marRight w:val="0"/>
      <w:marTop w:val="0"/>
      <w:marBottom w:val="0"/>
      <w:divBdr>
        <w:top w:val="none" w:sz="0" w:space="0" w:color="auto"/>
        <w:left w:val="none" w:sz="0" w:space="0" w:color="auto"/>
        <w:bottom w:val="none" w:sz="0" w:space="0" w:color="auto"/>
        <w:right w:val="none" w:sz="0" w:space="0" w:color="auto"/>
      </w:divBdr>
    </w:div>
    <w:div w:id="1021470949">
      <w:bodyDiv w:val="1"/>
      <w:marLeft w:val="0"/>
      <w:marRight w:val="0"/>
      <w:marTop w:val="0"/>
      <w:marBottom w:val="0"/>
      <w:divBdr>
        <w:top w:val="none" w:sz="0" w:space="0" w:color="auto"/>
        <w:left w:val="none" w:sz="0" w:space="0" w:color="auto"/>
        <w:bottom w:val="none" w:sz="0" w:space="0" w:color="auto"/>
        <w:right w:val="none" w:sz="0" w:space="0" w:color="auto"/>
      </w:divBdr>
    </w:div>
    <w:div w:id="1029647314">
      <w:bodyDiv w:val="1"/>
      <w:marLeft w:val="0"/>
      <w:marRight w:val="0"/>
      <w:marTop w:val="0"/>
      <w:marBottom w:val="0"/>
      <w:divBdr>
        <w:top w:val="none" w:sz="0" w:space="0" w:color="auto"/>
        <w:left w:val="none" w:sz="0" w:space="0" w:color="auto"/>
        <w:bottom w:val="none" w:sz="0" w:space="0" w:color="auto"/>
        <w:right w:val="none" w:sz="0" w:space="0" w:color="auto"/>
      </w:divBdr>
    </w:div>
    <w:div w:id="1033847202">
      <w:bodyDiv w:val="1"/>
      <w:marLeft w:val="0"/>
      <w:marRight w:val="0"/>
      <w:marTop w:val="0"/>
      <w:marBottom w:val="0"/>
      <w:divBdr>
        <w:top w:val="none" w:sz="0" w:space="0" w:color="auto"/>
        <w:left w:val="none" w:sz="0" w:space="0" w:color="auto"/>
        <w:bottom w:val="none" w:sz="0" w:space="0" w:color="auto"/>
        <w:right w:val="none" w:sz="0" w:space="0" w:color="auto"/>
      </w:divBdr>
    </w:div>
    <w:div w:id="1036543534">
      <w:bodyDiv w:val="1"/>
      <w:marLeft w:val="0"/>
      <w:marRight w:val="0"/>
      <w:marTop w:val="0"/>
      <w:marBottom w:val="0"/>
      <w:divBdr>
        <w:top w:val="none" w:sz="0" w:space="0" w:color="auto"/>
        <w:left w:val="none" w:sz="0" w:space="0" w:color="auto"/>
        <w:bottom w:val="none" w:sz="0" w:space="0" w:color="auto"/>
        <w:right w:val="none" w:sz="0" w:space="0" w:color="auto"/>
      </w:divBdr>
    </w:div>
    <w:div w:id="1042100532">
      <w:bodyDiv w:val="1"/>
      <w:marLeft w:val="0"/>
      <w:marRight w:val="0"/>
      <w:marTop w:val="0"/>
      <w:marBottom w:val="0"/>
      <w:divBdr>
        <w:top w:val="none" w:sz="0" w:space="0" w:color="auto"/>
        <w:left w:val="none" w:sz="0" w:space="0" w:color="auto"/>
        <w:bottom w:val="none" w:sz="0" w:space="0" w:color="auto"/>
        <w:right w:val="none" w:sz="0" w:space="0" w:color="auto"/>
      </w:divBdr>
    </w:div>
    <w:div w:id="1042945994">
      <w:bodyDiv w:val="1"/>
      <w:marLeft w:val="0"/>
      <w:marRight w:val="0"/>
      <w:marTop w:val="0"/>
      <w:marBottom w:val="0"/>
      <w:divBdr>
        <w:top w:val="none" w:sz="0" w:space="0" w:color="auto"/>
        <w:left w:val="none" w:sz="0" w:space="0" w:color="auto"/>
        <w:bottom w:val="none" w:sz="0" w:space="0" w:color="auto"/>
        <w:right w:val="none" w:sz="0" w:space="0" w:color="auto"/>
      </w:divBdr>
    </w:div>
    <w:div w:id="1046224782">
      <w:bodyDiv w:val="1"/>
      <w:marLeft w:val="0"/>
      <w:marRight w:val="0"/>
      <w:marTop w:val="0"/>
      <w:marBottom w:val="0"/>
      <w:divBdr>
        <w:top w:val="none" w:sz="0" w:space="0" w:color="auto"/>
        <w:left w:val="none" w:sz="0" w:space="0" w:color="auto"/>
        <w:bottom w:val="none" w:sz="0" w:space="0" w:color="auto"/>
        <w:right w:val="none" w:sz="0" w:space="0" w:color="auto"/>
      </w:divBdr>
    </w:div>
    <w:div w:id="1047338170">
      <w:bodyDiv w:val="1"/>
      <w:marLeft w:val="0"/>
      <w:marRight w:val="0"/>
      <w:marTop w:val="0"/>
      <w:marBottom w:val="0"/>
      <w:divBdr>
        <w:top w:val="none" w:sz="0" w:space="0" w:color="auto"/>
        <w:left w:val="none" w:sz="0" w:space="0" w:color="auto"/>
        <w:bottom w:val="none" w:sz="0" w:space="0" w:color="auto"/>
        <w:right w:val="none" w:sz="0" w:space="0" w:color="auto"/>
      </w:divBdr>
    </w:div>
    <w:div w:id="1048188834">
      <w:bodyDiv w:val="1"/>
      <w:marLeft w:val="0"/>
      <w:marRight w:val="0"/>
      <w:marTop w:val="0"/>
      <w:marBottom w:val="0"/>
      <w:divBdr>
        <w:top w:val="none" w:sz="0" w:space="0" w:color="auto"/>
        <w:left w:val="none" w:sz="0" w:space="0" w:color="auto"/>
        <w:bottom w:val="none" w:sz="0" w:space="0" w:color="auto"/>
        <w:right w:val="none" w:sz="0" w:space="0" w:color="auto"/>
      </w:divBdr>
    </w:div>
    <w:div w:id="1052462978">
      <w:bodyDiv w:val="1"/>
      <w:marLeft w:val="0"/>
      <w:marRight w:val="0"/>
      <w:marTop w:val="0"/>
      <w:marBottom w:val="0"/>
      <w:divBdr>
        <w:top w:val="none" w:sz="0" w:space="0" w:color="auto"/>
        <w:left w:val="none" w:sz="0" w:space="0" w:color="auto"/>
        <w:bottom w:val="none" w:sz="0" w:space="0" w:color="auto"/>
        <w:right w:val="none" w:sz="0" w:space="0" w:color="auto"/>
      </w:divBdr>
    </w:div>
    <w:div w:id="1054279633">
      <w:bodyDiv w:val="1"/>
      <w:marLeft w:val="0"/>
      <w:marRight w:val="0"/>
      <w:marTop w:val="0"/>
      <w:marBottom w:val="0"/>
      <w:divBdr>
        <w:top w:val="none" w:sz="0" w:space="0" w:color="auto"/>
        <w:left w:val="none" w:sz="0" w:space="0" w:color="auto"/>
        <w:bottom w:val="none" w:sz="0" w:space="0" w:color="auto"/>
        <w:right w:val="none" w:sz="0" w:space="0" w:color="auto"/>
      </w:divBdr>
    </w:div>
    <w:div w:id="1055353674">
      <w:bodyDiv w:val="1"/>
      <w:marLeft w:val="0"/>
      <w:marRight w:val="0"/>
      <w:marTop w:val="0"/>
      <w:marBottom w:val="0"/>
      <w:divBdr>
        <w:top w:val="none" w:sz="0" w:space="0" w:color="auto"/>
        <w:left w:val="none" w:sz="0" w:space="0" w:color="auto"/>
        <w:bottom w:val="none" w:sz="0" w:space="0" w:color="auto"/>
        <w:right w:val="none" w:sz="0" w:space="0" w:color="auto"/>
      </w:divBdr>
    </w:div>
    <w:div w:id="1055545393">
      <w:bodyDiv w:val="1"/>
      <w:marLeft w:val="0"/>
      <w:marRight w:val="0"/>
      <w:marTop w:val="0"/>
      <w:marBottom w:val="0"/>
      <w:divBdr>
        <w:top w:val="none" w:sz="0" w:space="0" w:color="auto"/>
        <w:left w:val="none" w:sz="0" w:space="0" w:color="auto"/>
        <w:bottom w:val="none" w:sz="0" w:space="0" w:color="auto"/>
        <w:right w:val="none" w:sz="0" w:space="0" w:color="auto"/>
      </w:divBdr>
    </w:div>
    <w:div w:id="1057972559">
      <w:bodyDiv w:val="1"/>
      <w:marLeft w:val="0"/>
      <w:marRight w:val="0"/>
      <w:marTop w:val="0"/>
      <w:marBottom w:val="0"/>
      <w:divBdr>
        <w:top w:val="none" w:sz="0" w:space="0" w:color="auto"/>
        <w:left w:val="none" w:sz="0" w:space="0" w:color="auto"/>
        <w:bottom w:val="none" w:sz="0" w:space="0" w:color="auto"/>
        <w:right w:val="none" w:sz="0" w:space="0" w:color="auto"/>
      </w:divBdr>
    </w:div>
    <w:div w:id="1065646567">
      <w:bodyDiv w:val="1"/>
      <w:marLeft w:val="0"/>
      <w:marRight w:val="0"/>
      <w:marTop w:val="0"/>
      <w:marBottom w:val="0"/>
      <w:divBdr>
        <w:top w:val="none" w:sz="0" w:space="0" w:color="auto"/>
        <w:left w:val="none" w:sz="0" w:space="0" w:color="auto"/>
        <w:bottom w:val="none" w:sz="0" w:space="0" w:color="auto"/>
        <w:right w:val="none" w:sz="0" w:space="0" w:color="auto"/>
      </w:divBdr>
    </w:div>
    <w:div w:id="1067189159">
      <w:bodyDiv w:val="1"/>
      <w:marLeft w:val="0"/>
      <w:marRight w:val="0"/>
      <w:marTop w:val="0"/>
      <w:marBottom w:val="0"/>
      <w:divBdr>
        <w:top w:val="none" w:sz="0" w:space="0" w:color="auto"/>
        <w:left w:val="none" w:sz="0" w:space="0" w:color="auto"/>
        <w:bottom w:val="none" w:sz="0" w:space="0" w:color="auto"/>
        <w:right w:val="none" w:sz="0" w:space="0" w:color="auto"/>
      </w:divBdr>
    </w:div>
    <w:div w:id="1068117525">
      <w:bodyDiv w:val="1"/>
      <w:marLeft w:val="0"/>
      <w:marRight w:val="0"/>
      <w:marTop w:val="0"/>
      <w:marBottom w:val="0"/>
      <w:divBdr>
        <w:top w:val="none" w:sz="0" w:space="0" w:color="auto"/>
        <w:left w:val="none" w:sz="0" w:space="0" w:color="auto"/>
        <w:bottom w:val="none" w:sz="0" w:space="0" w:color="auto"/>
        <w:right w:val="none" w:sz="0" w:space="0" w:color="auto"/>
      </w:divBdr>
    </w:div>
    <w:div w:id="1068697361">
      <w:bodyDiv w:val="1"/>
      <w:marLeft w:val="0"/>
      <w:marRight w:val="0"/>
      <w:marTop w:val="0"/>
      <w:marBottom w:val="0"/>
      <w:divBdr>
        <w:top w:val="none" w:sz="0" w:space="0" w:color="auto"/>
        <w:left w:val="none" w:sz="0" w:space="0" w:color="auto"/>
        <w:bottom w:val="none" w:sz="0" w:space="0" w:color="auto"/>
        <w:right w:val="none" w:sz="0" w:space="0" w:color="auto"/>
      </w:divBdr>
    </w:div>
    <w:div w:id="1070074608">
      <w:bodyDiv w:val="1"/>
      <w:marLeft w:val="0"/>
      <w:marRight w:val="0"/>
      <w:marTop w:val="0"/>
      <w:marBottom w:val="0"/>
      <w:divBdr>
        <w:top w:val="none" w:sz="0" w:space="0" w:color="auto"/>
        <w:left w:val="none" w:sz="0" w:space="0" w:color="auto"/>
        <w:bottom w:val="none" w:sz="0" w:space="0" w:color="auto"/>
        <w:right w:val="none" w:sz="0" w:space="0" w:color="auto"/>
      </w:divBdr>
    </w:div>
    <w:div w:id="1071469762">
      <w:bodyDiv w:val="1"/>
      <w:marLeft w:val="0"/>
      <w:marRight w:val="0"/>
      <w:marTop w:val="0"/>
      <w:marBottom w:val="0"/>
      <w:divBdr>
        <w:top w:val="none" w:sz="0" w:space="0" w:color="auto"/>
        <w:left w:val="none" w:sz="0" w:space="0" w:color="auto"/>
        <w:bottom w:val="none" w:sz="0" w:space="0" w:color="auto"/>
        <w:right w:val="none" w:sz="0" w:space="0" w:color="auto"/>
      </w:divBdr>
    </w:div>
    <w:div w:id="1072044665">
      <w:bodyDiv w:val="1"/>
      <w:marLeft w:val="0"/>
      <w:marRight w:val="0"/>
      <w:marTop w:val="0"/>
      <w:marBottom w:val="0"/>
      <w:divBdr>
        <w:top w:val="none" w:sz="0" w:space="0" w:color="auto"/>
        <w:left w:val="none" w:sz="0" w:space="0" w:color="auto"/>
        <w:bottom w:val="none" w:sz="0" w:space="0" w:color="auto"/>
        <w:right w:val="none" w:sz="0" w:space="0" w:color="auto"/>
      </w:divBdr>
    </w:div>
    <w:div w:id="1072970213">
      <w:bodyDiv w:val="1"/>
      <w:marLeft w:val="0"/>
      <w:marRight w:val="0"/>
      <w:marTop w:val="0"/>
      <w:marBottom w:val="0"/>
      <w:divBdr>
        <w:top w:val="none" w:sz="0" w:space="0" w:color="auto"/>
        <w:left w:val="none" w:sz="0" w:space="0" w:color="auto"/>
        <w:bottom w:val="none" w:sz="0" w:space="0" w:color="auto"/>
        <w:right w:val="none" w:sz="0" w:space="0" w:color="auto"/>
      </w:divBdr>
    </w:div>
    <w:div w:id="1076392375">
      <w:bodyDiv w:val="1"/>
      <w:marLeft w:val="0"/>
      <w:marRight w:val="0"/>
      <w:marTop w:val="0"/>
      <w:marBottom w:val="0"/>
      <w:divBdr>
        <w:top w:val="none" w:sz="0" w:space="0" w:color="auto"/>
        <w:left w:val="none" w:sz="0" w:space="0" w:color="auto"/>
        <w:bottom w:val="none" w:sz="0" w:space="0" w:color="auto"/>
        <w:right w:val="none" w:sz="0" w:space="0" w:color="auto"/>
      </w:divBdr>
    </w:div>
    <w:div w:id="1076435090">
      <w:bodyDiv w:val="1"/>
      <w:marLeft w:val="0"/>
      <w:marRight w:val="0"/>
      <w:marTop w:val="0"/>
      <w:marBottom w:val="0"/>
      <w:divBdr>
        <w:top w:val="none" w:sz="0" w:space="0" w:color="auto"/>
        <w:left w:val="none" w:sz="0" w:space="0" w:color="auto"/>
        <w:bottom w:val="none" w:sz="0" w:space="0" w:color="auto"/>
        <w:right w:val="none" w:sz="0" w:space="0" w:color="auto"/>
      </w:divBdr>
    </w:div>
    <w:div w:id="1076974454">
      <w:bodyDiv w:val="1"/>
      <w:marLeft w:val="0"/>
      <w:marRight w:val="0"/>
      <w:marTop w:val="0"/>
      <w:marBottom w:val="0"/>
      <w:divBdr>
        <w:top w:val="none" w:sz="0" w:space="0" w:color="auto"/>
        <w:left w:val="none" w:sz="0" w:space="0" w:color="auto"/>
        <w:bottom w:val="none" w:sz="0" w:space="0" w:color="auto"/>
        <w:right w:val="none" w:sz="0" w:space="0" w:color="auto"/>
      </w:divBdr>
    </w:div>
    <w:div w:id="1078333431">
      <w:bodyDiv w:val="1"/>
      <w:marLeft w:val="0"/>
      <w:marRight w:val="0"/>
      <w:marTop w:val="0"/>
      <w:marBottom w:val="0"/>
      <w:divBdr>
        <w:top w:val="none" w:sz="0" w:space="0" w:color="auto"/>
        <w:left w:val="none" w:sz="0" w:space="0" w:color="auto"/>
        <w:bottom w:val="none" w:sz="0" w:space="0" w:color="auto"/>
        <w:right w:val="none" w:sz="0" w:space="0" w:color="auto"/>
      </w:divBdr>
    </w:div>
    <w:div w:id="1079448889">
      <w:bodyDiv w:val="1"/>
      <w:marLeft w:val="0"/>
      <w:marRight w:val="0"/>
      <w:marTop w:val="0"/>
      <w:marBottom w:val="0"/>
      <w:divBdr>
        <w:top w:val="none" w:sz="0" w:space="0" w:color="auto"/>
        <w:left w:val="none" w:sz="0" w:space="0" w:color="auto"/>
        <w:bottom w:val="none" w:sz="0" w:space="0" w:color="auto"/>
        <w:right w:val="none" w:sz="0" w:space="0" w:color="auto"/>
      </w:divBdr>
    </w:div>
    <w:div w:id="1079909249">
      <w:bodyDiv w:val="1"/>
      <w:marLeft w:val="0"/>
      <w:marRight w:val="0"/>
      <w:marTop w:val="0"/>
      <w:marBottom w:val="0"/>
      <w:divBdr>
        <w:top w:val="none" w:sz="0" w:space="0" w:color="auto"/>
        <w:left w:val="none" w:sz="0" w:space="0" w:color="auto"/>
        <w:bottom w:val="none" w:sz="0" w:space="0" w:color="auto"/>
        <w:right w:val="none" w:sz="0" w:space="0" w:color="auto"/>
      </w:divBdr>
    </w:div>
    <w:div w:id="1080953657">
      <w:bodyDiv w:val="1"/>
      <w:marLeft w:val="0"/>
      <w:marRight w:val="0"/>
      <w:marTop w:val="0"/>
      <w:marBottom w:val="0"/>
      <w:divBdr>
        <w:top w:val="none" w:sz="0" w:space="0" w:color="auto"/>
        <w:left w:val="none" w:sz="0" w:space="0" w:color="auto"/>
        <w:bottom w:val="none" w:sz="0" w:space="0" w:color="auto"/>
        <w:right w:val="none" w:sz="0" w:space="0" w:color="auto"/>
      </w:divBdr>
    </w:div>
    <w:div w:id="1081875204">
      <w:bodyDiv w:val="1"/>
      <w:marLeft w:val="0"/>
      <w:marRight w:val="0"/>
      <w:marTop w:val="0"/>
      <w:marBottom w:val="0"/>
      <w:divBdr>
        <w:top w:val="none" w:sz="0" w:space="0" w:color="auto"/>
        <w:left w:val="none" w:sz="0" w:space="0" w:color="auto"/>
        <w:bottom w:val="none" w:sz="0" w:space="0" w:color="auto"/>
        <w:right w:val="none" w:sz="0" w:space="0" w:color="auto"/>
      </w:divBdr>
      <w:divsChild>
        <w:div w:id="310211909">
          <w:marLeft w:val="0"/>
          <w:marRight w:val="0"/>
          <w:marTop w:val="0"/>
          <w:marBottom w:val="0"/>
          <w:divBdr>
            <w:top w:val="none" w:sz="0" w:space="0" w:color="auto"/>
            <w:left w:val="none" w:sz="0" w:space="0" w:color="auto"/>
            <w:bottom w:val="none" w:sz="0" w:space="0" w:color="auto"/>
            <w:right w:val="none" w:sz="0" w:space="0" w:color="auto"/>
          </w:divBdr>
          <w:divsChild>
            <w:div w:id="444543037">
              <w:marLeft w:val="0"/>
              <w:marRight w:val="0"/>
              <w:marTop w:val="0"/>
              <w:marBottom w:val="0"/>
              <w:divBdr>
                <w:top w:val="none" w:sz="0" w:space="0" w:color="auto"/>
                <w:left w:val="none" w:sz="0" w:space="0" w:color="auto"/>
                <w:bottom w:val="none" w:sz="0" w:space="0" w:color="auto"/>
                <w:right w:val="none" w:sz="0" w:space="0" w:color="auto"/>
              </w:divBdr>
            </w:div>
          </w:divsChild>
        </w:div>
        <w:div w:id="1117214878">
          <w:marLeft w:val="0"/>
          <w:marRight w:val="0"/>
          <w:marTop w:val="0"/>
          <w:marBottom w:val="0"/>
          <w:divBdr>
            <w:top w:val="none" w:sz="0" w:space="0" w:color="auto"/>
            <w:left w:val="none" w:sz="0" w:space="0" w:color="auto"/>
            <w:bottom w:val="none" w:sz="0" w:space="0" w:color="auto"/>
            <w:right w:val="none" w:sz="0" w:space="0" w:color="auto"/>
          </w:divBdr>
          <w:divsChild>
            <w:div w:id="2036074174">
              <w:marLeft w:val="0"/>
              <w:marRight w:val="0"/>
              <w:marTop w:val="0"/>
              <w:marBottom w:val="0"/>
              <w:divBdr>
                <w:top w:val="none" w:sz="0" w:space="0" w:color="auto"/>
                <w:left w:val="none" w:sz="0" w:space="0" w:color="auto"/>
                <w:bottom w:val="none" w:sz="0" w:space="0" w:color="auto"/>
                <w:right w:val="none" w:sz="0" w:space="0" w:color="auto"/>
              </w:divBdr>
            </w:div>
          </w:divsChild>
        </w:div>
        <w:div w:id="1522743847">
          <w:marLeft w:val="0"/>
          <w:marRight w:val="0"/>
          <w:marTop w:val="0"/>
          <w:marBottom w:val="0"/>
          <w:divBdr>
            <w:top w:val="none" w:sz="0" w:space="0" w:color="auto"/>
            <w:left w:val="none" w:sz="0" w:space="0" w:color="auto"/>
            <w:bottom w:val="none" w:sz="0" w:space="0" w:color="auto"/>
            <w:right w:val="none" w:sz="0" w:space="0" w:color="auto"/>
          </w:divBdr>
          <w:divsChild>
            <w:div w:id="1166095810">
              <w:marLeft w:val="0"/>
              <w:marRight w:val="0"/>
              <w:marTop w:val="0"/>
              <w:marBottom w:val="0"/>
              <w:divBdr>
                <w:top w:val="none" w:sz="0" w:space="0" w:color="auto"/>
                <w:left w:val="none" w:sz="0" w:space="0" w:color="auto"/>
                <w:bottom w:val="none" w:sz="0" w:space="0" w:color="auto"/>
                <w:right w:val="none" w:sz="0" w:space="0" w:color="auto"/>
              </w:divBdr>
              <w:divsChild>
                <w:div w:id="34271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911196">
          <w:marLeft w:val="0"/>
          <w:marRight w:val="0"/>
          <w:marTop w:val="0"/>
          <w:marBottom w:val="0"/>
          <w:divBdr>
            <w:top w:val="none" w:sz="0" w:space="0" w:color="auto"/>
            <w:left w:val="none" w:sz="0" w:space="0" w:color="auto"/>
            <w:bottom w:val="none" w:sz="0" w:space="0" w:color="auto"/>
            <w:right w:val="none" w:sz="0" w:space="0" w:color="auto"/>
          </w:divBdr>
        </w:div>
        <w:div w:id="1993294171">
          <w:marLeft w:val="0"/>
          <w:marRight w:val="0"/>
          <w:marTop w:val="0"/>
          <w:marBottom w:val="0"/>
          <w:divBdr>
            <w:top w:val="none" w:sz="0" w:space="0" w:color="auto"/>
            <w:left w:val="none" w:sz="0" w:space="0" w:color="auto"/>
            <w:bottom w:val="none" w:sz="0" w:space="0" w:color="auto"/>
            <w:right w:val="none" w:sz="0" w:space="0" w:color="auto"/>
          </w:divBdr>
          <w:divsChild>
            <w:div w:id="1217160933">
              <w:marLeft w:val="0"/>
              <w:marRight w:val="0"/>
              <w:marTop w:val="0"/>
              <w:marBottom w:val="0"/>
              <w:divBdr>
                <w:top w:val="none" w:sz="0" w:space="0" w:color="auto"/>
                <w:left w:val="none" w:sz="0" w:space="0" w:color="auto"/>
                <w:bottom w:val="none" w:sz="0" w:space="0" w:color="auto"/>
                <w:right w:val="none" w:sz="0" w:space="0" w:color="auto"/>
              </w:divBdr>
              <w:divsChild>
                <w:div w:id="20992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493576">
          <w:marLeft w:val="0"/>
          <w:marRight w:val="0"/>
          <w:marTop w:val="0"/>
          <w:marBottom w:val="0"/>
          <w:divBdr>
            <w:top w:val="none" w:sz="0" w:space="0" w:color="auto"/>
            <w:left w:val="none" w:sz="0" w:space="0" w:color="auto"/>
            <w:bottom w:val="none" w:sz="0" w:space="0" w:color="auto"/>
            <w:right w:val="none" w:sz="0" w:space="0" w:color="auto"/>
          </w:divBdr>
        </w:div>
        <w:div w:id="2036690761">
          <w:marLeft w:val="0"/>
          <w:marRight w:val="0"/>
          <w:marTop w:val="0"/>
          <w:marBottom w:val="0"/>
          <w:divBdr>
            <w:top w:val="none" w:sz="0" w:space="0" w:color="auto"/>
            <w:left w:val="none" w:sz="0" w:space="0" w:color="auto"/>
            <w:bottom w:val="none" w:sz="0" w:space="0" w:color="auto"/>
            <w:right w:val="none" w:sz="0" w:space="0" w:color="auto"/>
          </w:divBdr>
        </w:div>
      </w:divsChild>
    </w:div>
    <w:div w:id="1082407741">
      <w:bodyDiv w:val="1"/>
      <w:marLeft w:val="0"/>
      <w:marRight w:val="0"/>
      <w:marTop w:val="0"/>
      <w:marBottom w:val="0"/>
      <w:divBdr>
        <w:top w:val="none" w:sz="0" w:space="0" w:color="auto"/>
        <w:left w:val="none" w:sz="0" w:space="0" w:color="auto"/>
        <w:bottom w:val="none" w:sz="0" w:space="0" w:color="auto"/>
        <w:right w:val="none" w:sz="0" w:space="0" w:color="auto"/>
      </w:divBdr>
    </w:div>
    <w:div w:id="1086265330">
      <w:bodyDiv w:val="1"/>
      <w:marLeft w:val="0"/>
      <w:marRight w:val="0"/>
      <w:marTop w:val="0"/>
      <w:marBottom w:val="0"/>
      <w:divBdr>
        <w:top w:val="none" w:sz="0" w:space="0" w:color="auto"/>
        <w:left w:val="none" w:sz="0" w:space="0" w:color="auto"/>
        <w:bottom w:val="none" w:sz="0" w:space="0" w:color="auto"/>
        <w:right w:val="none" w:sz="0" w:space="0" w:color="auto"/>
      </w:divBdr>
    </w:div>
    <w:div w:id="1087963892">
      <w:bodyDiv w:val="1"/>
      <w:marLeft w:val="0"/>
      <w:marRight w:val="0"/>
      <w:marTop w:val="0"/>
      <w:marBottom w:val="0"/>
      <w:divBdr>
        <w:top w:val="none" w:sz="0" w:space="0" w:color="auto"/>
        <w:left w:val="none" w:sz="0" w:space="0" w:color="auto"/>
        <w:bottom w:val="none" w:sz="0" w:space="0" w:color="auto"/>
        <w:right w:val="none" w:sz="0" w:space="0" w:color="auto"/>
      </w:divBdr>
    </w:div>
    <w:div w:id="1088815174">
      <w:bodyDiv w:val="1"/>
      <w:marLeft w:val="0"/>
      <w:marRight w:val="0"/>
      <w:marTop w:val="0"/>
      <w:marBottom w:val="0"/>
      <w:divBdr>
        <w:top w:val="none" w:sz="0" w:space="0" w:color="auto"/>
        <w:left w:val="none" w:sz="0" w:space="0" w:color="auto"/>
        <w:bottom w:val="none" w:sz="0" w:space="0" w:color="auto"/>
        <w:right w:val="none" w:sz="0" w:space="0" w:color="auto"/>
      </w:divBdr>
    </w:div>
    <w:div w:id="1089739134">
      <w:bodyDiv w:val="1"/>
      <w:marLeft w:val="0"/>
      <w:marRight w:val="0"/>
      <w:marTop w:val="0"/>
      <w:marBottom w:val="0"/>
      <w:divBdr>
        <w:top w:val="none" w:sz="0" w:space="0" w:color="auto"/>
        <w:left w:val="none" w:sz="0" w:space="0" w:color="auto"/>
        <w:bottom w:val="none" w:sz="0" w:space="0" w:color="auto"/>
        <w:right w:val="none" w:sz="0" w:space="0" w:color="auto"/>
      </w:divBdr>
    </w:div>
    <w:div w:id="1093823912">
      <w:bodyDiv w:val="1"/>
      <w:marLeft w:val="0"/>
      <w:marRight w:val="0"/>
      <w:marTop w:val="0"/>
      <w:marBottom w:val="0"/>
      <w:divBdr>
        <w:top w:val="none" w:sz="0" w:space="0" w:color="auto"/>
        <w:left w:val="none" w:sz="0" w:space="0" w:color="auto"/>
        <w:bottom w:val="none" w:sz="0" w:space="0" w:color="auto"/>
        <w:right w:val="none" w:sz="0" w:space="0" w:color="auto"/>
      </w:divBdr>
    </w:div>
    <w:div w:id="1098722383">
      <w:bodyDiv w:val="1"/>
      <w:marLeft w:val="0"/>
      <w:marRight w:val="0"/>
      <w:marTop w:val="0"/>
      <w:marBottom w:val="0"/>
      <w:divBdr>
        <w:top w:val="none" w:sz="0" w:space="0" w:color="auto"/>
        <w:left w:val="none" w:sz="0" w:space="0" w:color="auto"/>
        <w:bottom w:val="none" w:sz="0" w:space="0" w:color="auto"/>
        <w:right w:val="none" w:sz="0" w:space="0" w:color="auto"/>
      </w:divBdr>
    </w:div>
    <w:div w:id="1100687033">
      <w:bodyDiv w:val="1"/>
      <w:marLeft w:val="0"/>
      <w:marRight w:val="0"/>
      <w:marTop w:val="0"/>
      <w:marBottom w:val="0"/>
      <w:divBdr>
        <w:top w:val="none" w:sz="0" w:space="0" w:color="auto"/>
        <w:left w:val="none" w:sz="0" w:space="0" w:color="auto"/>
        <w:bottom w:val="none" w:sz="0" w:space="0" w:color="auto"/>
        <w:right w:val="none" w:sz="0" w:space="0" w:color="auto"/>
      </w:divBdr>
    </w:div>
    <w:div w:id="1101340892">
      <w:bodyDiv w:val="1"/>
      <w:marLeft w:val="0"/>
      <w:marRight w:val="0"/>
      <w:marTop w:val="0"/>
      <w:marBottom w:val="0"/>
      <w:divBdr>
        <w:top w:val="none" w:sz="0" w:space="0" w:color="auto"/>
        <w:left w:val="none" w:sz="0" w:space="0" w:color="auto"/>
        <w:bottom w:val="none" w:sz="0" w:space="0" w:color="auto"/>
        <w:right w:val="none" w:sz="0" w:space="0" w:color="auto"/>
      </w:divBdr>
    </w:div>
    <w:div w:id="1112945063">
      <w:bodyDiv w:val="1"/>
      <w:marLeft w:val="0"/>
      <w:marRight w:val="0"/>
      <w:marTop w:val="0"/>
      <w:marBottom w:val="0"/>
      <w:divBdr>
        <w:top w:val="none" w:sz="0" w:space="0" w:color="auto"/>
        <w:left w:val="none" w:sz="0" w:space="0" w:color="auto"/>
        <w:bottom w:val="none" w:sz="0" w:space="0" w:color="auto"/>
        <w:right w:val="none" w:sz="0" w:space="0" w:color="auto"/>
      </w:divBdr>
    </w:div>
    <w:div w:id="1114177660">
      <w:bodyDiv w:val="1"/>
      <w:marLeft w:val="0"/>
      <w:marRight w:val="0"/>
      <w:marTop w:val="0"/>
      <w:marBottom w:val="0"/>
      <w:divBdr>
        <w:top w:val="none" w:sz="0" w:space="0" w:color="auto"/>
        <w:left w:val="none" w:sz="0" w:space="0" w:color="auto"/>
        <w:bottom w:val="none" w:sz="0" w:space="0" w:color="auto"/>
        <w:right w:val="none" w:sz="0" w:space="0" w:color="auto"/>
      </w:divBdr>
    </w:div>
    <w:div w:id="1119185703">
      <w:bodyDiv w:val="1"/>
      <w:marLeft w:val="0"/>
      <w:marRight w:val="0"/>
      <w:marTop w:val="0"/>
      <w:marBottom w:val="0"/>
      <w:divBdr>
        <w:top w:val="none" w:sz="0" w:space="0" w:color="auto"/>
        <w:left w:val="none" w:sz="0" w:space="0" w:color="auto"/>
        <w:bottom w:val="none" w:sz="0" w:space="0" w:color="auto"/>
        <w:right w:val="none" w:sz="0" w:space="0" w:color="auto"/>
      </w:divBdr>
    </w:div>
    <w:div w:id="1119488256">
      <w:bodyDiv w:val="1"/>
      <w:marLeft w:val="0"/>
      <w:marRight w:val="0"/>
      <w:marTop w:val="0"/>
      <w:marBottom w:val="0"/>
      <w:divBdr>
        <w:top w:val="none" w:sz="0" w:space="0" w:color="auto"/>
        <w:left w:val="none" w:sz="0" w:space="0" w:color="auto"/>
        <w:bottom w:val="none" w:sz="0" w:space="0" w:color="auto"/>
        <w:right w:val="none" w:sz="0" w:space="0" w:color="auto"/>
      </w:divBdr>
    </w:div>
    <w:div w:id="1125779971">
      <w:bodyDiv w:val="1"/>
      <w:marLeft w:val="0"/>
      <w:marRight w:val="0"/>
      <w:marTop w:val="0"/>
      <w:marBottom w:val="0"/>
      <w:divBdr>
        <w:top w:val="none" w:sz="0" w:space="0" w:color="auto"/>
        <w:left w:val="none" w:sz="0" w:space="0" w:color="auto"/>
        <w:bottom w:val="none" w:sz="0" w:space="0" w:color="auto"/>
        <w:right w:val="none" w:sz="0" w:space="0" w:color="auto"/>
      </w:divBdr>
    </w:div>
    <w:div w:id="1128012399">
      <w:bodyDiv w:val="1"/>
      <w:marLeft w:val="0"/>
      <w:marRight w:val="0"/>
      <w:marTop w:val="0"/>
      <w:marBottom w:val="0"/>
      <w:divBdr>
        <w:top w:val="none" w:sz="0" w:space="0" w:color="auto"/>
        <w:left w:val="none" w:sz="0" w:space="0" w:color="auto"/>
        <w:bottom w:val="none" w:sz="0" w:space="0" w:color="auto"/>
        <w:right w:val="none" w:sz="0" w:space="0" w:color="auto"/>
      </w:divBdr>
    </w:div>
    <w:div w:id="1129513600">
      <w:bodyDiv w:val="1"/>
      <w:marLeft w:val="0"/>
      <w:marRight w:val="0"/>
      <w:marTop w:val="0"/>
      <w:marBottom w:val="0"/>
      <w:divBdr>
        <w:top w:val="none" w:sz="0" w:space="0" w:color="auto"/>
        <w:left w:val="none" w:sz="0" w:space="0" w:color="auto"/>
        <w:bottom w:val="none" w:sz="0" w:space="0" w:color="auto"/>
        <w:right w:val="none" w:sz="0" w:space="0" w:color="auto"/>
      </w:divBdr>
    </w:div>
    <w:div w:id="1132404646">
      <w:bodyDiv w:val="1"/>
      <w:marLeft w:val="0"/>
      <w:marRight w:val="0"/>
      <w:marTop w:val="0"/>
      <w:marBottom w:val="0"/>
      <w:divBdr>
        <w:top w:val="none" w:sz="0" w:space="0" w:color="auto"/>
        <w:left w:val="none" w:sz="0" w:space="0" w:color="auto"/>
        <w:bottom w:val="none" w:sz="0" w:space="0" w:color="auto"/>
        <w:right w:val="none" w:sz="0" w:space="0" w:color="auto"/>
      </w:divBdr>
    </w:div>
    <w:div w:id="1134132436">
      <w:bodyDiv w:val="1"/>
      <w:marLeft w:val="0"/>
      <w:marRight w:val="0"/>
      <w:marTop w:val="0"/>
      <w:marBottom w:val="0"/>
      <w:divBdr>
        <w:top w:val="none" w:sz="0" w:space="0" w:color="auto"/>
        <w:left w:val="none" w:sz="0" w:space="0" w:color="auto"/>
        <w:bottom w:val="none" w:sz="0" w:space="0" w:color="auto"/>
        <w:right w:val="none" w:sz="0" w:space="0" w:color="auto"/>
      </w:divBdr>
    </w:div>
    <w:div w:id="1134564085">
      <w:bodyDiv w:val="1"/>
      <w:marLeft w:val="0"/>
      <w:marRight w:val="0"/>
      <w:marTop w:val="0"/>
      <w:marBottom w:val="0"/>
      <w:divBdr>
        <w:top w:val="none" w:sz="0" w:space="0" w:color="auto"/>
        <w:left w:val="none" w:sz="0" w:space="0" w:color="auto"/>
        <w:bottom w:val="none" w:sz="0" w:space="0" w:color="auto"/>
        <w:right w:val="none" w:sz="0" w:space="0" w:color="auto"/>
      </w:divBdr>
    </w:div>
    <w:div w:id="1135024571">
      <w:bodyDiv w:val="1"/>
      <w:marLeft w:val="0"/>
      <w:marRight w:val="0"/>
      <w:marTop w:val="0"/>
      <w:marBottom w:val="0"/>
      <w:divBdr>
        <w:top w:val="none" w:sz="0" w:space="0" w:color="auto"/>
        <w:left w:val="none" w:sz="0" w:space="0" w:color="auto"/>
        <w:bottom w:val="none" w:sz="0" w:space="0" w:color="auto"/>
        <w:right w:val="none" w:sz="0" w:space="0" w:color="auto"/>
      </w:divBdr>
    </w:div>
    <w:div w:id="1137530701">
      <w:bodyDiv w:val="1"/>
      <w:marLeft w:val="0"/>
      <w:marRight w:val="0"/>
      <w:marTop w:val="0"/>
      <w:marBottom w:val="0"/>
      <w:divBdr>
        <w:top w:val="none" w:sz="0" w:space="0" w:color="auto"/>
        <w:left w:val="none" w:sz="0" w:space="0" w:color="auto"/>
        <w:bottom w:val="none" w:sz="0" w:space="0" w:color="auto"/>
        <w:right w:val="none" w:sz="0" w:space="0" w:color="auto"/>
      </w:divBdr>
    </w:div>
    <w:div w:id="1142311077">
      <w:bodyDiv w:val="1"/>
      <w:marLeft w:val="0"/>
      <w:marRight w:val="0"/>
      <w:marTop w:val="0"/>
      <w:marBottom w:val="0"/>
      <w:divBdr>
        <w:top w:val="none" w:sz="0" w:space="0" w:color="auto"/>
        <w:left w:val="none" w:sz="0" w:space="0" w:color="auto"/>
        <w:bottom w:val="none" w:sz="0" w:space="0" w:color="auto"/>
        <w:right w:val="none" w:sz="0" w:space="0" w:color="auto"/>
      </w:divBdr>
    </w:div>
    <w:div w:id="1143236920">
      <w:bodyDiv w:val="1"/>
      <w:marLeft w:val="0"/>
      <w:marRight w:val="0"/>
      <w:marTop w:val="0"/>
      <w:marBottom w:val="0"/>
      <w:divBdr>
        <w:top w:val="none" w:sz="0" w:space="0" w:color="auto"/>
        <w:left w:val="none" w:sz="0" w:space="0" w:color="auto"/>
        <w:bottom w:val="none" w:sz="0" w:space="0" w:color="auto"/>
        <w:right w:val="none" w:sz="0" w:space="0" w:color="auto"/>
      </w:divBdr>
    </w:div>
    <w:div w:id="1146971240">
      <w:bodyDiv w:val="1"/>
      <w:marLeft w:val="0"/>
      <w:marRight w:val="0"/>
      <w:marTop w:val="0"/>
      <w:marBottom w:val="0"/>
      <w:divBdr>
        <w:top w:val="none" w:sz="0" w:space="0" w:color="auto"/>
        <w:left w:val="none" w:sz="0" w:space="0" w:color="auto"/>
        <w:bottom w:val="none" w:sz="0" w:space="0" w:color="auto"/>
        <w:right w:val="none" w:sz="0" w:space="0" w:color="auto"/>
      </w:divBdr>
    </w:div>
    <w:div w:id="1150754714">
      <w:bodyDiv w:val="1"/>
      <w:marLeft w:val="0"/>
      <w:marRight w:val="0"/>
      <w:marTop w:val="0"/>
      <w:marBottom w:val="0"/>
      <w:divBdr>
        <w:top w:val="none" w:sz="0" w:space="0" w:color="auto"/>
        <w:left w:val="none" w:sz="0" w:space="0" w:color="auto"/>
        <w:bottom w:val="none" w:sz="0" w:space="0" w:color="auto"/>
        <w:right w:val="none" w:sz="0" w:space="0" w:color="auto"/>
      </w:divBdr>
    </w:div>
    <w:div w:id="1151678747">
      <w:bodyDiv w:val="1"/>
      <w:marLeft w:val="0"/>
      <w:marRight w:val="0"/>
      <w:marTop w:val="0"/>
      <w:marBottom w:val="0"/>
      <w:divBdr>
        <w:top w:val="none" w:sz="0" w:space="0" w:color="auto"/>
        <w:left w:val="none" w:sz="0" w:space="0" w:color="auto"/>
        <w:bottom w:val="none" w:sz="0" w:space="0" w:color="auto"/>
        <w:right w:val="none" w:sz="0" w:space="0" w:color="auto"/>
      </w:divBdr>
    </w:div>
    <w:div w:id="1155147876">
      <w:bodyDiv w:val="1"/>
      <w:marLeft w:val="0"/>
      <w:marRight w:val="0"/>
      <w:marTop w:val="0"/>
      <w:marBottom w:val="0"/>
      <w:divBdr>
        <w:top w:val="none" w:sz="0" w:space="0" w:color="auto"/>
        <w:left w:val="none" w:sz="0" w:space="0" w:color="auto"/>
        <w:bottom w:val="none" w:sz="0" w:space="0" w:color="auto"/>
        <w:right w:val="none" w:sz="0" w:space="0" w:color="auto"/>
      </w:divBdr>
    </w:div>
    <w:div w:id="1156411093">
      <w:bodyDiv w:val="1"/>
      <w:marLeft w:val="0"/>
      <w:marRight w:val="0"/>
      <w:marTop w:val="0"/>
      <w:marBottom w:val="0"/>
      <w:divBdr>
        <w:top w:val="none" w:sz="0" w:space="0" w:color="auto"/>
        <w:left w:val="none" w:sz="0" w:space="0" w:color="auto"/>
        <w:bottom w:val="none" w:sz="0" w:space="0" w:color="auto"/>
        <w:right w:val="none" w:sz="0" w:space="0" w:color="auto"/>
      </w:divBdr>
    </w:div>
    <w:div w:id="1159884366">
      <w:bodyDiv w:val="1"/>
      <w:marLeft w:val="0"/>
      <w:marRight w:val="0"/>
      <w:marTop w:val="0"/>
      <w:marBottom w:val="0"/>
      <w:divBdr>
        <w:top w:val="none" w:sz="0" w:space="0" w:color="auto"/>
        <w:left w:val="none" w:sz="0" w:space="0" w:color="auto"/>
        <w:bottom w:val="none" w:sz="0" w:space="0" w:color="auto"/>
        <w:right w:val="none" w:sz="0" w:space="0" w:color="auto"/>
      </w:divBdr>
    </w:div>
    <w:div w:id="1160000698">
      <w:bodyDiv w:val="1"/>
      <w:marLeft w:val="0"/>
      <w:marRight w:val="0"/>
      <w:marTop w:val="0"/>
      <w:marBottom w:val="0"/>
      <w:divBdr>
        <w:top w:val="none" w:sz="0" w:space="0" w:color="auto"/>
        <w:left w:val="none" w:sz="0" w:space="0" w:color="auto"/>
        <w:bottom w:val="none" w:sz="0" w:space="0" w:color="auto"/>
        <w:right w:val="none" w:sz="0" w:space="0" w:color="auto"/>
      </w:divBdr>
    </w:div>
    <w:div w:id="1160273660">
      <w:bodyDiv w:val="1"/>
      <w:marLeft w:val="0"/>
      <w:marRight w:val="0"/>
      <w:marTop w:val="0"/>
      <w:marBottom w:val="0"/>
      <w:divBdr>
        <w:top w:val="none" w:sz="0" w:space="0" w:color="auto"/>
        <w:left w:val="none" w:sz="0" w:space="0" w:color="auto"/>
        <w:bottom w:val="none" w:sz="0" w:space="0" w:color="auto"/>
        <w:right w:val="none" w:sz="0" w:space="0" w:color="auto"/>
      </w:divBdr>
    </w:div>
    <w:div w:id="1161386606">
      <w:bodyDiv w:val="1"/>
      <w:marLeft w:val="0"/>
      <w:marRight w:val="0"/>
      <w:marTop w:val="0"/>
      <w:marBottom w:val="0"/>
      <w:divBdr>
        <w:top w:val="none" w:sz="0" w:space="0" w:color="auto"/>
        <w:left w:val="none" w:sz="0" w:space="0" w:color="auto"/>
        <w:bottom w:val="none" w:sz="0" w:space="0" w:color="auto"/>
        <w:right w:val="none" w:sz="0" w:space="0" w:color="auto"/>
      </w:divBdr>
    </w:div>
    <w:div w:id="1163662812">
      <w:bodyDiv w:val="1"/>
      <w:marLeft w:val="0"/>
      <w:marRight w:val="0"/>
      <w:marTop w:val="0"/>
      <w:marBottom w:val="0"/>
      <w:divBdr>
        <w:top w:val="none" w:sz="0" w:space="0" w:color="auto"/>
        <w:left w:val="none" w:sz="0" w:space="0" w:color="auto"/>
        <w:bottom w:val="none" w:sz="0" w:space="0" w:color="auto"/>
        <w:right w:val="none" w:sz="0" w:space="0" w:color="auto"/>
      </w:divBdr>
    </w:div>
    <w:div w:id="1166555037">
      <w:bodyDiv w:val="1"/>
      <w:marLeft w:val="0"/>
      <w:marRight w:val="0"/>
      <w:marTop w:val="0"/>
      <w:marBottom w:val="0"/>
      <w:divBdr>
        <w:top w:val="none" w:sz="0" w:space="0" w:color="auto"/>
        <w:left w:val="none" w:sz="0" w:space="0" w:color="auto"/>
        <w:bottom w:val="none" w:sz="0" w:space="0" w:color="auto"/>
        <w:right w:val="none" w:sz="0" w:space="0" w:color="auto"/>
      </w:divBdr>
    </w:div>
    <w:div w:id="1170948425">
      <w:bodyDiv w:val="1"/>
      <w:marLeft w:val="0"/>
      <w:marRight w:val="0"/>
      <w:marTop w:val="0"/>
      <w:marBottom w:val="0"/>
      <w:divBdr>
        <w:top w:val="none" w:sz="0" w:space="0" w:color="auto"/>
        <w:left w:val="none" w:sz="0" w:space="0" w:color="auto"/>
        <w:bottom w:val="none" w:sz="0" w:space="0" w:color="auto"/>
        <w:right w:val="none" w:sz="0" w:space="0" w:color="auto"/>
      </w:divBdr>
    </w:div>
    <w:div w:id="1173257428">
      <w:bodyDiv w:val="1"/>
      <w:marLeft w:val="0"/>
      <w:marRight w:val="0"/>
      <w:marTop w:val="0"/>
      <w:marBottom w:val="0"/>
      <w:divBdr>
        <w:top w:val="none" w:sz="0" w:space="0" w:color="auto"/>
        <w:left w:val="none" w:sz="0" w:space="0" w:color="auto"/>
        <w:bottom w:val="none" w:sz="0" w:space="0" w:color="auto"/>
        <w:right w:val="none" w:sz="0" w:space="0" w:color="auto"/>
      </w:divBdr>
    </w:div>
    <w:div w:id="1173298794">
      <w:bodyDiv w:val="1"/>
      <w:marLeft w:val="0"/>
      <w:marRight w:val="0"/>
      <w:marTop w:val="0"/>
      <w:marBottom w:val="0"/>
      <w:divBdr>
        <w:top w:val="none" w:sz="0" w:space="0" w:color="auto"/>
        <w:left w:val="none" w:sz="0" w:space="0" w:color="auto"/>
        <w:bottom w:val="none" w:sz="0" w:space="0" w:color="auto"/>
        <w:right w:val="none" w:sz="0" w:space="0" w:color="auto"/>
      </w:divBdr>
    </w:div>
    <w:div w:id="1177430041">
      <w:bodyDiv w:val="1"/>
      <w:marLeft w:val="0"/>
      <w:marRight w:val="0"/>
      <w:marTop w:val="0"/>
      <w:marBottom w:val="0"/>
      <w:divBdr>
        <w:top w:val="none" w:sz="0" w:space="0" w:color="auto"/>
        <w:left w:val="none" w:sz="0" w:space="0" w:color="auto"/>
        <w:bottom w:val="none" w:sz="0" w:space="0" w:color="auto"/>
        <w:right w:val="none" w:sz="0" w:space="0" w:color="auto"/>
      </w:divBdr>
    </w:div>
    <w:div w:id="1179199079">
      <w:bodyDiv w:val="1"/>
      <w:marLeft w:val="0"/>
      <w:marRight w:val="0"/>
      <w:marTop w:val="0"/>
      <w:marBottom w:val="0"/>
      <w:divBdr>
        <w:top w:val="none" w:sz="0" w:space="0" w:color="auto"/>
        <w:left w:val="none" w:sz="0" w:space="0" w:color="auto"/>
        <w:bottom w:val="none" w:sz="0" w:space="0" w:color="auto"/>
        <w:right w:val="none" w:sz="0" w:space="0" w:color="auto"/>
      </w:divBdr>
    </w:div>
    <w:div w:id="1181507712">
      <w:bodyDiv w:val="1"/>
      <w:marLeft w:val="0"/>
      <w:marRight w:val="0"/>
      <w:marTop w:val="0"/>
      <w:marBottom w:val="0"/>
      <w:divBdr>
        <w:top w:val="none" w:sz="0" w:space="0" w:color="auto"/>
        <w:left w:val="none" w:sz="0" w:space="0" w:color="auto"/>
        <w:bottom w:val="none" w:sz="0" w:space="0" w:color="auto"/>
        <w:right w:val="none" w:sz="0" w:space="0" w:color="auto"/>
      </w:divBdr>
    </w:div>
    <w:div w:id="1182091347">
      <w:bodyDiv w:val="1"/>
      <w:marLeft w:val="0"/>
      <w:marRight w:val="0"/>
      <w:marTop w:val="0"/>
      <w:marBottom w:val="0"/>
      <w:divBdr>
        <w:top w:val="none" w:sz="0" w:space="0" w:color="auto"/>
        <w:left w:val="none" w:sz="0" w:space="0" w:color="auto"/>
        <w:bottom w:val="none" w:sz="0" w:space="0" w:color="auto"/>
        <w:right w:val="none" w:sz="0" w:space="0" w:color="auto"/>
      </w:divBdr>
    </w:div>
    <w:div w:id="1184713246">
      <w:bodyDiv w:val="1"/>
      <w:marLeft w:val="0"/>
      <w:marRight w:val="0"/>
      <w:marTop w:val="0"/>
      <w:marBottom w:val="0"/>
      <w:divBdr>
        <w:top w:val="none" w:sz="0" w:space="0" w:color="auto"/>
        <w:left w:val="none" w:sz="0" w:space="0" w:color="auto"/>
        <w:bottom w:val="none" w:sz="0" w:space="0" w:color="auto"/>
        <w:right w:val="none" w:sz="0" w:space="0" w:color="auto"/>
      </w:divBdr>
    </w:div>
    <w:div w:id="1187479473">
      <w:bodyDiv w:val="1"/>
      <w:marLeft w:val="0"/>
      <w:marRight w:val="0"/>
      <w:marTop w:val="0"/>
      <w:marBottom w:val="0"/>
      <w:divBdr>
        <w:top w:val="none" w:sz="0" w:space="0" w:color="auto"/>
        <w:left w:val="none" w:sz="0" w:space="0" w:color="auto"/>
        <w:bottom w:val="none" w:sz="0" w:space="0" w:color="auto"/>
        <w:right w:val="none" w:sz="0" w:space="0" w:color="auto"/>
      </w:divBdr>
    </w:div>
    <w:div w:id="1187524069">
      <w:bodyDiv w:val="1"/>
      <w:marLeft w:val="0"/>
      <w:marRight w:val="0"/>
      <w:marTop w:val="0"/>
      <w:marBottom w:val="0"/>
      <w:divBdr>
        <w:top w:val="none" w:sz="0" w:space="0" w:color="auto"/>
        <w:left w:val="none" w:sz="0" w:space="0" w:color="auto"/>
        <w:bottom w:val="none" w:sz="0" w:space="0" w:color="auto"/>
        <w:right w:val="none" w:sz="0" w:space="0" w:color="auto"/>
      </w:divBdr>
    </w:div>
    <w:div w:id="1188760971">
      <w:bodyDiv w:val="1"/>
      <w:marLeft w:val="0"/>
      <w:marRight w:val="0"/>
      <w:marTop w:val="0"/>
      <w:marBottom w:val="0"/>
      <w:divBdr>
        <w:top w:val="none" w:sz="0" w:space="0" w:color="auto"/>
        <w:left w:val="none" w:sz="0" w:space="0" w:color="auto"/>
        <w:bottom w:val="none" w:sz="0" w:space="0" w:color="auto"/>
        <w:right w:val="none" w:sz="0" w:space="0" w:color="auto"/>
      </w:divBdr>
    </w:div>
    <w:div w:id="1189880228">
      <w:bodyDiv w:val="1"/>
      <w:marLeft w:val="0"/>
      <w:marRight w:val="0"/>
      <w:marTop w:val="0"/>
      <w:marBottom w:val="0"/>
      <w:divBdr>
        <w:top w:val="none" w:sz="0" w:space="0" w:color="auto"/>
        <w:left w:val="none" w:sz="0" w:space="0" w:color="auto"/>
        <w:bottom w:val="none" w:sz="0" w:space="0" w:color="auto"/>
        <w:right w:val="none" w:sz="0" w:space="0" w:color="auto"/>
      </w:divBdr>
    </w:div>
    <w:div w:id="1191147946">
      <w:bodyDiv w:val="1"/>
      <w:marLeft w:val="0"/>
      <w:marRight w:val="0"/>
      <w:marTop w:val="0"/>
      <w:marBottom w:val="0"/>
      <w:divBdr>
        <w:top w:val="none" w:sz="0" w:space="0" w:color="auto"/>
        <w:left w:val="none" w:sz="0" w:space="0" w:color="auto"/>
        <w:bottom w:val="none" w:sz="0" w:space="0" w:color="auto"/>
        <w:right w:val="none" w:sz="0" w:space="0" w:color="auto"/>
      </w:divBdr>
    </w:div>
    <w:div w:id="1191534365">
      <w:bodyDiv w:val="1"/>
      <w:marLeft w:val="0"/>
      <w:marRight w:val="0"/>
      <w:marTop w:val="0"/>
      <w:marBottom w:val="0"/>
      <w:divBdr>
        <w:top w:val="none" w:sz="0" w:space="0" w:color="auto"/>
        <w:left w:val="none" w:sz="0" w:space="0" w:color="auto"/>
        <w:bottom w:val="none" w:sz="0" w:space="0" w:color="auto"/>
        <w:right w:val="none" w:sz="0" w:space="0" w:color="auto"/>
      </w:divBdr>
    </w:div>
    <w:div w:id="1192959227">
      <w:bodyDiv w:val="1"/>
      <w:marLeft w:val="0"/>
      <w:marRight w:val="0"/>
      <w:marTop w:val="0"/>
      <w:marBottom w:val="0"/>
      <w:divBdr>
        <w:top w:val="none" w:sz="0" w:space="0" w:color="auto"/>
        <w:left w:val="none" w:sz="0" w:space="0" w:color="auto"/>
        <w:bottom w:val="none" w:sz="0" w:space="0" w:color="auto"/>
        <w:right w:val="none" w:sz="0" w:space="0" w:color="auto"/>
      </w:divBdr>
    </w:div>
    <w:div w:id="1193693146">
      <w:bodyDiv w:val="1"/>
      <w:marLeft w:val="0"/>
      <w:marRight w:val="0"/>
      <w:marTop w:val="0"/>
      <w:marBottom w:val="0"/>
      <w:divBdr>
        <w:top w:val="none" w:sz="0" w:space="0" w:color="auto"/>
        <w:left w:val="none" w:sz="0" w:space="0" w:color="auto"/>
        <w:bottom w:val="none" w:sz="0" w:space="0" w:color="auto"/>
        <w:right w:val="none" w:sz="0" w:space="0" w:color="auto"/>
      </w:divBdr>
    </w:div>
    <w:div w:id="1194345200">
      <w:bodyDiv w:val="1"/>
      <w:marLeft w:val="0"/>
      <w:marRight w:val="0"/>
      <w:marTop w:val="0"/>
      <w:marBottom w:val="0"/>
      <w:divBdr>
        <w:top w:val="none" w:sz="0" w:space="0" w:color="auto"/>
        <w:left w:val="none" w:sz="0" w:space="0" w:color="auto"/>
        <w:bottom w:val="none" w:sz="0" w:space="0" w:color="auto"/>
        <w:right w:val="none" w:sz="0" w:space="0" w:color="auto"/>
      </w:divBdr>
    </w:div>
    <w:div w:id="1197111753">
      <w:bodyDiv w:val="1"/>
      <w:marLeft w:val="0"/>
      <w:marRight w:val="0"/>
      <w:marTop w:val="0"/>
      <w:marBottom w:val="0"/>
      <w:divBdr>
        <w:top w:val="none" w:sz="0" w:space="0" w:color="auto"/>
        <w:left w:val="none" w:sz="0" w:space="0" w:color="auto"/>
        <w:bottom w:val="none" w:sz="0" w:space="0" w:color="auto"/>
        <w:right w:val="none" w:sz="0" w:space="0" w:color="auto"/>
      </w:divBdr>
    </w:div>
    <w:div w:id="1197695843">
      <w:bodyDiv w:val="1"/>
      <w:marLeft w:val="0"/>
      <w:marRight w:val="0"/>
      <w:marTop w:val="0"/>
      <w:marBottom w:val="0"/>
      <w:divBdr>
        <w:top w:val="none" w:sz="0" w:space="0" w:color="auto"/>
        <w:left w:val="none" w:sz="0" w:space="0" w:color="auto"/>
        <w:bottom w:val="none" w:sz="0" w:space="0" w:color="auto"/>
        <w:right w:val="none" w:sz="0" w:space="0" w:color="auto"/>
      </w:divBdr>
    </w:div>
    <w:div w:id="1197741717">
      <w:bodyDiv w:val="1"/>
      <w:marLeft w:val="0"/>
      <w:marRight w:val="0"/>
      <w:marTop w:val="0"/>
      <w:marBottom w:val="0"/>
      <w:divBdr>
        <w:top w:val="none" w:sz="0" w:space="0" w:color="auto"/>
        <w:left w:val="none" w:sz="0" w:space="0" w:color="auto"/>
        <w:bottom w:val="none" w:sz="0" w:space="0" w:color="auto"/>
        <w:right w:val="none" w:sz="0" w:space="0" w:color="auto"/>
      </w:divBdr>
      <w:divsChild>
        <w:div w:id="1411197593">
          <w:marLeft w:val="547"/>
          <w:marRight w:val="0"/>
          <w:marTop w:val="0"/>
          <w:marBottom w:val="0"/>
          <w:divBdr>
            <w:top w:val="none" w:sz="0" w:space="0" w:color="auto"/>
            <w:left w:val="none" w:sz="0" w:space="0" w:color="auto"/>
            <w:bottom w:val="none" w:sz="0" w:space="0" w:color="auto"/>
            <w:right w:val="none" w:sz="0" w:space="0" w:color="auto"/>
          </w:divBdr>
        </w:div>
      </w:divsChild>
    </w:div>
    <w:div w:id="1198549175">
      <w:bodyDiv w:val="1"/>
      <w:marLeft w:val="0"/>
      <w:marRight w:val="0"/>
      <w:marTop w:val="0"/>
      <w:marBottom w:val="0"/>
      <w:divBdr>
        <w:top w:val="none" w:sz="0" w:space="0" w:color="auto"/>
        <w:left w:val="none" w:sz="0" w:space="0" w:color="auto"/>
        <w:bottom w:val="none" w:sz="0" w:space="0" w:color="auto"/>
        <w:right w:val="none" w:sz="0" w:space="0" w:color="auto"/>
      </w:divBdr>
    </w:div>
    <w:div w:id="1201669158">
      <w:bodyDiv w:val="1"/>
      <w:marLeft w:val="0"/>
      <w:marRight w:val="0"/>
      <w:marTop w:val="0"/>
      <w:marBottom w:val="0"/>
      <w:divBdr>
        <w:top w:val="none" w:sz="0" w:space="0" w:color="auto"/>
        <w:left w:val="none" w:sz="0" w:space="0" w:color="auto"/>
        <w:bottom w:val="none" w:sz="0" w:space="0" w:color="auto"/>
        <w:right w:val="none" w:sz="0" w:space="0" w:color="auto"/>
      </w:divBdr>
    </w:div>
    <w:div w:id="1202330162">
      <w:bodyDiv w:val="1"/>
      <w:marLeft w:val="0"/>
      <w:marRight w:val="0"/>
      <w:marTop w:val="0"/>
      <w:marBottom w:val="0"/>
      <w:divBdr>
        <w:top w:val="none" w:sz="0" w:space="0" w:color="auto"/>
        <w:left w:val="none" w:sz="0" w:space="0" w:color="auto"/>
        <w:bottom w:val="none" w:sz="0" w:space="0" w:color="auto"/>
        <w:right w:val="none" w:sz="0" w:space="0" w:color="auto"/>
      </w:divBdr>
    </w:div>
    <w:div w:id="1202476387">
      <w:bodyDiv w:val="1"/>
      <w:marLeft w:val="0"/>
      <w:marRight w:val="0"/>
      <w:marTop w:val="0"/>
      <w:marBottom w:val="0"/>
      <w:divBdr>
        <w:top w:val="none" w:sz="0" w:space="0" w:color="auto"/>
        <w:left w:val="none" w:sz="0" w:space="0" w:color="auto"/>
        <w:bottom w:val="none" w:sz="0" w:space="0" w:color="auto"/>
        <w:right w:val="none" w:sz="0" w:space="0" w:color="auto"/>
      </w:divBdr>
    </w:div>
    <w:div w:id="1202742334">
      <w:bodyDiv w:val="1"/>
      <w:marLeft w:val="0"/>
      <w:marRight w:val="0"/>
      <w:marTop w:val="0"/>
      <w:marBottom w:val="0"/>
      <w:divBdr>
        <w:top w:val="none" w:sz="0" w:space="0" w:color="auto"/>
        <w:left w:val="none" w:sz="0" w:space="0" w:color="auto"/>
        <w:bottom w:val="none" w:sz="0" w:space="0" w:color="auto"/>
        <w:right w:val="none" w:sz="0" w:space="0" w:color="auto"/>
      </w:divBdr>
    </w:div>
    <w:div w:id="1210259317">
      <w:bodyDiv w:val="1"/>
      <w:marLeft w:val="0"/>
      <w:marRight w:val="0"/>
      <w:marTop w:val="0"/>
      <w:marBottom w:val="0"/>
      <w:divBdr>
        <w:top w:val="none" w:sz="0" w:space="0" w:color="auto"/>
        <w:left w:val="none" w:sz="0" w:space="0" w:color="auto"/>
        <w:bottom w:val="none" w:sz="0" w:space="0" w:color="auto"/>
        <w:right w:val="none" w:sz="0" w:space="0" w:color="auto"/>
      </w:divBdr>
    </w:div>
    <w:div w:id="1222669072">
      <w:bodyDiv w:val="1"/>
      <w:marLeft w:val="0"/>
      <w:marRight w:val="0"/>
      <w:marTop w:val="0"/>
      <w:marBottom w:val="0"/>
      <w:divBdr>
        <w:top w:val="none" w:sz="0" w:space="0" w:color="auto"/>
        <w:left w:val="none" w:sz="0" w:space="0" w:color="auto"/>
        <w:bottom w:val="none" w:sz="0" w:space="0" w:color="auto"/>
        <w:right w:val="none" w:sz="0" w:space="0" w:color="auto"/>
      </w:divBdr>
    </w:div>
    <w:div w:id="1225214693">
      <w:bodyDiv w:val="1"/>
      <w:marLeft w:val="0"/>
      <w:marRight w:val="0"/>
      <w:marTop w:val="0"/>
      <w:marBottom w:val="0"/>
      <w:divBdr>
        <w:top w:val="none" w:sz="0" w:space="0" w:color="auto"/>
        <w:left w:val="none" w:sz="0" w:space="0" w:color="auto"/>
        <w:bottom w:val="none" w:sz="0" w:space="0" w:color="auto"/>
        <w:right w:val="none" w:sz="0" w:space="0" w:color="auto"/>
      </w:divBdr>
    </w:div>
    <w:div w:id="1225525300">
      <w:bodyDiv w:val="1"/>
      <w:marLeft w:val="0"/>
      <w:marRight w:val="0"/>
      <w:marTop w:val="0"/>
      <w:marBottom w:val="0"/>
      <w:divBdr>
        <w:top w:val="none" w:sz="0" w:space="0" w:color="auto"/>
        <w:left w:val="none" w:sz="0" w:space="0" w:color="auto"/>
        <w:bottom w:val="none" w:sz="0" w:space="0" w:color="auto"/>
        <w:right w:val="none" w:sz="0" w:space="0" w:color="auto"/>
      </w:divBdr>
    </w:div>
    <w:div w:id="1231886667">
      <w:bodyDiv w:val="1"/>
      <w:marLeft w:val="0"/>
      <w:marRight w:val="0"/>
      <w:marTop w:val="0"/>
      <w:marBottom w:val="0"/>
      <w:divBdr>
        <w:top w:val="none" w:sz="0" w:space="0" w:color="auto"/>
        <w:left w:val="none" w:sz="0" w:space="0" w:color="auto"/>
        <w:bottom w:val="none" w:sz="0" w:space="0" w:color="auto"/>
        <w:right w:val="none" w:sz="0" w:space="0" w:color="auto"/>
      </w:divBdr>
    </w:div>
    <w:div w:id="1235704841">
      <w:bodyDiv w:val="1"/>
      <w:marLeft w:val="0"/>
      <w:marRight w:val="0"/>
      <w:marTop w:val="0"/>
      <w:marBottom w:val="0"/>
      <w:divBdr>
        <w:top w:val="none" w:sz="0" w:space="0" w:color="auto"/>
        <w:left w:val="none" w:sz="0" w:space="0" w:color="auto"/>
        <w:bottom w:val="none" w:sz="0" w:space="0" w:color="auto"/>
        <w:right w:val="none" w:sz="0" w:space="0" w:color="auto"/>
      </w:divBdr>
    </w:div>
    <w:div w:id="1236088155">
      <w:bodyDiv w:val="1"/>
      <w:marLeft w:val="0"/>
      <w:marRight w:val="0"/>
      <w:marTop w:val="0"/>
      <w:marBottom w:val="0"/>
      <w:divBdr>
        <w:top w:val="none" w:sz="0" w:space="0" w:color="auto"/>
        <w:left w:val="none" w:sz="0" w:space="0" w:color="auto"/>
        <w:bottom w:val="none" w:sz="0" w:space="0" w:color="auto"/>
        <w:right w:val="none" w:sz="0" w:space="0" w:color="auto"/>
      </w:divBdr>
    </w:div>
    <w:div w:id="1237209837">
      <w:bodyDiv w:val="1"/>
      <w:marLeft w:val="0"/>
      <w:marRight w:val="0"/>
      <w:marTop w:val="0"/>
      <w:marBottom w:val="0"/>
      <w:divBdr>
        <w:top w:val="none" w:sz="0" w:space="0" w:color="auto"/>
        <w:left w:val="none" w:sz="0" w:space="0" w:color="auto"/>
        <w:bottom w:val="none" w:sz="0" w:space="0" w:color="auto"/>
        <w:right w:val="none" w:sz="0" w:space="0" w:color="auto"/>
      </w:divBdr>
    </w:div>
    <w:div w:id="1237547235">
      <w:bodyDiv w:val="1"/>
      <w:marLeft w:val="0"/>
      <w:marRight w:val="0"/>
      <w:marTop w:val="0"/>
      <w:marBottom w:val="0"/>
      <w:divBdr>
        <w:top w:val="none" w:sz="0" w:space="0" w:color="auto"/>
        <w:left w:val="none" w:sz="0" w:space="0" w:color="auto"/>
        <w:bottom w:val="none" w:sz="0" w:space="0" w:color="auto"/>
        <w:right w:val="none" w:sz="0" w:space="0" w:color="auto"/>
      </w:divBdr>
    </w:div>
    <w:div w:id="1237744006">
      <w:bodyDiv w:val="1"/>
      <w:marLeft w:val="0"/>
      <w:marRight w:val="0"/>
      <w:marTop w:val="0"/>
      <w:marBottom w:val="0"/>
      <w:divBdr>
        <w:top w:val="none" w:sz="0" w:space="0" w:color="auto"/>
        <w:left w:val="none" w:sz="0" w:space="0" w:color="auto"/>
        <w:bottom w:val="none" w:sz="0" w:space="0" w:color="auto"/>
        <w:right w:val="none" w:sz="0" w:space="0" w:color="auto"/>
      </w:divBdr>
    </w:div>
    <w:div w:id="1238973436">
      <w:bodyDiv w:val="1"/>
      <w:marLeft w:val="0"/>
      <w:marRight w:val="0"/>
      <w:marTop w:val="0"/>
      <w:marBottom w:val="0"/>
      <w:divBdr>
        <w:top w:val="none" w:sz="0" w:space="0" w:color="auto"/>
        <w:left w:val="none" w:sz="0" w:space="0" w:color="auto"/>
        <w:bottom w:val="none" w:sz="0" w:space="0" w:color="auto"/>
        <w:right w:val="none" w:sz="0" w:space="0" w:color="auto"/>
      </w:divBdr>
    </w:div>
    <w:div w:id="1240290795">
      <w:bodyDiv w:val="1"/>
      <w:marLeft w:val="0"/>
      <w:marRight w:val="0"/>
      <w:marTop w:val="0"/>
      <w:marBottom w:val="0"/>
      <w:divBdr>
        <w:top w:val="none" w:sz="0" w:space="0" w:color="auto"/>
        <w:left w:val="none" w:sz="0" w:space="0" w:color="auto"/>
        <w:bottom w:val="none" w:sz="0" w:space="0" w:color="auto"/>
        <w:right w:val="none" w:sz="0" w:space="0" w:color="auto"/>
      </w:divBdr>
    </w:div>
    <w:div w:id="1240824996">
      <w:bodyDiv w:val="1"/>
      <w:marLeft w:val="0"/>
      <w:marRight w:val="0"/>
      <w:marTop w:val="0"/>
      <w:marBottom w:val="0"/>
      <w:divBdr>
        <w:top w:val="none" w:sz="0" w:space="0" w:color="auto"/>
        <w:left w:val="none" w:sz="0" w:space="0" w:color="auto"/>
        <w:bottom w:val="none" w:sz="0" w:space="0" w:color="auto"/>
        <w:right w:val="none" w:sz="0" w:space="0" w:color="auto"/>
      </w:divBdr>
    </w:div>
    <w:div w:id="1240940141">
      <w:bodyDiv w:val="1"/>
      <w:marLeft w:val="0"/>
      <w:marRight w:val="0"/>
      <w:marTop w:val="0"/>
      <w:marBottom w:val="0"/>
      <w:divBdr>
        <w:top w:val="none" w:sz="0" w:space="0" w:color="auto"/>
        <w:left w:val="none" w:sz="0" w:space="0" w:color="auto"/>
        <w:bottom w:val="none" w:sz="0" w:space="0" w:color="auto"/>
        <w:right w:val="none" w:sz="0" w:space="0" w:color="auto"/>
      </w:divBdr>
    </w:div>
    <w:div w:id="1250891604">
      <w:bodyDiv w:val="1"/>
      <w:marLeft w:val="0"/>
      <w:marRight w:val="0"/>
      <w:marTop w:val="0"/>
      <w:marBottom w:val="0"/>
      <w:divBdr>
        <w:top w:val="none" w:sz="0" w:space="0" w:color="auto"/>
        <w:left w:val="none" w:sz="0" w:space="0" w:color="auto"/>
        <w:bottom w:val="none" w:sz="0" w:space="0" w:color="auto"/>
        <w:right w:val="none" w:sz="0" w:space="0" w:color="auto"/>
      </w:divBdr>
    </w:div>
    <w:div w:id="1251041734">
      <w:bodyDiv w:val="1"/>
      <w:marLeft w:val="0"/>
      <w:marRight w:val="0"/>
      <w:marTop w:val="0"/>
      <w:marBottom w:val="0"/>
      <w:divBdr>
        <w:top w:val="none" w:sz="0" w:space="0" w:color="auto"/>
        <w:left w:val="none" w:sz="0" w:space="0" w:color="auto"/>
        <w:bottom w:val="none" w:sz="0" w:space="0" w:color="auto"/>
        <w:right w:val="none" w:sz="0" w:space="0" w:color="auto"/>
      </w:divBdr>
    </w:div>
    <w:div w:id="1252469957">
      <w:bodyDiv w:val="1"/>
      <w:marLeft w:val="0"/>
      <w:marRight w:val="0"/>
      <w:marTop w:val="0"/>
      <w:marBottom w:val="0"/>
      <w:divBdr>
        <w:top w:val="none" w:sz="0" w:space="0" w:color="auto"/>
        <w:left w:val="none" w:sz="0" w:space="0" w:color="auto"/>
        <w:bottom w:val="none" w:sz="0" w:space="0" w:color="auto"/>
        <w:right w:val="none" w:sz="0" w:space="0" w:color="auto"/>
      </w:divBdr>
    </w:div>
    <w:div w:id="1253003263">
      <w:bodyDiv w:val="1"/>
      <w:marLeft w:val="0"/>
      <w:marRight w:val="0"/>
      <w:marTop w:val="0"/>
      <w:marBottom w:val="0"/>
      <w:divBdr>
        <w:top w:val="none" w:sz="0" w:space="0" w:color="auto"/>
        <w:left w:val="none" w:sz="0" w:space="0" w:color="auto"/>
        <w:bottom w:val="none" w:sz="0" w:space="0" w:color="auto"/>
        <w:right w:val="none" w:sz="0" w:space="0" w:color="auto"/>
      </w:divBdr>
    </w:div>
    <w:div w:id="1256862433">
      <w:bodyDiv w:val="1"/>
      <w:marLeft w:val="0"/>
      <w:marRight w:val="0"/>
      <w:marTop w:val="0"/>
      <w:marBottom w:val="0"/>
      <w:divBdr>
        <w:top w:val="none" w:sz="0" w:space="0" w:color="auto"/>
        <w:left w:val="none" w:sz="0" w:space="0" w:color="auto"/>
        <w:bottom w:val="none" w:sz="0" w:space="0" w:color="auto"/>
        <w:right w:val="none" w:sz="0" w:space="0" w:color="auto"/>
      </w:divBdr>
    </w:div>
    <w:div w:id="1258321198">
      <w:bodyDiv w:val="1"/>
      <w:marLeft w:val="0"/>
      <w:marRight w:val="0"/>
      <w:marTop w:val="0"/>
      <w:marBottom w:val="0"/>
      <w:divBdr>
        <w:top w:val="none" w:sz="0" w:space="0" w:color="auto"/>
        <w:left w:val="none" w:sz="0" w:space="0" w:color="auto"/>
        <w:bottom w:val="none" w:sz="0" w:space="0" w:color="auto"/>
        <w:right w:val="none" w:sz="0" w:space="0" w:color="auto"/>
      </w:divBdr>
    </w:div>
    <w:div w:id="1260993306">
      <w:bodyDiv w:val="1"/>
      <w:marLeft w:val="0"/>
      <w:marRight w:val="0"/>
      <w:marTop w:val="0"/>
      <w:marBottom w:val="0"/>
      <w:divBdr>
        <w:top w:val="none" w:sz="0" w:space="0" w:color="auto"/>
        <w:left w:val="none" w:sz="0" w:space="0" w:color="auto"/>
        <w:bottom w:val="none" w:sz="0" w:space="0" w:color="auto"/>
        <w:right w:val="none" w:sz="0" w:space="0" w:color="auto"/>
      </w:divBdr>
    </w:div>
    <w:div w:id="1262378799">
      <w:bodyDiv w:val="1"/>
      <w:marLeft w:val="0"/>
      <w:marRight w:val="0"/>
      <w:marTop w:val="0"/>
      <w:marBottom w:val="0"/>
      <w:divBdr>
        <w:top w:val="none" w:sz="0" w:space="0" w:color="auto"/>
        <w:left w:val="none" w:sz="0" w:space="0" w:color="auto"/>
        <w:bottom w:val="none" w:sz="0" w:space="0" w:color="auto"/>
        <w:right w:val="none" w:sz="0" w:space="0" w:color="auto"/>
      </w:divBdr>
    </w:div>
    <w:div w:id="1266814347">
      <w:bodyDiv w:val="1"/>
      <w:marLeft w:val="0"/>
      <w:marRight w:val="0"/>
      <w:marTop w:val="0"/>
      <w:marBottom w:val="0"/>
      <w:divBdr>
        <w:top w:val="none" w:sz="0" w:space="0" w:color="auto"/>
        <w:left w:val="none" w:sz="0" w:space="0" w:color="auto"/>
        <w:bottom w:val="none" w:sz="0" w:space="0" w:color="auto"/>
        <w:right w:val="none" w:sz="0" w:space="0" w:color="auto"/>
      </w:divBdr>
    </w:div>
    <w:div w:id="1266956535">
      <w:bodyDiv w:val="1"/>
      <w:marLeft w:val="0"/>
      <w:marRight w:val="0"/>
      <w:marTop w:val="0"/>
      <w:marBottom w:val="0"/>
      <w:divBdr>
        <w:top w:val="none" w:sz="0" w:space="0" w:color="auto"/>
        <w:left w:val="none" w:sz="0" w:space="0" w:color="auto"/>
        <w:bottom w:val="none" w:sz="0" w:space="0" w:color="auto"/>
        <w:right w:val="none" w:sz="0" w:space="0" w:color="auto"/>
      </w:divBdr>
    </w:div>
    <w:div w:id="1271819048">
      <w:bodyDiv w:val="1"/>
      <w:marLeft w:val="0"/>
      <w:marRight w:val="0"/>
      <w:marTop w:val="0"/>
      <w:marBottom w:val="0"/>
      <w:divBdr>
        <w:top w:val="none" w:sz="0" w:space="0" w:color="auto"/>
        <w:left w:val="none" w:sz="0" w:space="0" w:color="auto"/>
        <w:bottom w:val="none" w:sz="0" w:space="0" w:color="auto"/>
        <w:right w:val="none" w:sz="0" w:space="0" w:color="auto"/>
      </w:divBdr>
    </w:div>
    <w:div w:id="1287271458">
      <w:bodyDiv w:val="1"/>
      <w:marLeft w:val="0"/>
      <w:marRight w:val="0"/>
      <w:marTop w:val="0"/>
      <w:marBottom w:val="0"/>
      <w:divBdr>
        <w:top w:val="none" w:sz="0" w:space="0" w:color="auto"/>
        <w:left w:val="none" w:sz="0" w:space="0" w:color="auto"/>
        <w:bottom w:val="none" w:sz="0" w:space="0" w:color="auto"/>
        <w:right w:val="none" w:sz="0" w:space="0" w:color="auto"/>
      </w:divBdr>
    </w:div>
    <w:div w:id="1287540251">
      <w:bodyDiv w:val="1"/>
      <w:marLeft w:val="0"/>
      <w:marRight w:val="0"/>
      <w:marTop w:val="0"/>
      <w:marBottom w:val="0"/>
      <w:divBdr>
        <w:top w:val="none" w:sz="0" w:space="0" w:color="auto"/>
        <w:left w:val="none" w:sz="0" w:space="0" w:color="auto"/>
        <w:bottom w:val="none" w:sz="0" w:space="0" w:color="auto"/>
        <w:right w:val="none" w:sz="0" w:space="0" w:color="auto"/>
      </w:divBdr>
    </w:div>
    <w:div w:id="1289358777">
      <w:bodyDiv w:val="1"/>
      <w:marLeft w:val="0"/>
      <w:marRight w:val="0"/>
      <w:marTop w:val="0"/>
      <w:marBottom w:val="0"/>
      <w:divBdr>
        <w:top w:val="none" w:sz="0" w:space="0" w:color="auto"/>
        <w:left w:val="none" w:sz="0" w:space="0" w:color="auto"/>
        <w:bottom w:val="none" w:sz="0" w:space="0" w:color="auto"/>
        <w:right w:val="none" w:sz="0" w:space="0" w:color="auto"/>
      </w:divBdr>
    </w:div>
    <w:div w:id="1293288157">
      <w:bodyDiv w:val="1"/>
      <w:marLeft w:val="0"/>
      <w:marRight w:val="0"/>
      <w:marTop w:val="0"/>
      <w:marBottom w:val="0"/>
      <w:divBdr>
        <w:top w:val="none" w:sz="0" w:space="0" w:color="auto"/>
        <w:left w:val="none" w:sz="0" w:space="0" w:color="auto"/>
        <w:bottom w:val="none" w:sz="0" w:space="0" w:color="auto"/>
        <w:right w:val="none" w:sz="0" w:space="0" w:color="auto"/>
      </w:divBdr>
    </w:div>
    <w:div w:id="1296913304">
      <w:bodyDiv w:val="1"/>
      <w:marLeft w:val="0"/>
      <w:marRight w:val="0"/>
      <w:marTop w:val="0"/>
      <w:marBottom w:val="0"/>
      <w:divBdr>
        <w:top w:val="none" w:sz="0" w:space="0" w:color="auto"/>
        <w:left w:val="none" w:sz="0" w:space="0" w:color="auto"/>
        <w:bottom w:val="none" w:sz="0" w:space="0" w:color="auto"/>
        <w:right w:val="none" w:sz="0" w:space="0" w:color="auto"/>
      </w:divBdr>
    </w:div>
    <w:div w:id="1296981315">
      <w:bodyDiv w:val="1"/>
      <w:marLeft w:val="0"/>
      <w:marRight w:val="0"/>
      <w:marTop w:val="0"/>
      <w:marBottom w:val="0"/>
      <w:divBdr>
        <w:top w:val="none" w:sz="0" w:space="0" w:color="auto"/>
        <w:left w:val="none" w:sz="0" w:space="0" w:color="auto"/>
        <w:bottom w:val="none" w:sz="0" w:space="0" w:color="auto"/>
        <w:right w:val="none" w:sz="0" w:space="0" w:color="auto"/>
      </w:divBdr>
    </w:div>
    <w:div w:id="1297444071">
      <w:bodyDiv w:val="1"/>
      <w:marLeft w:val="0"/>
      <w:marRight w:val="0"/>
      <w:marTop w:val="0"/>
      <w:marBottom w:val="0"/>
      <w:divBdr>
        <w:top w:val="none" w:sz="0" w:space="0" w:color="auto"/>
        <w:left w:val="none" w:sz="0" w:space="0" w:color="auto"/>
        <w:bottom w:val="none" w:sz="0" w:space="0" w:color="auto"/>
        <w:right w:val="none" w:sz="0" w:space="0" w:color="auto"/>
      </w:divBdr>
    </w:div>
    <w:div w:id="1297955175">
      <w:bodyDiv w:val="1"/>
      <w:marLeft w:val="0"/>
      <w:marRight w:val="0"/>
      <w:marTop w:val="0"/>
      <w:marBottom w:val="0"/>
      <w:divBdr>
        <w:top w:val="none" w:sz="0" w:space="0" w:color="auto"/>
        <w:left w:val="none" w:sz="0" w:space="0" w:color="auto"/>
        <w:bottom w:val="none" w:sz="0" w:space="0" w:color="auto"/>
        <w:right w:val="none" w:sz="0" w:space="0" w:color="auto"/>
      </w:divBdr>
    </w:div>
    <w:div w:id="1301763814">
      <w:bodyDiv w:val="1"/>
      <w:marLeft w:val="0"/>
      <w:marRight w:val="0"/>
      <w:marTop w:val="0"/>
      <w:marBottom w:val="0"/>
      <w:divBdr>
        <w:top w:val="none" w:sz="0" w:space="0" w:color="auto"/>
        <w:left w:val="none" w:sz="0" w:space="0" w:color="auto"/>
        <w:bottom w:val="none" w:sz="0" w:space="0" w:color="auto"/>
        <w:right w:val="none" w:sz="0" w:space="0" w:color="auto"/>
      </w:divBdr>
    </w:div>
    <w:div w:id="1303270996">
      <w:bodyDiv w:val="1"/>
      <w:marLeft w:val="0"/>
      <w:marRight w:val="0"/>
      <w:marTop w:val="0"/>
      <w:marBottom w:val="0"/>
      <w:divBdr>
        <w:top w:val="none" w:sz="0" w:space="0" w:color="auto"/>
        <w:left w:val="none" w:sz="0" w:space="0" w:color="auto"/>
        <w:bottom w:val="none" w:sz="0" w:space="0" w:color="auto"/>
        <w:right w:val="none" w:sz="0" w:space="0" w:color="auto"/>
      </w:divBdr>
    </w:div>
    <w:div w:id="1304196479">
      <w:bodyDiv w:val="1"/>
      <w:marLeft w:val="0"/>
      <w:marRight w:val="0"/>
      <w:marTop w:val="0"/>
      <w:marBottom w:val="0"/>
      <w:divBdr>
        <w:top w:val="none" w:sz="0" w:space="0" w:color="auto"/>
        <w:left w:val="none" w:sz="0" w:space="0" w:color="auto"/>
        <w:bottom w:val="none" w:sz="0" w:space="0" w:color="auto"/>
        <w:right w:val="none" w:sz="0" w:space="0" w:color="auto"/>
      </w:divBdr>
    </w:div>
    <w:div w:id="1310548962">
      <w:bodyDiv w:val="1"/>
      <w:marLeft w:val="0"/>
      <w:marRight w:val="0"/>
      <w:marTop w:val="0"/>
      <w:marBottom w:val="0"/>
      <w:divBdr>
        <w:top w:val="none" w:sz="0" w:space="0" w:color="auto"/>
        <w:left w:val="none" w:sz="0" w:space="0" w:color="auto"/>
        <w:bottom w:val="none" w:sz="0" w:space="0" w:color="auto"/>
        <w:right w:val="none" w:sz="0" w:space="0" w:color="auto"/>
      </w:divBdr>
    </w:div>
    <w:div w:id="1310863412">
      <w:bodyDiv w:val="1"/>
      <w:marLeft w:val="0"/>
      <w:marRight w:val="0"/>
      <w:marTop w:val="0"/>
      <w:marBottom w:val="0"/>
      <w:divBdr>
        <w:top w:val="none" w:sz="0" w:space="0" w:color="auto"/>
        <w:left w:val="none" w:sz="0" w:space="0" w:color="auto"/>
        <w:bottom w:val="none" w:sz="0" w:space="0" w:color="auto"/>
        <w:right w:val="none" w:sz="0" w:space="0" w:color="auto"/>
      </w:divBdr>
    </w:div>
    <w:div w:id="1311638959">
      <w:bodyDiv w:val="1"/>
      <w:marLeft w:val="0"/>
      <w:marRight w:val="0"/>
      <w:marTop w:val="0"/>
      <w:marBottom w:val="0"/>
      <w:divBdr>
        <w:top w:val="none" w:sz="0" w:space="0" w:color="auto"/>
        <w:left w:val="none" w:sz="0" w:space="0" w:color="auto"/>
        <w:bottom w:val="none" w:sz="0" w:space="0" w:color="auto"/>
        <w:right w:val="none" w:sz="0" w:space="0" w:color="auto"/>
      </w:divBdr>
    </w:div>
    <w:div w:id="1314137272">
      <w:bodyDiv w:val="1"/>
      <w:marLeft w:val="0"/>
      <w:marRight w:val="0"/>
      <w:marTop w:val="0"/>
      <w:marBottom w:val="0"/>
      <w:divBdr>
        <w:top w:val="none" w:sz="0" w:space="0" w:color="auto"/>
        <w:left w:val="none" w:sz="0" w:space="0" w:color="auto"/>
        <w:bottom w:val="none" w:sz="0" w:space="0" w:color="auto"/>
        <w:right w:val="none" w:sz="0" w:space="0" w:color="auto"/>
      </w:divBdr>
    </w:div>
    <w:div w:id="1315836128">
      <w:bodyDiv w:val="1"/>
      <w:marLeft w:val="0"/>
      <w:marRight w:val="0"/>
      <w:marTop w:val="0"/>
      <w:marBottom w:val="0"/>
      <w:divBdr>
        <w:top w:val="none" w:sz="0" w:space="0" w:color="auto"/>
        <w:left w:val="none" w:sz="0" w:space="0" w:color="auto"/>
        <w:bottom w:val="none" w:sz="0" w:space="0" w:color="auto"/>
        <w:right w:val="none" w:sz="0" w:space="0" w:color="auto"/>
      </w:divBdr>
    </w:div>
    <w:div w:id="1323002060">
      <w:bodyDiv w:val="1"/>
      <w:marLeft w:val="0"/>
      <w:marRight w:val="0"/>
      <w:marTop w:val="0"/>
      <w:marBottom w:val="0"/>
      <w:divBdr>
        <w:top w:val="none" w:sz="0" w:space="0" w:color="auto"/>
        <w:left w:val="none" w:sz="0" w:space="0" w:color="auto"/>
        <w:bottom w:val="none" w:sz="0" w:space="0" w:color="auto"/>
        <w:right w:val="none" w:sz="0" w:space="0" w:color="auto"/>
      </w:divBdr>
    </w:div>
    <w:div w:id="1326473079">
      <w:bodyDiv w:val="1"/>
      <w:marLeft w:val="0"/>
      <w:marRight w:val="0"/>
      <w:marTop w:val="0"/>
      <w:marBottom w:val="0"/>
      <w:divBdr>
        <w:top w:val="none" w:sz="0" w:space="0" w:color="auto"/>
        <w:left w:val="none" w:sz="0" w:space="0" w:color="auto"/>
        <w:bottom w:val="none" w:sz="0" w:space="0" w:color="auto"/>
        <w:right w:val="none" w:sz="0" w:space="0" w:color="auto"/>
      </w:divBdr>
      <w:divsChild>
        <w:div w:id="1443569128">
          <w:marLeft w:val="0"/>
          <w:marRight w:val="0"/>
          <w:marTop w:val="0"/>
          <w:marBottom w:val="0"/>
          <w:divBdr>
            <w:top w:val="none" w:sz="0" w:space="0" w:color="auto"/>
            <w:left w:val="none" w:sz="0" w:space="0" w:color="auto"/>
            <w:bottom w:val="none" w:sz="0" w:space="0" w:color="auto"/>
            <w:right w:val="none" w:sz="0" w:space="0" w:color="auto"/>
          </w:divBdr>
        </w:div>
      </w:divsChild>
    </w:div>
    <w:div w:id="1327244460">
      <w:bodyDiv w:val="1"/>
      <w:marLeft w:val="0"/>
      <w:marRight w:val="0"/>
      <w:marTop w:val="0"/>
      <w:marBottom w:val="0"/>
      <w:divBdr>
        <w:top w:val="none" w:sz="0" w:space="0" w:color="auto"/>
        <w:left w:val="none" w:sz="0" w:space="0" w:color="auto"/>
        <w:bottom w:val="none" w:sz="0" w:space="0" w:color="auto"/>
        <w:right w:val="none" w:sz="0" w:space="0" w:color="auto"/>
      </w:divBdr>
    </w:div>
    <w:div w:id="1327321716">
      <w:bodyDiv w:val="1"/>
      <w:marLeft w:val="0"/>
      <w:marRight w:val="0"/>
      <w:marTop w:val="0"/>
      <w:marBottom w:val="0"/>
      <w:divBdr>
        <w:top w:val="none" w:sz="0" w:space="0" w:color="auto"/>
        <w:left w:val="none" w:sz="0" w:space="0" w:color="auto"/>
        <w:bottom w:val="none" w:sz="0" w:space="0" w:color="auto"/>
        <w:right w:val="none" w:sz="0" w:space="0" w:color="auto"/>
      </w:divBdr>
    </w:div>
    <w:div w:id="1328824268">
      <w:bodyDiv w:val="1"/>
      <w:marLeft w:val="0"/>
      <w:marRight w:val="0"/>
      <w:marTop w:val="0"/>
      <w:marBottom w:val="0"/>
      <w:divBdr>
        <w:top w:val="none" w:sz="0" w:space="0" w:color="auto"/>
        <w:left w:val="none" w:sz="0" w:space="0" w:color="auto"/>
        <w:bottom w:val="none" w:sz="0" w:space="0" w:color="auto"/>
        <w:right w:val="none" w:sz="0" w:space="0" w:color="auto"/>
      </w:divBdr>
    </w:div>
    <w:div w:id="1329018472">
      <w:bodyDiv w:val="1"/>
      <w:marLeft w:val="0"/>
      <w:marRight w:val="0"/>
      <w:marTop w:val="0"/>
      <w:marBottom w:val="0"/>
      <w:divBdr>
        <w:top w:val="none" w:sz="0" w:space="0" w:color="auto"/>
        <w:left w:val="none" w:sz="0" w:space="0" w:color="auto"/>
        <w:bottom w:val="none" w:sz="0" w:space="0" w:color="auto"/>
        <w:right w:val="none" w:sz="0" w:space="0" w:color="auto"/>
      </w:divBdr>
    </w:div>
    <w:div w:id="1331906647">
      <w:bodyDiv w:val="1"/>
      <w:marLeft w:val="0"/>
      <w:marRight w:val="0"/>
      <w:marTop w:val="0"/>
      <w:marBottom w:val="0"/>
      <w:divBdr>
        <w:top w:val="none" w:sz="0" w:space="0" w:color="auto"/>
        <w:left w:val="none" w:sz="0" w:space="0" w:color="auto"/>
        <w:bottom w:val="none" w:sz="0" w:space="0" w:color="auto"/>
        <w:right w:val="none" w:sz="0" w:space="0" w:color="auto"/>
      </w:divBdr>
    </w:div>
    <w:div w:id="1333021177">
      <w:bodyDiv w:val="1"/>
      <w:marLeft w:val="0"/>
      <w:marRight w:val="0"/>
      <w:marTop w:val="0"/>
      <w:marBottom w:val="0"/>
      <w:divBdr>
        <w:top w:val="none" w:sz="0" w:space="0" w:color="auto"/>
        <w:left w:val="none" w:sz="0" w:space="0" w:color="auto"/>
        <w:bottom w:val="none" w:sz="0" w:space="0" w:color="auto"/>
        <w:right w:val="none" w:sz="0" w:space="0" w:color="auto"/>
      </w:divBdr>
    </w:div>
    <w:div w:id="1337459889">
      <w:bodyDiv w:val="1"/>
      <w:marLeft w:val="0"/>
      <w:marRight w:val="0"/>
      <w:marTop w:val="0"/>
      <w:marBottom w:val="0"/>
      <w:divBdr>
        <w:top w:val="none" w:sz="0" w:space="0" w:color="auto"/>
        <w:left w:val="none" w:sz="0" w:space="0" w:color="auto"/>
        <w:bottom w:val="none" w:sz="0" w:space="0" w:color="auto"/>
        <w:right w:val="none" w:sz="0" w:space="0" w:color="auto"/>
      </w:divBdr>
    </w:div>
    <w:div w:id="1337998097">
      <w:bodyDiv w:val="1"/>
      <w:marLeft w:val="0"/>
      <w:marRight w:val="0"/>
      <w:marTop w:val="0"/>
      <w:marBottom w:val="0"/>
      <w:divBdr>
        <w:top w:val="none" w:sz="0" w:space="0" w:color="auto"/>
        <w:left w:val="none" w:sz="0" w:space="0" w:color="auto"/>
        <w:bottom w:val="none" w:sz="0" w:space="0" w:color="auto"/>
        <w:right w:val="none" w:sz="0" w:space="0" w:color="auto"/>
      </w:divBdr>
    </w:div>
    <w:div w:id="1340815762">
      <w:bodyDiv w:val="1"/>
      <w:marLeft w:val="0"/>
      <w:marRight w:val="0"/>
      <w:marTop w:val="0"/>
      <w:marBottom w:val="0"/>
      <w:divBdr>
        <w:top w:val="none" w:sz="0" w:space="0" w:color="auto"/>
        <w:left w:val="none" w:sz="0" w:space="0" w:color="auto"/>
        <w:bottom w:val="none" w:sz="0" w:space="0" w:color="auto"/>
        <w:right w:val="none" w:sz="0" w:space="0" w:color="auto"/>
      </w:divBdr>
    </w:div>
    <w:div w:id="1344433400">
      <w:bodyDiv w:val="1"/>
      <w:marLeft w:val="0"/>
      <w:marRight w:val="0"/>
      <w:marTop w:val="0"/>
      <w:marBottom w:val="0"/>
      <w:divBdr>
        <w:top w:val="none" w:sz="0" w:space="0" w:color="auto"/>
        <w:left w:val="none" w:sz="0" w:space="0" w:color="auto"/>
        <w:bottom w:val="none" w:sz="0" w:space="0" w:color="auto"/>
        <w:right w:val="none" w:sz="0" w:space="0" w:color="auto"/>
      </w:divBdr>
    </w:div>
    <w:div w:id="1347321798">
      <w:bodyDiv w:val="1"/>
      <w:marLeft w:val="0"/>
      <w:marRight w:val="0"/>
      <w:marTop w:val="0"/>
      <w:marBottom w:val="0"/>
      <w:divBdr>
        <w:top w:val="none" w:sz="0" w:space="0" w:color="auto"/>
        <w:left w:val="none" w:sz="0" w:space="0" w:color="auto"/>
        <w:bottom w:val="none" w:sz="0" w:space="0" w:color="auto"/>
        <w:right w:val="none" w:sz="0" w:space="0" w:color="auto"/>
      </w:divBdr>
    </w:div>
    <w:div w:id="1351877418">
      <w:bodyDiv w:val="1"/>
      <w:marLeft w:val="0"/>
      <w:marRight w:val="0"/>
      <w:marTop w:val="0"/>
      <w:marBottom w:val="0"/>
      <w:divBdr>
        <w:top w:val="none" w:sz="0" w:space="0" w:color="auto"/>
        <w:left w:val="none" w:sz="0" w:space="0" w:color="auto"/>
        <w:bottom w:val="none" w:sz="0" w:space="0" w:color="auto"/>
        <w:right w:val="none" w:sz="0" w:space="0" w:color="auto"/>
      </w:divBdr>
    </w:div>
    <w:div w:id="1355115389">
      <w:bodyDiv w:val="1"/>
      <w:marLeft w:val="0"/>
      <w:marRight w:val="0"/>
      <w:marTop w:val="0"/>
      <w:marBottom w:val="0"/>
      <w:divBdr>
        <w:top w:val="none" w:sz="0" w:space="0" w:color="auto"/>
        <w:left w:val="none" w:sz="0" w:space="0" w:color="auto"/>
        <w:bottom w:val="none" w:sz="0" w:space="0" w:color="auto"/>
        <w:right w:val="none" w:sz="0" w:space="0" w:color="auto"/>
      </w:divBdr>
    </w:div>
    <w:div w:id="1355771499">
      <w:bodyDiv w:val="1"/>
      <w:marLeft w:val="0"/>
      <w:marRight w:val="0"/>
      <w:marTop w:val="0"/>
      <w:marBottom w:val="0"/>
      <w:divBdr>
        <w:top w:val="none" w:sz="0" w:space="0" w:color="auto"/>
        <w:left w:val="none" w:sz="0" w:space="0" w:color="auto"/>
        <w:bottom w:val="none" w:sz="0" w:space="0" w:color="auto"/>
        <w:right w:val="none" w:sz="0" w:space="0" w:color="auto"/>
      </w:divBdr>
    </w:div>
    <w:div w:id="1359308805">
      <w:bodyDiv w:val="1"/>
      <w:marLeft w:val="0"/>
      <w:marRight w:val="0"/>
      <w:marTop w:val="0"/>
      <w:marBottom w:val="0"/>
      <w:divBdr>
        <w:top w:val="none" w:sz="0" w:space="0" w:color="auto"/>
        <w:left w:val="none" w:sz="0" w:space="0" w:color="auto"/>
        <w:bottom w:val="none" w:sz="0" w:space="0" w:color="auto"/>
        <w:right w:val="none" w:sz="0" w:space="0" w:color="auto"/>
      </w:divBdr>
    </w:div>
    <w:div w:id="1359434190">
      <w:bodyDiv w:val="1"/>
      <w:marLeft w:val="0"/>
      <w:marRight w:val="0"/>
      <w:marTop w:val="0"/>
      <w:marBottom w:val="0"/>
      <w:divBdr>
        <w:top w:val="none" w:sz="0" w:space="0" w:color="auto"/>
        <w:left w:val="none" w:sz="0" w:space="0" w:color="auto"/>
        <w:bottom w:val="none" w:sz="0" w:space="0" w:color="auto"/>
        <w:right w:val="none" w:sz="0" w:space="0" w:color="auto"/>
      </w:divBdr>
    </w:div>
    <w:div w:id="1360428082">
      <w:bodyDiv w:val="1"/>
      <w:marLeft w:val="0"/>
      <w:marRight w:val="0"/>
      <w:marTop w:val="0"/>
      <w:marBottom w:val="0"/>
      <w:divBdr>
        <w:top w:val="none" w:sz="0" w:space="0" w:color="auto"/>
        <w:left w:val="none" w:sz="0" w:space="0" w:color="auto"/>
        <w:bottom w:val="none" w:sz="0" w:space="0" w:color="auto"/>
        <w:right w:val="none" w:sz="0" w:space="0" w:color="auto"/>
      </w:divBdr>
    </w:div>
    <w:div w:id="1365444136">
      <w:bodyDiv w:val="1"/>
      <w:marLeft w:val="0"/>
      <w:marRight w:val="0"/>
      <w:marTop w:val="0"/>
      <w:marBottom w:val="0"/>
      <w:divBdr>
        <w:top w:val="none" w:sz="0" w:space="0" w:color="auto"/>
        <w:left w:val="none" w:sz="0" w:space="0" w:color="auto"/>
        <w:bottom w:val="none" w:sz="0" w:space="0" w:color="auto"/>
        <w:right w:val="none" w:sz="0" w:space="0" w:color="auto"/>
      </w:divBdr>
    </w:div>
    <w:div w:id="1365668929">
      <w:bodyDiv w:val="1"/>
      <w:marLeft w:val="0"/>
      <w:marRight w:val="0"/>
      <w:marTop w:val="0"/>
      <w:marBottom w:val="0"/>
      <w:divBdr>
        <w:top w:val="none" w:sz="0" w:space="0" w:color="auto"/>
        <w:left w:val="none" w:sz="0" w:space="0" w:color="auto"/>
        <w:bottom w:val="none" w:sz="0" w:space="0" w:color="auto"/>
        <w:right w:val="none" w:sz="0" w:space="0" w:color="auto"/>
      </w:divBdr>
    </w:div>
    <w:div w:id="1368795718">
      <w:bodyDiv w:val="1"/>
      <w:marLeft w:val="0"/>
      <w:marRight w:val="0"/>
      <w:marTop w:val="0"/>
      <w:marBottom w:val="0"/>
      <w:divBdr>
        <w:top w:val="none" w:sz="0" w:space="0" w:color="auto"/>
        <w:left w:val="none" w:sz="0" w:space="0" w:color="auto"/>
        <w:bottom w:val="none" w:sz="0" w:space="0" w:color="auto"/>
        <w:right w:val="none" w:sz="0" w:space="0" w:color="auto"/>
      </w:divBdr>
    </w:div>
    <w:div w:id="1372343375">
      <w:bodyDiv w:val="1"/>
      <w:marLeft w:val="0"/>
      <w:marRight w:val="0"/>
      <w:marTop w:val="0"/>
      <w:marBottom w:val="0"/>
      <w:divBdr>
        <w:top w:val="none" w:sz="0" w:space="0" w:color="auto"/>
        <w:left w:val="none" w:sz="0" w:space="0" w:color="auto"/>
        <w:bottom w:val="none" w:sz="0" w:space="0" w:color="auto"/>
        <w:right w:val="none" w:sz="0" w:space="0" w:color="auto"/>
      </w:divBdr>
    </w:div>
    <w:div w:id="1372999596">
      <w:bodyDiv w:val="1"/>
      <w:marLeft w:val="0"/>
      <w:marRight w:val="0"/>
      <w:marTop w:val="0"/>
      <w:marBottom w:val="0"/>
      <w:divBdr>
        <w:top w:val="none" w:sz="0" w:space="0" w:color="auto"/>
        <w:left w:val="none" w:sz="0" w:space="0" w:color="auto"/>
        <w:bottom w:val="none" w:sz="0" w:space="0" w:color="auto"/>
        <w:right w:val="none" w:sz="0" w:space="0" w:color="auto"/>
      </w:divBdr>
    </w:div>
    <w:div w:id="1380011118">
      <w:bodyDiv w:val="1"/>
      <w:marLeft w:val="0"/>
      <w:marRight w:val="0"/>
      <w:marTop w:val="0"/>
      <w:marBottom w:val="0"/>
      <w:divBdr>
        <w:top w:val="none" w:sz="0" w:space="0" w:color="auto"/>
        <w:left w:val="none" w:sz="0" w:space="0" w:color="auto"/>
        <w:bottom w:val="none" w:sz="0" w:space="0" w:color="auto"/>
        <w:right w:val="none" w:sz="0" w:space="0" w:color="auto"/>
      </w:divBdr>
    </w:div>
    <w:div w:id="1380663571">
      <w:bodyDiv w:val="1"/>
      <w:marLeft w:val="0"/>
      <w:marRight w:val="0"/>
      <w:marTop w:val="0"/>
      <w:marBottom w:val="0"/>
      <w:divBdr>
        <w:top w:val="none" w:sz="0" w:space="0" w:color="auto"/>
        <w:left w:val="none" w:sz="0" w:space="0" w:color="auto"/>
        <w:bottom w:val="none" w:sz="0" w:space="0" w:color="auto"/>
        <w:right w:val="none" w:sz="0" w:space="0" w:color="auto"/>
      </w:divBdr>
    </w:div>
    <w:div w:id="1383871621">
      <w:bodyDiv w:val="1"/>
      <w:marLeft w:val="0"/>
      <w:marRight w:val="0"/>
      <w:marTop w:val="0"/>
      <w:marBottom w:val="0"/>
      <w:divBdr>
        <w:top w:val="none" w:sz="0" w:space="0" w:color="auto"/>
        <w:left w:val="none" w:sz="0" w:space="0" w:color="auto"/>
        <w:bottom w:val="none" w:sz="0" w:space="0" w:color="auto"/>
        <w:right w:val="none" w:sz="0" w:space="0" w:color="auto"/>
      </w:divBdr>
    </w:div>
    <w:div w:id="1384601374">
      <w:bodyDiv w:val="1"/>
      <w:marLeft w:val="0"/>
      <w:marRight w:val="0"/>
      <w:marTop w:val="0"/>
      <w:marBottom w:val="0"/>
      <w:divBdr>
        <w:top w:val="none" w:sz="0" w:space="0" w:color="auto"/>
        <w:left w:val="none" w:sz="0" w:space="0" w:color="auto"/>
        <w:bottom w:val="none" w:sz="0" w:space="0" w:color="auto"/>
        <w:right w:val="none" w:sz="0" w:space="0" w:color="auto"/>
      </w:divBdr>
    </w:div>
    <w:div w:id="1388335520">
      <w:bodyDiv w:val="1"/>
      <w:marLeft w:val="0"/>
      <w:marRight w:val="0"/>
      <w:marTop w:val="0"/>
      <w:marBottom w:val="0"/>
      <w:divBdr>
        <w:top w:val="none" w:sz="0" w:space="0" w:color="auto"/>
        <w:left w:val="none" w:sz="0" w:space="0" w:color="auto"/>
        <w:bottom w:val="none" w:sz="0" w:space="0" w:color="auto"/>
        <w:right w:val="none" w:sz="0" w:space="0" w:color="auto"/>
      </w:divBdr>
    </w:div>
    <w:div w:id="1388648734">
      <w:bodyDiv w:val="1"/>
      <w:marLeft w:val="0"/>
      <w:marRight w:val="0"/>
      <w:marTop w:val="0"/>
      <w:marBottom w:val="0"/>
      <w:divBdr>
        <w:top w:val="none" w:sz="0" w:space="0" w:color="auto"/>
        <w:left w:val="none" w:sz="0" w:space="0" w:color="auto"/>
        <w:bottom w:val="none" w:sz="0" w:space="0" w:color="auto"/>
        <w:right w:val="none" w:sz="0" w:space="0" w:color="auto"/>
      </w:divBdr>
    </w:div>
    <w:div w:id="1392457426">
      <w:bodyDiv w:val="1"/>
      <w:marLeft w:val="0"/>
      <w:marRight w:val="0"/>
      <w:marTop w:val="0"/>
      <w:marBottom w:val="0"/>
      <w:divBdr>
        <w:top w:val="none" w:sz="0" w:space="0" w:color="auto"/>
        <w:left w:val="none" w:sz="0" w:space="0" w:color="auto"/>
        <w:bottom w:val="none" w:sz="0" w:space="0" w:color="auto"/>
        <w:right w:val="none" w:sz="0" w:space="0" w:color="auto"/>
      </w:divBdr>
    </w:div>
    <w:div w:id="1395348657">
      <w:bodyDiv w:val="1"/>
      <w:marLeft w:val="0"/>
      <w:marRight w:val="0"/>
      <w:marTop w:val="0"/>
      <w:marBottom w:val="0"/>
      <w:divBdr>
        <w:top w:val="none" w:sz="0" w:space="0" w:color="auto"/>
        <w:left w:val="none" w:sz="0" w:space="0" w:color="auto"/>
        <w:bottom w:val="none" w:sz="0" w:space="0" w:color="auto"/>
        <w:right w:val="none" w:sz="0" w:space="0" w:color="auto"/>
      </w:divBdr>
    </w:div>
    <w:div w:id="1398548059">
      <w:bodyDiv w:val="1"/>
      <w:marLeft w:val="0"/>
      <w:marRight w:val="0"/>
      <w:marTop w:val="0"/>
      <w:marBottom w:val="0"/>
      <w:divBdr>
        <w:top w:val="none" w:sz="0" w:space="0" w:color="auto"/>
        <w:left w:val="none" w:sz="0" w:space="0" w:color="auto"/>
        <w:bottom w:val="none" w:sz="0" w:space="0" w:color="auto"/>
        <w:right w:val="none" w:sz="0" w:space="0" w:color="auto"/>
      </w:divBdr>
    </w:div>
    <w:div w:id="1402559536">
      <w:bodyDiv w:val="1"/>
      <w:marLeft w:val="0"/>
      <w:marRight w:val="0"/>
      <w:marTop w:val="0"/>
      <w:marBottom w:val="0"/>
      <w:divBdr>
        <w:top w:val="none" w:sz="0" w:space="0" w:color="auto"/>
        <w:left w:val="none" w:sz="0" w:space="0" w:color="auto"/>
        <w:bottom w:val="none" w:sz="0" w:space="0" w:color="auto"/>
        <w:right w:val="none" w:sz="0" w:space="0" w:color="auto"/>
      </w:divBdr>
    </w:div>
    <w:div w:id="1403285727">
      <w:bodyDiv w:val="1"/>
      <w:marLeft w:val="0"/>
      <w:marRight w:val="0"/>
      <w:marTop w:val="0"/>
      <w:marBottom w:val="0"/>
      <w:divBdr>
        <w:top w:val="none" w:sz="0" w:space="0" w:color="auto"/>
        <w:left w:val="none" w:sz="0" w:space="0" w:color="auto"/>
        <w:bottom w:val="none" w:sz="0" w:space="0" w:color="auto"/>
        <w:right w:val="none" w:sz="0" w:space="0" w:color="auto"/>
      </w:divBdr>
    </w:div>
    <w:div w:id="1404915097">
      <w:bodyDiv w:val="1"/>
      <w:marLeft w:val="0"/>
      <w:marRight w:val="0"/>
      <w:marTop w:val="0"/>
      <w:marBottom w:val="0"/>
      <w:divBdr>
        <w:top w:val="none" w:sz="0" w:space="0" w:color="auto"/>
        <w:left w:val="none" w:sz="0" w:space="0" w:color="auto"/>
        <w:bottom w:val="none" w:sz="0" w:space="0" w:color="auto"/>
        <w:right w:val="none" w:sz="0" w:space="0" w:color="auto"/>
      </w:divBdr>
    </w:div>
    <w:div w:id="1408383771">
      <w:bodyDiv w:val="1"/>
      <w:marLeft w:val="0"/>
      <w:marRight w:val="0"/>
      <w:marTop w:val="0"/>
      <w:marBottom w:val="0"/>
      <w:divBdr>
        <w:top w:val="none" w:sz="0" w:space="0" w:color="auto"/>
        <w:left w:val="none" w:sz="0" w:space="0" w:color="auto"/>
        <w:bottom w:val="none" w:sz="0" w:space="0" w:color="auto"/>
        <w:right w:val="none" w:sz="0" w:space="0" w:color="auto"/>
      </w:divBdr>
    </w:div>
    <w:div w:id="1408725067">
      <w:bodyDiv w:val="1"/>
      <w:marLeft w:val="0"/>
      <w:marRight w:val="0"/>
      <w:marTop w:val="0"/>
      <w:marBottom w:val="0"/>
      <w:divBdr>
        <w:top w:val="none" w:sz="0" w:space="0" w:color="auto"/>
        <w:left w:val="none" w:sz="0" w:space="0" w:color="auto"/>
        <w:bottom w:val="none" w:sz="0" w:space="0" w:color="auto"/>
        <w:right w:val="none" w:sz="0" w:space="0" w:color="auto"/>
      </w:divBdr>
    </w:div>
    <w:div w:id="1409423585">
      <w:bodyDiv w:val="1"/>
      <w:marLeft w:val="0"/>
      <w:marRight w:val="0"/>
      <w:marTop w:val="0"/>
      <w:marBottom w:val="0"/>
      <w:divBdr>
        <w:top w:val="none" w:sz="0" w:space="0" w:color="auto"/>
        <w:left w:val="none" w:sz="0" w:space="0" w:color="auto"/>
        <w:bottom w:val="none" w:sz="0" w:space="0" w:color="auto"/>
        <w:right w:val="none" w:sz="0" w:space="0" w:color="auto"/>
      </w:divBdr>
    </w:div>
    <w:div w:id="1409694328">
      <w:bodyDiv w:val="1"/>
      <w:marLeft w:val="0"/>
      <w:marRight w:val="0"/>
      <w:marTop w:val="0"/>
      <w:marBottom w:val="0"/>
      <w:divBdr>
        <w:top w:val="none" w:sz="0" w:space="0" w:color="auto"/>
        <w:left w:val="none" w:sz="0" w:space="0" w:color="auto"/>
        <w:bottom w:val="none" w:sz="0" w:space="0" w:color="auto"/>
        <w:right w:val="none" w:sz="0" w:space="0" w:color="auto"/>
      </w:divBdr>
    </w:div>
    <w:div w:id="1410273940">
      <w:bodyDiv w:val="1"/>
      <w:marLeft w:val="0"/>
      <w:marRight w:val="0"/>
      <w:marTop w:val="0"/>
      <w:marBottom w:val="0"/>
      <w:divBdr>
        <w:top w:val="none" w:sz="0" w:space="0" w:color="auto"/>
        <w:left w:val="none" w:sz="0" w:space="0" w:color="auto"/>
        <w:bottom w:val="none" w:sz="0" w:space="0" w:color="auto"/>
        <w:right w:val="none" w:sz="0" w:space="0" w:color="auto"/>
      </w:divBdr>
    </w:div>
    <w:div w:id="1412659768">
      <w:bodyDiv w:val="1"/>
      <w:marLeft w:val="0"/>
      <w:marRight w:val="0"/>
      <w:marTop w:val="0"/>
      <w:marBottom w:val="0"/>
      <w:divBdr>
        <w:top w:val="none" w:sz="0" w:space="0" w:color="auto"/>
        <w:left w:val="none" w:sz="0" w:space="0" w:color="auto"/>
        <w:bottom w:val="none" w:sz="0" w:space="0" w:color="auto"/>
        <w:right w:val="none" w:sz="0" w:space="0" w:color="auto"/>
      </w:divBdr>
    </w:div>
    <w:div w:id="1413090224">
      <w:bodyDiv w:val="1"/>
      <w:marLeft w:val="0"/>
      <w:marRight w:val="0"/>
      <w:marTop w:val="0"/>
      <w:marBottom w:val="0"/>
      <w:divBdr>
        <w:top w:val="none" w:sz="0" w:space="0" w:color="auto"/>
        <w:left w:val="none" w:sz="0" w:space="0" w:color="auto"/>
        <w:bottom w:val="none" w:sz="0" w:space="0" w:color="auto"/>
        <w:right w:val="none" w:sz="0" w:space="0" w:color="auto"/>
      </w:divBdr>
    </w:div>
    <w:div w:id="1414156215">
      <w:bodyDiv w:val="1"/>
      <w:marLeft w:val="0"/>
      <w:marRight w:val="0"/>
      <w:marTop w:val="0"/>
      <w:marBottom w:val="0"/>
      <w:divBdr>
        <w:top w:val="none" w:sz="0" w:space="0" w:color="auto"/>
        <w:left w:val="none" w:sz="0" w:space="0" w:color="auto"/>
        <w:bottom w:val="none" w:sz="0" w:space="0" w:color="auto"/>
        <w:right w:val="none" w:sz="0" w:space="0" w:color="auto"/>
      </w:divBdr>
    </w:div>
    <w:div w:id="1416323116">
      <w:bodyDiv w:val="1"/>
      <w:marLeft w:val="0"/>
      <w:marRight w:val="0"/>
      <w:marTop w:val="0"/>
      <w:marBottom w:val="0"/>
      <w:divBdr>
        <w:top w:val="none" w:sz="0" w:space="0" w:color="auto"/>
        <w:left w:val="none" w:sz="0" w:space="0" w:color="auto"/>
        <w:bottom w:val="none" w:sz="0" w:space="0" w:color="auto"/>
        <w:right w:val="none" w:sz="0" w:space="0" w:color="auto"/>
      </w:divBdr>
    </w:div>
    <w:div w:id="1416441028">
      <w:bodyDiv w:val="1"/>
      <w:marLeft w:val="0"/>
      <w:marRight w:val="0"/>
      <w:marTop w:val="0"/>
      <w:marBottom w:val="0"/>
      <w:divBdr>
        <w:top w:val="none" w:sz="0" w:space="0" w:color="auto"/>
        <w:left w:val="none" w:sz="0" w:space="0" w:color="auto"/>
        <w:bottom w:val="none" w:sz="0" w:space="0" w:color="auto"/>
        <w:right w:val="none" w:sz="0" w:space="0" w:color="auto"/>
      </w:divBdr>
    </w:div>
    <w:div w:id="1416442393">
      <w:bodyDiv w:val="1"/>
      <w:marLeft w:val="0"/>
      <w:marRight w:val="0"/>
      <w:marTop w:val="0"/>
      <w:marBottom w:val="0"/>
      <w:divBdr>
        <w:top w:val="none" w:sz="0" w:space="0" w:color="auto"/>
        <w:left w:val="none" w:sz="0" w:space="0" w:color="auto"/>
        <w:bottom w:val="none" w:sz="0" w:space="0" w:color="auto"/>
        <w:right w:val="none" w:sz="0" w:space="0" w:color="auto"/>
      </w:divBdr>
    </w:div>
    <w:div w:id="1418289965">
      <w:bodyDiv w:val="1"/>
      <w:marLeft w:val="0"/>
      <w:marRight w:val="0"/>
      <w:marTop w:val="0"/>
      <w:marBottom w:val="0"/>
      <w:divBdr>
        <w:top w:val="none" w:sz="0" w:space="0" w:color="auto"/>
        <w:left w:val="none" w:sz="0" w:space="0" w:color="auto"/>
        <w:bottom w:val="none" w:sz="0" w:space="0" w:color="auto"/>
        <w:right w:val="none" w:sz="0" w:space="0" w:color="auto"/>
      </w:divBdr>
    </w:div>
    <w:div w:id="1419404199">
      <w:bodyDiv w:val="1"/>
      <w:marLeft w:val="0"/>
      <w:marRight w:val="0"/>
      <w:marTop w:val="0"/>
      <w:marBottom w:val="0"/>
      <w:divBdr>
        <w:top w:val="none" w:sz="0" w:space="0" w:color="auto"/>
        <w:left w:val="none" w:sz="0" w:space="0" w:color="auto"/>
        <w:bottom w:val="none" w:sz="0" w:space="0" w:color="auto"/>
        <w:right w:val="none" w:sz="0" w:space="0" w:color="auto"/>
      </w:divBdr>
    </w:div>
    <w:div w:id="1419793177">
      <w:bodyDiv w:val="1"/>
      <w:marLeft w:val="0"/>
      <w:marRight w:val="0"/>
      <w:marTop w:val="0"/>
      <w:marBottom w:val="0"/>
      <w:divBdr>
        <w:top w:val="none" w:sz="0" w:space="0" w:color="auto"/>
        <w:left w:val="none" w:sz="0" w:space="0" w:color="auto"/>
        <w:bottom w:val="none" w:sz="0" w:space="0" w:color="auto"/>
        <w:right w:val="none" w:sz="0" w:space="0" w:color="auto"/>
      </w:divBdr>
    </w:div>
    <w:div w:id="1420564127">
      <w:bodyDiv w:val="1"/>
      <w:marLeft w:val="0"/>
      <w:marRight w:val="0"/>
      <w:marTop w:val="0"/>
      <w:marBottom w:val="0"/>
      <w:divBdr>
        <w:top w:val="none" w:sz="0" w:space="0" w:color="auto"/>
        <w:left w:val="none" w:sz="0" w:space="0" w:color="auto"/>
        <w:bottom w:val="none" w:sz="0" w:space="0" w:color="auto"/>
        <w:right w:val="none" w:sz="0" w:space="0" w:color="auto"/>
      </w:divBdr>
    </w:div>
    <w:div w:id="1420904018">
      <w:bodyDiv w:val="1"/>
      <w:marLeft w:val="0"/>
      <w:marRight w:val="0"/>
      <w:marTop w:val="0"/>
      <w:marBottom w:val="0"/>
      <w:divBdr>
        <w:top w:val="none" w:sz="0" w:space="0" w:color="auto"/>
        <w:left w:val="none" w:sz="0" w:space="0" w:color="auto"/>
        <w:bottom w:val="none" w:sz="0" w:space="0" w:color="auto"/>
        <w:right w:val="none" w:sz="0" w:space="0" w:color="auto"/>
      </w:divBdr>
    </w:div>
    <w:div w:id="1423139869">
      <w:bodyDiv w:val="1"/>
      <w:marLeft w:val="0"/>
      <w:marRight w:val="0"/>
      <w:marTop w:val="0"/>
      <w:marBottom w:val="0"/>
      <w:divBdr>
        <w:top w:val="none" w:sz="0" w:space="0" w:color="auto"/>
        <w:left w:val="none" w:sz="0" w:space="0" w:color="auto"/>
        <w:bottom w:val="none" w:sz="0" w:space="0" w:color="auto"/>
        <w:right w:val="none" w:sz="0" w:space="0" w:color="auto"/>
      </w:divBdr>
    </w:div>
    <w:div w:id="1424450956">
      <w:bodyDiv w:val="1"/>
      <w:marLeft w:val="0"/>
      <w:marRight w:val="0"/>
      <w:marTop w:val="0"/>
      <w:marBottom w:val="0"/>
      <w:divBdr>
        <w:top w:val="none" w:sz="0" w:space="0" w:color="auto"/>
        <w:left w:val="none" w:sz="0" w:space="0" w:color="auto"/>
        <w:bottom w:val="none" w:sz="0" w:space="0" w:color="auto"/>
        <w:right w:val="none" w:sz="0" w:space="0" w:color="auto"/>
      </w:divBdr>
    </w:div>
    <w:div w:id="1425807590">
      <w:bodyDiv w:val="1"/>
      <w:marLeft w:val="0"/>
      <w:marRight w:val="0"/>
      <w:marTop w:val="0"/>
      <w:marBottom w:val="0"/>
      <w:divBdr>
        <w:top w:val="none" w:sz="0" w:space="0" w:color="auto"/>
        <w:left w:val="none" w:sz="0" w:space="0" w:color="auto"/>
        <w:bottom w:val="none" w:sz="0" w:space="0" w:color="auto"/>
        <w:right w:val="none" w:sz="0" w:space="0" w:color="auto"/>
      </w:divBdr>
    </w:div>
    <w:div w:id="1436051677">
      <w:bodyDiv w:val="1"/>
      <w:marLeft w:val="0"/>
      <w:marRight w:val="0"/>
      <w:marTop w:val="0"/>
      <w:marBottom w:val="0"/>
      <w:divBdr>
        <w:top w:val="none" w:sz="0" w:space="0" w:color="auto"/>
        <w:left w:val="none" w:sz="0" w:space="0" w:color="auto"/>
        <w:bottom w:val="none" w:sz="0" w:space="0" w:color="auto"/>
        <w:right w:val="none" w:sz="0" w:space="0" w:color="auto"/>
      </w:divBdr>
    </w:div>
    <w:div w:id="1444618852">
      <w:bodyDiv w:val="1"/>
      <w:marLeft w:val="0"/>
      <w:marRight w:val="0"/>
      <w:marTop w:val="0"/>
      <w:marBottom w:val="0"/>
      <w:divBdr>
        <w:top w:val="none" w:sz="0" w:space="0" w:color="auto"/>
        <w:left w:val="none" w:sz="0" w:space="0" w:color="auto"/>
        <w:bottom w:val="none" w:sz="0" w:space="0" w:color="auto"/>
        <w:right w:val="none" w:sz="0" w:space="0" w:color="auto"/>
      </w:divBdr>
    </w:div>
    <w:div w:id="1446659953">
      <w:bodyDiv w:val="1"/>
      <w:marLeft w:val="0"/>
      <w:marRight w:val="0"/>
      <w:marTop w:val="0"/>
      <w:marBottom w:val="0"/>
      <w:divBdr>
        <w:top w:val="none" w:sz="0" w:space="0" w:color="auto"/>
        <w:left w:val="none" w:sz="0" w:space="0" w:color="auto"/>
        <w:bottom w:val="none" w:sz="0" w:space="0" w:color="auto"/>
        <w:right w:val="none" w:sz="0" w:space="0" w:color="auto"/>
      </w:divBdr>
    </w:div>
    <w:div w:id="1446925214">
      <w:bodyDiv w:val="1"/>
      <w:marLeft w:val="0"/>
      <w:marRight w:val="0"/>
      <w:marTop w:val="0"/>
      <w:marBottom w:val="0"/>
      <w:divBdr>
        <w:top w:val="none" w:sz="0" w:space="0" w:color="auto"/>
        <w:left w:val="none" w:sz="0" w:space="0" w:color="auto"/>
        <w:bottom w:val="none" w:sz="0" w:space="0" w:color="auto"/>
        <w:right w:val="none" w:sz="0" w:space="0" w:color="auto"/>
      </w:divBdr>
    </w:div>
    <w:div w:id="1452869095">
      <w:bodyDiv w:val="1"/>
      <w:marLeft w:val="0"/>
      <w:marRight w:val="0"/>
      <w:marTop w:val="0"/>
      <w:marBottom w:val="0"/>
      <w:divBdr>
        <w:top w:val="none" w:sz="0" w:space="0" w:color="auto"/>
        <w:left w:val="none" w:sz="0" w:space="0" w:color="auto"/>
        <w:bottom w:val="none" w:sz="0" w:space="0" w:color="auto"/>
        <w:right w:val="none" w:sz="0" w:space="0" w:color="auto"/>
      </w:divBdr>
    </w:div>
    <w:div w:id="1462074008">
      <w:bodyDiv w:val="1"/>
      <w:marLeft w:val="0"/>
      <w:marRight w:val="0"/>
      <w:marTop w:val="0"/>
      <w:marBottom w:val="0"/>
      <w:divBdr>
        <w:top w:val="none" w:sz="0" w:space="0" w:color="auto"/>
        <w:left w:val="none" w:sz="0" w:space="0" w:color="auto"/>
        <w:bottom w:val="none" w:sz="0" w:space="0" w:color="auto"/>
        <w:right w:val="none" w:sz="0" w:space="0" w:color="auto"/>
      </w:divBdr>
    </w:div>
    <w:div w:id="1468473249">
      <w:bodyDiv w:val="1"/>
      <w:marLeft w:val="0"/>
      <w:marRight w:val="0"/>
      <w:marTop w:val="0"/>
      <w:marBottom w:val="0"/>
      <w:divBdr>
        <w:top w:val="none" w:sz="0" w:space="0" w:color="auto"/>
        <w:left w:val="none" w:sz="0" w:space="0" w:color="auto"/>
        <w:bottom w:val="none" w:sz="0" w:space="0" w:color="auto"/>
        <w:right w:val="none" w:sz="0" w:space="0" w:color="auto"/>
      </w:divBdr>
    </w:div>
    <w:div w:id="1472598006">
      <w:bodyDiv w:val="1"/>
      <w:marLeft w:val="0"/>
      <w:marRight w:val="0"/>
      <w:marTop w:val="0"/>
      <w:marBottom w:val="0"/>
      <w:divBdr>
        <w:top w:val="none" w:sz="0" w:space="0" w:color="auto"/>
        <w:left w:val="none" w:sz="0" w:space="0" w:color="auto"/>
        <w:bottom w:val="none" w:sz="0" w:space="0" w:color="auto"/>
        <w:right w:val="none" w:sz="0" w:space="0" w:color="auto"/>
      </w:divBdr>
    </w:div>
    <w:div w:id="1476726351">
      <w:bodyDiv w:val="1"/>
      <w:marLeft w:val="0"/>
      <w:marRight w:val="0"/>
      <w:marTop w:val="0"/>
      <w:marBottom w:val="0"/>
      <w:divBdr>
        <w:top w:val="none" w:sz="0" w:space="0" w:color="auto"/>
        <w:left w:val="none" w:sz="0" w:space="0" w:color="auto"/>
        <w:bottom w:val="none" w:sz="0" w:space="0" w:color="auto"/>
        <w:right w:val="none" w:sz="0" w:space="0" w:color="auto"/>
      </w:divBdr>
    </w:div>
    <w:div w:id="1481845622">
      <w:bodyDiv w:val="1"/>
      <w:marLeft w:val="0"/>
      <w:marRight w:val="0"/>
      <w:marTop w:val="0"/>
      <w:marBottom w:val="0"/>
      <w:divBdr>
        <w:top w:val="none" w:sz="0" w:space="0" w:color="auto"/>
        <w:left w:val="none" w:sz="0" w:space="0" w:color="auto"/>
        <w:bottom w:val="none" w:sz="0" w:space="0" w:color="auto"/>
        <w:right w:val="none" w:sz="0" w:space="0" w:color="auto"/>
      </w:divBdr>
    </w:div>
    <w:div w:id="1484397193">
      <w:bodyDiv w:val="1"/>
      <w:marLeft w:val="0"/>
      <w:marRight w:val="0"/>
      <w:marTop w:val="0"/>
      <w:marBottom w:val="0"/>
      <w:divBdr>
        <w:top w:val="none" w:sz="0" w:space="0" w:color="auto"/>
        <w:left w:val="none" w:sz="0" w:space="0" w:color="auto"/>
        <w:bottom w:val="none" w:sz="0" w:space="0" w:color="auto"/>
        <w:right w:val="none" w:sz="0" w:space="0" w:color="auto"/>
      </w:divBdr>
    </w:div>
    <w:div w:id="1484736867">
      <w:bodyDiv w:val="1"/>
      <w:marLeft w:val="0"/>
      <w:marRight w:val="0"/>
      <w:marTop w:val="0"/>
      <w:marBottom w:val="0"/>
      <w:divBdr>
        <w:top w:val="none" w:sz="0" w:space="0" w:color="auto"/>
        <w:left w:val="none" w:sz="0" w:space="0" w:color="auto"/>
        <w:bottom w:val="none" w:sz="0" w:space="0" w:color="auto"/>
        <w:right w:val="none" w:sz="0" w:space="0" w:color="auto"/>
      </w:divBdr>
    </w:div>
    <w:div w:id="1485506139">
      <w:bodyDiv w:val="1"/>
      <w:marLeft w:val="0"/>
      <w:marRight w:val="0"/>
      <w:marTop w:val="0"/>
      <w:marBottom w:val="0"/>
      <w:divBdr>
        <w:top w:val="none" w:sz="0" w:space="0" w:color="auto"/>
        <w:left w:val="none" w:sz="0" w:space="0" w:color="auto"/>
        <w:bottom w:val="none" w:sz="0" w:space="0" w:color="auto"/>
        <w:right w:val="none" w:sz="0" w:space="0" w:color="auto"/>
      </w:divBdr>
    </w:div>
    <w:div w:id="1485856811">
      <w:bodyDiv w:val="1"/>
      <w:marLeft w:val="0"/>
      <w:marRight w:val="0"/>
      <w:marTop w:val="0"/>
      <w:marBottom w:val="0"/>
      <w:divBdr>
        <w:top w:val="none" w:sz="0" w:space="0" w:color="auto"/>
        <w:left w:val="none" w:sz="0" w:space="0" w:color="auto"/>
        <w:bottom w:val="none" w:sz="0" w:space="0" w:color="auto"/>
        <w:right w:val="none" w:sz="0" w:space="0" w:color="auto"/>
      </w:divBdr>
    </w:div>
    <w:div w:id="1486120854">
      <w:bodyDiv w:val="1"/>
      <w:marLeft w:val="0"/>
      <w:marRight w:val="0"/>
      <w:marTop w:val="0"/>
      <w:marBottom w:val="0"/>
      <w:divBdr>
        <w:top w:val="none" w:sz="0" w:space="0" w:color="auto"/>
        <w:left w:val="none" w:sz="0" w:space="0" w:color="auto"/>
        <w:bottom w:val="none" w:sz="0" w:space="0" w:color="auto"/>
        <w:right w:val="none" w:sz="0" w:space="0" w:color="auto"/>
      </w:divBdr>
    </w:div>
    <w:div w:id="1487436514">
      <w:bodyDiv w:val="1"/>
      <w:marLeft w:val="0"/>
      <w:marRight w:val="0"/>
      <w:marTop w:val="0"/>
      <w:marBottom w:val="0"/>
      <w:divBdr>
        <w:top w:val="none" w:sz="0" w:space="0" w:color="auto"/>
        <w:left w:val="none" w:sz="0" w:space="0" w:color="auto"/>
        <w:bottom w:val="none" w:sz="0" w:space="0" w:color="auto"/>
        <w:right w:val="none" w:sz="0" w:space="0" w:color="auto"/>
      </w:divBdr>
    </w:div>
    <w:div w:id="1488328564">
      <w:bodyDiv w:val="1"/>
      <w:marLeft w:val="0"/>
      <w:marRight w:val="0"/>
      <w:marTop w:val="0"/>
      <w:marBottom w:val="0"/>
      <w:divBdr>
        <w:top w:val="none" w:sz="0" w:space="0" w:color="auto"/>
        <w:left w:val="none" w:sz="0" w:space="0" w:color="auto"/>
        <w:bottom w:val="none" w:sz="0" w:space="0" w:color="auto"/>
        <w:right w:val="none" w:sz="0" w:space="0" w:color="auto"/>
      </w:divBdr>
    </w:div>
    <w:div w:id="1489594944">
      <w:bodyDiv w:val="1"/>
      <w:marLeft w:val="0"/>
      <w:marRight w:val="0"/>
      <w:marTop w:val="0"/>
      <w:marBottom w:val="0"/>
      <w:divBdr>
        <w:top w:val="none" w:sz="0" w:space="0" w:color="auto"/>
        <w:left w:val="none" w:sz="0" w:space="0" w:color="auto"/>
        <w:bottom w:val="none" w:sz="0" w:space="0" w:color="auto"/>
        <w:right w:val="none" w:sz="0" w:space="0" w:color="auto"/>
      </w:divBdr>
    </w:div>
    <w:div w:id="1490753179">
      <w:bodyDiv w:val="1"/>
      <w:marLeft w:val="0"/>
      <w:marRight w:val="0"/>
      <w:marTop w:val="0"/>
      <w:marBottom w:val="0"/>
      <w:divBdr>
        <w:top w:val="none" w:sz="0" w:space="0" w:color="auto"/>
        <w:left w:val="none" w:sz="0" w:space="0" w:color="auto"/>
        <w:bottom w:val="none" w:sz="0" w:space="0" w:color="auto"/>
        <w:right w:val="none" w:sz="0" w:space="0" w:color="auto"/>
      </w:divBdr>
    </w:div>
    <w:div w:id="1499688385">
      <w:bodyDiv w:val="1"/>
      <w:marLeft w:val="0"/>
      <w:marRight w:val="0"/>
      <w:marTop w:val="0"/>
      <w:marBottom w:val="0"/>
      <w:divBdr>
        <w:top w:val="none" w:sz="0" w:space="0" w:color="auto"/>
        <w:left w:val="none" w:sz="0" w:space="0" w:color="auto"/>
        <w:bottom w:val="none" w:sz="0" w:space="0" w:color="auto"/>
        <w:right w:val="none" w:sz="0" w:space="0" w:color="auto"/>
      </w:divBdr>
    </w:div>
    <w:div w:id="1505053816">
      <w:bodyDiv w:val="1"/>
      <w:marLeft w:val="0"/>
      <w:marRight w:val="0"/>
      <w:marTop w:val="0"/>
      <w:marBottom w:val="0"/>
      <w:divBdr>
        <w:top w:val="none" w:sz="0" w:space="0" w:color="auto"/>
        <w:left w:val="none" w:sz="0" w:space="0" w:color="auto"/>
        <w:bottom w:val="none" w:sz="0" w:space="0" w:color="auto"/>
        <w:right w:val="none" w:sz="0" w:space="0" w:color="auto"/>
      </w:divBdr>
    </w:div>
    <w:div w:id="1507473522">
      <w:bodyDiv w:val="1"/>
      <w:marLeft w:val="0"/>
      <w:marRight w:val="0"/>
      <w:marTop w:val="0"/>
      <w:marBottom w:val="0"/>
      <w:divBdr>
        <w:top w:val="none" w:sz="0" w:space="0" w:color="auto"/>
        <w:left w:val="none" w:sz="0" w:space="0" w:color="auto"/>
        <w:bottom w:val="none" w:sz="0" w:space="0" w:color="auto"/>
        <w:right w:val="none" w:sz="0" w:space="0" w:color="auto"/>
      </w:divBdr>
    </w:div>
    <w:div w:id="1508473794">
      <w:bodyDiv w:val="1"/>
      <w:marLeft w:val="0"/>
      <w:marRight w:val="0"/>
      <w:marTop w:val="0"/>
      <w:marBottom w:val="0"/>
      <w:divBdr>
        <w:top w:val="none" w:sz="0" w:space="0" w:color="auto"/>
        <w:left w:val="none" w:sz="0" w:space="0" w:color="auto"/>
        <w:bottom w:val="none" w:sz="0" w:space="0" w:color="auto"/>
        <w:right w:val="none" w:sz="0" w:space="0" w:color="auto"/>
      </w:divBdr>
    </w:div>
    <w:div w:id="1515343114">
      <w:bodyDiv w:val="1"/>
      <w:marLeft w:val="0"/>
      <w:marRight w:val="0"/>
      <w:marTop w:val="0"/>
      <w:marBottom w:val="0"/>
      <w:divBdr>
        <w:top w:val="none" w:sz="0" w:space="0" w:color="auto"/>
        <w:left w:val="none" w:sz="0" w:space="0" w:color="auto"/>
        <w:bottom w:val="none" w:sz="0" w:space="0" w:color="auto"/>
        <w:right w:val="none" w:sz="0" w:space="0" w:color="auto"/>
      </w:divBdr>
    </w:div>
    <w:div w:id="1518150828">
      <w:bodyDiv w:val="1"/>
      <w:marLeft w:val="0"/>
      <w:marRight w:val="0"/>
      <w:marTop w:val="0"/>
      <w:marBottom w:val="0"/>
      <w:divBdr>
        <w:top w:val="none" w:sz="0" w:space="0" w:color="auto"/>
        <w:left w:val="none" w:sz="0" w:space="0" w:color="auto"/>
        <w:bottom w:val="none" w:sz="0" w:space="0" w:color="auto"/>
        <w:right w:val="none" w:sz="0" w:space="0" w:color="auto"/>
      </w:divBdr>
    </w:div>
    <w:div w:id="1522082695">
      <w:bodyDiv w:val="1"/>
      <w:marLeft w:val="0"/>
      <w:marRight w:val="0"/>
      <w:marTop w:val="0"/>
      <w:marBottom w:val="0"/>
      <w:divBdr>
        <w:top w:val="none" w:sz="0" w:space="0" w:color="auto"/>
        <w:left w:val="none" w:sz="0" w:space="0" w:color="auto"/>
        <w:bottom w:val="none" w:sz="0" w:space="0" w:color="auto"/>
        <w:right w:val="none" w:sz="0" w:space="0" w:color="auto"/>
      </w:divBdr>
    </w:div>
    <w:div w:id="1522740696">
      <w:bodyDiv w:val="1"/>
      <w:marLeft w:val="0"/>
      <w:marRight w:val="0"/>
      <w:marTop w:val="0"/>
      <w:marBottom w:val="0"/>
      <w:divBdr>
        <w:top w:val="none" w:sz="0" w:space="0" w:color="auto"/>
        <w:left w:val="none" w:sz="0" w:space="0" w:color="auto"/>
        <w:bottom w:val="none" w:sz="0" w:space="0" w:color="auto"/>
        <w:right w:val="none" w:sz="0" w:space="0" w:color="auto"/>
      </w:divBdr>
    </w:div>
    <w:div w:id="1525169775">
      <w:bodyDiv w:val="1"/>
      <w:marLeft w:val="0"/>
      <w:marRight w:val="0"/>
      <w:marTop w:val="0"/>
      <w:marBottom w:val="0"/>
      <w:divBdr>
        <w:top w:val="none" w:sz="0" w:space="0" w:color="auto"/>
        <w:left w:val="none" w:sz="0" w:space="0" w:color="auto"/>
        <w:bottom w:val="none" w:sz="0" w:space="0" w:color="auto"/>
        <w:right w:val="none" w:sz="0" w:space="0" w:color="auto"/>
      </w:divBdr>
    </w:div>
    <w:div w:id="1527057702">
      <w:bodyDiv w:val="1"/>
      <w:marLeft w:val="0"/>
      <w:marRight w:val="0"/>
      <w:marTop w:val="0"/>
      <w:marBottom w:val="0"/>
      <w:divBdr>
        <w:top w:val="none" w:sz="0" w:space="0" w:color="auto"/>
        <w:left w:val="none" w:sz="0" w:space="0" w:color="auto"/>
        <w:bottom w:val="none" w:sz="0" w:space="0" w:color="auto"/>
        <w:right w:val="none" w:sz="0" w:space="0" w:color="auto"/>
      </w:divBdr>
    </w:div>
    <w:div w:id="1527521628">
      <w:bodyDiv w:val="1"/>
      <w:marLeft w:val="0"/>
      <w:marRight w:val="0"/>
      <w:marTop w:val="0"/>
      <w:marBottom w:val="0"/>
      <w:divBdr>
        <w:top w:val="none" w:sz="0" w:space="0" w:color="auto"/>
        <w:left w:val="none" w:sz="0" w:space="0" w:color="auto"/>
        <w:bottom w:val="none" w:sz="0" w:space="0" w:color="auto"/>
        <w:right w:val="none" w:sz="0" w:space="0" w:color="auto"/>
      </w:divBdr>
    </w:div>
    <w:div w:id="1528911185">
      <w:bodyDiv w:val="1"/>
      <w:marLeft w:val="0"/>
      <w:marRight w:val="0"/>
      <w:marTop w:val="0"/>
      <w:marBottom w:val="0"/>
      <w:divBdr>
        <w:top w:val="none" w:sz="0" w:space="0" w:color="auto"/>
        <w:left w:val="none" w:sz="0" w:space="0" w:color="auto"/>
        <w:bottom w:val="none" w:sz="0" w:space="0" w:color="auto"/>
        <w:right w:val="none" w:sz="0" w:space="0" w:color="auto"/>
      </w:divBdr>
    </w:div>
    <w:div w:id="1529836424">
      <w:bodyDiv w:val="1"/>
      <w:marLeft w:val="0"/>
      <w:marRight w:val="0"/>
      <w:marTop w:val="0"/>
      <w:marBottom w:val="0"/>
      <w:divBdr>
        <w:top w:val="none" w:sz="0" w:space="0" w:color="auto"/>
        <w:left w:val="none" w:sz="0" w:space="0" w:color="auto"/>
        <w:bottom w:val="none" w:sz="0" w:space="0" w:color="auto"/>
        <w:right w:val="none" w:sz="0" w:space="0" w:color="auto"/>
      </w:divBdr>
    </w:div>
    <w:div w:id="1533570425">
      <w:bodyDiv w:val="1"/>
      <w:marLeft w:val="0"/>
      <w:marRight w:val="0"/>
      <w:marTop w:val="0"/>
      <w:marBottom w:val="0"/>
      <w:divBdr>
        <w:top w:val="none" w:sz="0" w:space="0" w:color="auto"/>
        <w:left w:val="none" w:sz="0" w:space="0" w:color="auto"/>
        <w:bottom w:val="none" w:sz="0" w:space="0" w:color="auto"/>
        <w:right w:val="none" w:sz="0" w:space="0" w:color="auto"/>
      </w:divBdr>
    </w:div>
    <w:div w:id="1533615220">
      <w:bodyDiv w:val="1"/>
      <w:marLeft w:val="0"/>
      <w:marRight w:val="0"/>
      <w:marTop w:val="0"/>
      <w:marBottom w:val="0"/>
      <w:divBdr>
        <w:top w:val="none" w:sz="0" w:space="0" w:color="auto"/>
        <w:left w:val="none" w:sz="0" w:space="0" w:color="auto"/>
        <w:bottom w:val="none" w:sz="0" w:space="0" w:color="auto"/>
        <w:right w:val="none" w:sz="0" w:space="0" w:color="auto"/>
      </w:divBdr>
    </w:div>
    <w:div w:id="1537618668">
      <w:bodyDiv w:val="1"/>
      <w:marLeft w:val="0"/>
      <w:marRight w:val="0"/>
      <w:marTop w:val="0"/>
      <w:marBottom w:val="0"/>
      <w:divBdr>
        <w:top w:val="none" w:sz="0" w:space="0" w:color="auto"/>
        <w:left w:val="none" w:sz="0" w:space="0" w:color="auto"/>
        <w:bottom w:val="none" w:sz="0" w:space="0" w:color="auto"/>
        <w:right w:val="none" w:sz="0" w:space="0" w:color="auto"/>
      </w:divBdr>
    </w:div>
    <w:div w:id="1537890919">
      <w:bodyDiv w:val="1"/>
      <w:marLeft w:val="0"/>
      <w:marRight w:val="0"/>
      <w:marTop w:val="0"/>
      <w:marBottom w:val="0"/>
      <w:divBdr>
        <w:top w:val="none" w:sz="0" w:space="0" w:color="auto"/>
        <w:left w:val="none" w:sz="0" w:space="0" w:color="auto"/>
        <w:bottom w:val="none" w:sz="0" w:space="0" w:color="auto"/>
        <w:right w:val="none" w:sz="0" w:space="0" w:color="auto"/>
      </w:divBdr>
    </w:div>
    <w:div w:id="1538619399">
      <w:bodyDiv w:val="1"/>
      <w:marLeft w:val="0"/>
      <w:marRight w:val="0"/>
      <w:marTop w:val="0"/>
      <w:marBottom w:val="0"/>
      <w:divBdr>
        <w:top w:val="none" w:sz="0" w:space="0" w:color="auto"/>
        <w:left w:val="none" w:sz="0" w:space="0" w:color="auto"/>
        <w:bottom w:val="none" w:sz="0" w:space="0" w:color="auto"/>
        <w:right w:val="none" w:sz="0" w:space="0" w:color="auto"/>
      </w:divBdr>
    </w:div>
    <w:div w:id="1540431203">
      <w:bodyDiv w:val="1"/>
      <w:marLeft w:val="0"/>
      <w:marRight w:val="0"/>
      <w:marTop w:val="0"/>
      <w:marBottom w:val="0"/>
      <w:divBdr>
        <w:top w:val="none" w:sz="0" w:space="0" w:color="auto"/>
        <w:left w:val="none" w:sz="0" w:space="0" w:color="auto"/>
        <w:bottom w:val="none" w:sz="0" w:space="0" w:color="auto"/>
        <w:right w:val="none" w:sz="0" w:space="0" w:color="auto"/>
      </w:divBdr>
      <w:divsChild>
        <w:div w:id="343824083">
          <w:marLeft w:val="0"/>
          <w:marRight w:val="0"/>
          <w:marTop w:val="0"/>
          <w:marBottom w:val="0"/>
          <w:divBdr>
            <w:top w:val="none" w:sz="0" w:space="0" w:color="auto"/>
            <w:left w:val="none" w:sz="0" w:space="0" w:color="auto"/>
            <w:bottom w:val="none" w:sz="0" w:space="0" w:color="auto"/>
            <w:right w:val="none" w:sz="0" w:space="0" w:color="auto"/>
          </w:divBdr>
        </w:div>
        <w:div w:id="57364290">
          <w:marLeft w:val="0"/>
          <w:marRight w:val="0"/>
          <w:marTop w:val="0"/>
          <w:marBottom w:val="0"/>
          <w:divBdr>
            <w:top w:val="none" w:sz="0" w:space="0" w:color="auto"/>
            <w:left w:val="none" w:sz="0" w:space="0" w:color="auto"/>
            <w:bottom w:val="none" w:sz="0" w:space="0" w:color="auto"/>
            <w:right w:val="none" w:sz="0" w:space="0" w:color="auto"/>
          </w:divBdr>
        </w:div>
        <w:div w:id="1040738487">
          <w:marLeft w:val="0"/>
          <w:marRight w:val="0"/>
          <w:marTop w:val="0"/>
          <w:marBottom w:val="0"/>
          <w:divBdr>
            <w:top w:val="none" w:sz="0" w:space="0" w:color="auto"/>
            <w:left w:val="none" w:sz="0" w:space="0" w:color="auto"/>
            <w:bottom w:val="none" w:sz="0" w:space="0" w:color="auto"/>
            <w:right w:val="none" w:sz="0" w:space="0" w:color="auto"/>
          </w:divBdr>
        </w:div>
      </w:divsChild>
    </w:div>
    <w:div w:id="1546210678">
      <w:bodyDiv w:val="1"/>
      <w:marLeft w:val="0"/>
      <w:marRight w:val="0"/>
      <w:marTop w:val="0"/>
      <w:marBottom w:val="0"/>
      <w:divBdr>
        <w:top w:val="none" w:sz="0" w:space="0" w:color="auto"/>
        <w:left w:val="none" w:sz="0" w:space="0" w:color="auto"/>
        <w:bottom w:val="none" w:sz="0" w:space="0" w:color="auto"/>
        <w:right w:val="none" w:sz="0" w:space="0" w:color="auto"/>
      </w:divBdr>
    </w:div>
    <w:div w:id="1549225208">
      <w:bodyDiv w:val="1"/>
      <w:marLeft w:val="0"/>
      <w:marRight w:val="0"/>
      <w:marTop w:val="0"/>
      <w:marBottom w:val="0"/>
      <w:divBdr>
        <w:top w:val="none" w:sz="0" w:space="0" w:color="auto"/>
        <w:left w:val="none" w:sz="0" w:space="0" w:color="auto"/>
        <w:bottom w:val="none" w:sz="0" w:space="0" w:color="auto"/>
        <w:right w:val="none" w:sz="0" w:space="0" w:color="auto"/>
      </w:divBdr>
    </w:div>
    <w:div w:id="1549879757">
      <w:bodyDiv w:val="1"/>
      <w:marLeft w:val="0"/>
      <w:marRight w:val="0"/>
      <w:marTop w:val="0"/>
      <w:marBottom w:val="0"/>
      <w:divBdr>
        <w:top w:val="none" w:sz="0" w:space="0" w:color="auto"/>
        <w:left w:val="none" w:sz="0" w:space="0" w:color="auto"/>
        <w:bottom w:val="none" w:sz="0" w:space="0" w:color="auto"/>
        <w:right w:val="none" w:sz="0" w:space="0" w:color="auto"/>
      </w:divBdr>
    </w:div>
    <w:div w:id="1552033552">
      <w:bodyDiv w:val="1"/>
      <w:marLeft w:val="0"/>
      <w:marRight w:val="0"/>
      <w:marTop w:val="0"/>
      <w:marBottom w:val="0"/>
      <w:divBdr>
        <w:top w:val="none" w:sz="0" w:space="0" w:color="auto"/>
        <w:left w:val="none" w:sz="0" w:space="0" w:color="auto"/>
        <w:bottom w:val="none" w:sz="0" w:space="0" w:color="auto"/>
        <w:right w:val="none" w:sz="0" w:space="0" w:color="auto"/>
      </w:divBdr>
    </w:div>
    <w:div w:id="1562667055">
      <w:bodyDiv w:val="1"/>
      <w:marLeft w:val="0"/>
      <w:marRight w:val="0"/>
      <w:marTop w:val="0"/>
      <w:marBottom w:val="0"/>
      <w:divBdr>
        <w:top w:val="none" w:sz="0" w:space="0" w:color="auto"/>
        <w:left w:val="none" w:sz="0" w:space="0" w:color="auto"/>
        <w:bottom w:val="none" w:sz="0" w:space="0" w:color="auto"/>
        <w:right w:val="none" w:sz="0" w:space="0" w:color="auto"/>
      </w:divBdr>
    </w:div>
    <w:div w:id="1564753715">
      <w:bodyDiv w:val="1"/>
      <w:marLeft w:val="0"/>
      <w:marRight w:val="0"/>
      <w:marTop w:val="0"/>
      <w:marBottom w:val="0"/>
      <w:divBdr>
        <w:top w:val="none" w:sz="0" w:space="0" w:color="auto"/>
        <w:left w:val="none" w:sz="0" w:space="0" w:color="auto"/>
        <w:bottom w:val="none" w:sz="0" w:space="0" w:color="auto"/>
        <w:right w:val="none" w:sz="0" w:space="0" w:color="auto"/>
      </w:divBdr>
    </w:div>
    <w:div w:id="1565333060">
      <w:bodyDiv w:val="1"/>
      <w:marLeft w:val="0"/>
      <w:marRight w:val="0"/>
      <w:marTop w:val="0"/>
      <w:marBottom w:val="0"/>
      <w:divBdr>
        <w:top w:val="none" w:sz="0" w:space="0" w:color="auto"/>
        <w:left w:val="none" w:sz="0" w:space="0" w:color="auto"/>
        <w:bottom w:val="none" w:sz="0" w:space="0" w:color="auto"/>
        <w:right w:val="none" w:sz="0" w:space="0" w:color="auto"/>
      </w:divBdr>
    </w:div>
    <w:div w:id="1566794368">
      <w:bodyDiv w:val="1"/>
      <w:marLeft w:val="0"/>
      <w:marRight w:val="0"/>
      <w:marTop w:val="0"/>
      <w:marBottom w:val="0"/>
      <w:divBdr>
        <w:top w:val="none" w:sz="0" w:space="0" w:color="auto"/>
        <w:left w:val="none" w:sz="0" w:space="0" w:color="auto"/>
        <w:bottom w:val="none" w:sz="0" w:space="0" w:color="auto"/>
        <w:right w:val="none" w:sz="0" w:space="0" w:color="auto"/>
      </w:divBdr>
    </w:div>
    <w:div w:id="1570194144">
      <w:bodyDiv w:val="1"/>
      <w:marLeft w:val="0"/>
      <w:marRight w:val="0"/>
      <w:marTop w:val="0"/>
      <w:marBottom w:val="0"/>
      <w:divBdr>
        <w:top w:val="none" w:sz="0" w:space="0" w:color="auto"/>
        <w:left w:val="none" w:sz="0" w:space="0" w:color="auto"/>
        <w:bottom w:val="none" w:sz="0" w:space="0" w:color="auto"/>
        <w:right w:val="none" w:sz="0" w:space="0" w:color="auto"/>
      </w:divBdr>
    </w:div>
    <w:div w:id="1571308839">
      <w:bodyDiv w:val="1"/>
      <w:marLeft w:val="0"/>
      <w:marRight w:val="0"/>
      <w:marTop w:val="0"/>
      <w:marBottom w:val="0"/>
      <w:divBdr>
        <w:top w:val="none" w:sz="0" w:space="0" w:color="auto"/>
        <w:left w:val="none" w:sz="0" w:space="0" w:color="auto"/>
        <w:bottom w:val="none" w:sz="0" w:space="0" w:color="auto"/>
        <w:right w:val="none" w:sz="0" w:space="0" w:color="auto"/>
      </w:divBdr>
    </w:div>
    <w:div w:id="1571888893">
      <w:bodyDiv w:val="1"/>
      <w:marLeft w:val="0"/>
      <w:marRight w:val="0"/>
      <w:marTop w:val="0"/>
      <w:marBottom w:val="0"/>
      <w:divBdr>
        <w:top w:val="none" w:sz="0" w:space="0" w:color="auto"/>
        <w:left w:val="none" w:sz="0" w:space="0" w:color="auto"/>
        <w:bottom w:val="none" w:sz="0" w:space="0" w:color="auto"/>
        <w:right w:val="none" w:sz="0" w:space="0" w:color="auto"/>
      </w:divBdr>
    </w:div>
    <w:div w:id="1579484068">
      <w:bodyDiv w:val="1"/>
      <w:marLeft w:val="0"/>
      <w:marRight w:val="0"/>
      <w:marTop w:val="0"/>
      <w:marBottom w:val="0"/>
      <w:divBdr>
        <w:top w:val="none" w:sz="0" w:space="0" w:color="auto"/>
        <w:left w:val="none" w:sz="0" w:space="0" w:color="auto"/>
        <w:bottom w:val="none" w:sz="0" w:space="0" w:color="auto"/>
        <w:right w:val="none" w:sz="0" w:space="0" w:color="auto"/>
      </w:divBdr>
    </w:div>
    <w:div w:id="1580367718">
      <w:bodyDiv w:val="1"/>
      <w:marLeft w:val="0"/>
      <w:marRight w:val="0"/>
      <w:marTop w:val="0"/>
      <w:marBottom w:val="0"/>
      <w:divBdr>
        <w:top w:val="none" w:sz="0" w:space="0" w:color="auto"/>
        <w:left w:val="none" w:sz="0" w:space="0" w:color="auto"/>
        <w:bottom w:val="none" w:sz="0" w:space="0" w:color="auto"/>
        <w:right w:val="none" w:sz="0" w:space="0" w:color="auto"/>
      </w:divBdr>
    </w:div>
    <w:div w:id="1582252254">
      <w:bodyDiv w:val="1"/>
      <w:marLeft w:val="0"/>
      <w:marRight w:val="0"/>
      <w:marTop w:val="0"/>
      <w:marBottom w:val="0"/>
      <w:divBdr>
        <w:top w:val="none" w:sz="0" w:space="0" w:color="auto"/>
        <w:left w:val="none" w:sz="0" w:space="0" w:color="auto"/>
        <w:bottom w:val="none" w:sz="0" w:space="0" w:color="auto"/>
        <w:right w:val="none" w:sz="0" w:space="0" w:color="auto"/>
      </w:divBdr>
    </w:div>
    <w:div w:id="1583371052">
      <w:bodyDiv w:val="1"/>
      <w:marLeft w:val="0"/>
      <w:marRight w:val="0"/>
      <w:marTop w:val="0"/>
      <w:marBottom w:val="0"/>
      <w:divBdr>
        <w:top w:val="none" w:sz="0" w:space="0" w:color="auto"/>
        <w:left w:val="none" w:sz="0" w:space="0" w:color="auto"/>
        <w:bottom w:val="none" w:sz="0" w:space="0" w:color="auto"/>
        <w:right w:val="none" w:sz="0" w:space="0" w:color="auto"/>
      </w:divBdr>
    </w:div>
    <w:div w:id="1584030142">
      <w:bodyDiv w:val="1"/>
      <w:marLeft w:val="0"/>
      <w:marRight w:val="0"/>
      <w:marTop w:val="0"/>
      <w:marBottom w:val="0"/>
      <w:divBdr>
        <w:top w:val="none" w:sz="0" w:space="0" w:color="auto"/>
        <w:left w:val="none" w:sz="0" w:space="0" w:color="auto"/>
        <w:bottom w:val="none" w:sz="0" w:space="0" w:color="auto"/>
        <w:right w:val="none" w:sz="0" w:space="0" w:color="auto"/>
      </w:divBdr>
    </w:div>
    <w:div w:id="1587569033">
      <w:bodyDiv w:val="1"/>
      <w:marLeft w:val="0"/>
      <w:marRight w:val="0"/>
      <w:marTop w:val="0"/>
      <w:marBottom w:val="0"/>
      <w:divBdr>
        <w:top w:val="none" w:sz="0" w:space="0" w:color="auto"/>
        <w:left w:val="none" w:sz="0" w:space="0" w:color="auto"/>
        <w:bottom w:val="none" w:sz="0" w:space="0" w:color="auto"/>
        <w:right w:val="none" w:sz="0" w:space="0" w:color="auto"/>
      </w:divBdr>
    </w:div>
    <w:div w:id="1588615516">
      <w:bodyDiv w:val="1"/>
      <w:marLeft w:val="0"/>
      <w:marRight w:val="0"/>
      <w:marTop w:val="0"/>
      <w:marBottom w:val="0"/>
      <w:divBdr>
        <w:top w:val="none" w:sz="0" w:space="0" w:color="auto"/>
        <w:left w:val="none" w:sz="0" w:space="0" w:color="auto"/>
        <w:bottom w:val="none" w:sz="0" w:space="0" w:color="auto"/>
        <w:right w:val="none" w:sz="0" w:space="0" w:color="auto"/>
      </w:divBdr>
    </w:div>
    <w:div w:id="1588803211">
      <w:bodyDiv w:val="1"/>
      <w:marLeft w:val="0"/>
      <w:marRight w:val="0"/>
      <w:marTop w:val="0"/>
      <w:marBottom w:val="0"/>
      <w:divBdr>
        <w:top w:val="none" w:sz="0" w:space="0" w:color="auto"/>
        <w:left w:val="none" w:sz="0" w:space="0" w:color="auto"/>
        <w:bottom w:val="none" w:sz="0" w:space="0" w:color="auto"/>
        <w:right w:val="none" w:sz="0" w:space="0" w:color="auto"/>
      </w:divBdr>
    </w:div>
    <w:div w:id="1589728784">
      <w:bodyDiv w:val="1"/>
      <w:marLeft w:val="0"/>
      <w:marRight w:val="0"/>
      <w:marTop w:val="0"/>
      <w:marBottom w:val="0"/>
      <w:divBdr>
        <w:top w:val="none" w:sz="0" w:space="0" w:color="auto"/>
        <w:left w:val="none" w:sz="0" w:space="0" w:color="auto"/>
        <w:bottom w:val="none" w:sz="0" w:space="0" w:color="auto"/>
        <w:right w:val="none" w:sz="0" w:space="0" w:color="auto"/>
      </w:divBdr>
    </w:div>
    <w:div w:id="1592934920">
      <w:bodyDiv w:val="1"/>
      <w:marLeft w:val="0"/>
      <w:marRight w:val="0"/>
      <w:marTop w:val="0"/>
      <w:marBottom w:val="0"/>
      <w:divBdr>
        <w:top w:val="none" w:sz="0" w:space="0" w:color="auto"/>
        <w:left w:val="none" w:sz="0" w:space="0" w:color="auto"/>
        <w:bottom w:val="none" w:sz="0" w:space="0" w:color="auto"/>
        <w:right w:val="none" w:sz="0" w:space="0" w:color="auto"/>
      </w:divBdr>
    </w:div>
    <w:div w:id="1603680172">
      <w:bodyDiv w:val="1"/>
      <w:marLeft w:val="0"/>
      <w:marRight w:val="0"/>
      <w:marTop w:val="0"/>
      <w:marBottom w:val="0"/>
      <w:divBdr>
        <w:top w:val="none" w:sz="0" w:space="0" w:color="auto"/>
        <w:left w:val="none" w:sz="0" w:space="0" w:color="auto"/>
        <w:bottom w:val="none" w:sz="0" w:space="0" w:color="auto"/>
        <w:right w:val="none" w:sz="0" w:space="0" w:color="auto"/>
      </w:divBdr>
    </w:div>
    <w:div w:id="1603758274">
      <w:bodyDiv w:val="1"/>
      <w:marLeft w:val="0"/>
      <w:marRight w:val="0"/>
      <w:marTop w:val="0"/>
      <w:marBottom w:val="0"/>
      <w:divBdr>
        <w:top w:val="none" w:sz="0" w:space="0" w:color="auto"/>
        <w:left w:val="none" w:sz="0" w:space="0" w:color="auto"/>
        <w:bottom w:val="none" w:sz="0" w:space="0" w:color="auto"/>
        <w:right w:val="none" w:sz="0" w:space="0" w:color="auto"/>
      </w:divBdr>
    </w:div>
    <w:div w:id="1610893780">
      <w:bodyDiv w:val="1"/>
      <w:marLeft w:val="0"/>
      <w:marRight w:val="0"/>
      <w:marTop w:val="0"/>
      <w:marBottom w:val="0"/>
      <w:divBdr>
        <w:top w:val="none" w:sz="0" w:space="0" w:color="auto"/>
        <w:left w:val="none" w:sz="0" w:space="0" w:color="auto"/>
        <w:bottom w:val="none" w:sz="0" w:space="0" w:color="auto"/>
        <w:right w:val="none" w:sz="0" w:space="0" w:color="auto"/>
      </w:divBdr>
    </w:div>
    <w:div w:id="1611819330">
      <w:bodyDiv w:val="1"/>
      <w:marLeft w:val="0"/>
      <w:marRight w:val="0"/>
      <w:marTop w:val="0"/>
      <w:marBottom w:val="0"/>
      <w:divBdr>
        <w:top w:val="none" w:sz="0" w:space="0" w:color="auto"/>
        <w:left w:val="none" w:sz="0" w:space="0" w:color="auto"/>
        <w:bottom w:val="none" w:sz="0" w:space="0" w:color="auto"/>
        <w:right w:val="none" w:sz="0" w:space="0" w:color="auto"/>
      </w:divBdr>
    </w:div>
    <w:div w:id="1613054009">
      <w:bodyDiv w:val="1"/>
      <w:marLeft w:val="0"/>
      <w:marRight w:val="0"/>
      <w:marTop w:val="0"/>
      <w:marBottom w:val="0"/>
      <w:divBdr>
        <w:top w:val="none" w:sz="0" w:space="0" w:color="auto"/>
        <w:left w:val="none" w:sz="0" w:space="0" w:color="auto"/>
        <w:bottom w:val="none" w:sz="0" w:space="0" w:color="auto"/>
        <w:right w:val="none" w:sz="0" w:space="0" w:color="auto"/>
      </w:divBdr>
    </w:div>
    <w:div w:id="1614021837">
      <w:bodyDiv w:val="1"/>
      <w:marLeft w:val="0"/>
      <w:marRight w:val="0"/>
      <w:marTop w:val="0"/>
      <w:marBottom w:val="0"/>
      <w:divBdr>
        <w:top w:val="none" w:sz="0" w:space="0" w:color="auto"/>
        <w:left w:val="none" w:sz="0" w:space="0" w:color="auto"/>
        <w:bottom w:val="none" w:sz="0" w:space="0" w:color="auto"/>
        <w:right w:val="none" w:sz="0" w:space="0" w:color="auto"/>
      </w:divBdr>
    </w:div>
    <w:div w:id="1614098119">
      <w:bodyDiv w:val="1"/>
      <w:marLeft w:val="0"/>
      <w:marRight w:val="0"/>
      <w:marTop w:val="0"/>
      <w:marBottom w:val="0"/>
      <w:divBdr>
        <w:top w:val="none" w:sz="0" w:space="0" w:color="auto"/>
        <w:left w:val="none" w:sz="0" w:space="0" w:color="auto"/>
        <w:bottom w:val="none" w:sz="0" w:space="0" w:color="auto"/>
        <w:right w:val="none" w:sz="0" w:space="0" w:color="auto"/>
      </w:divBdr>
    </w:div>
    <w:div w:id="1614676713">
      <w:bodyDiv w:val="1"/>
      <w:marLeft w:val="0"/>
      <w:marRight w:val="0"/>
      <w:marTop w:val="0"/>
      <w:marBottom w:val="0"/>
      <w:divBdr>
        <w:top w:val="none" w:sz="0" w:space="0" w:color="auto"/>
        <w:left w:val="none" w:sz="0" w:space="0" w:color="auto"/>
        <w:bottom w:val="none" w:sz="0" w:space="0" w:color="auto"/>
        <w:right w:val="none" w:sz="0" w:space="0" w:color="auto"/>
      </w:divBdr>
    </w:div>
    <w:div w:id="1617173181">
      <w:bodyDiv w:val="1"/>
      <w:marLeft w:val="0"/>
      <w:marRight w:val="0"/>
      <w:marTop w:val="0"/>
      <w:marBottom w:val="0"/>
      <w:divBdr>
        <w:top w:val="none" w:sz="0" w:space="0" w:color="auto"/>
        <w:left w:val="none" w:sz="0" w:space="0" w:color="auto"/>
        <w:bottom w:val="none" w:sz="0" w:space="0" w:color="auto"/>
        <w:right w:val="none" w:sz="0" w:space="0" w:color="auto"/>
      </w:divBdr>
    </w:div>
    <w:div w:id="1620647827">
      <w:bodyDiv w:val="1"/>
      <w:marLeft w:val="0"/>
      <w:marRight w:val="0"/>
      <w:marTop w:val="0"/>
      <w:marBottom w:val="0"/>
      <w:divBdr>
        <w:top w:val="none" w:sz="0" w:space="0" w:color="auto"/>
        <w:left w:val="none" w:sz="0" w:space="0" w:color="auto"/>
        <w:bottom w:val="none" w:sz="0" w:space="0" w:color="auto"/>
        <w:right w:val="none" w:sz="0" w:space="0" w:color="auto"/>
      </w:divBdr>
    </w:div>
    <w:div w:id="1623655539">
      <w:bodyDiv w:val="1"/>
      <w:marLeft w:val="0"/>
      <w:marRight w:val="0"/>
      <w:marTop w:val="0"/>
      <w:marBottom w:val="0"/>
      <w:divBdr>
        <w:top w:val="none" w:sz="0" w:space="0" w:color="auto"/>
        <w:left w:val="none" w:sz="0" w:space="0" w:color="auto"/>
        <w:bottom w:val="none" w:sz="0" w:space="0" w:color="auto"/>
        <w:right w:val="none" w:sz="0" w:space="0" w:color="auto"/>
      </w:divBdr>
    </w:div>
    <w:div w:id="1623879169">
      <w:bodyDiv w:val="1"/>
      <w:marLeft w:val="0"/>
      <w:marRight w:val="0"/>
      <w:marTop w:val="0"/>
      <w:marBottom w:val="0"/>
      <w:divBdr>
        <w:top w:val="none" w:sz="0" w:space="0" w:color="auto"/>
        <w:left w:val="none" w:sz="0" w:space="0" w:color="auto"/>
        <w:bottom w:val="none" w:sz="0" w:space="0" w:color="auto"/>
        <w:right w:val="none" w:sz="0" w:space="0" w:color="auto"/>
      </w:divBdr>
    </w:div>
    <w:div w:id="1628583071">
      <w:bodyDiv w:val="1"/>
      <w:marLeft w:val="0"/>
      <w:marRight w:val="0"/>
      <w:marTop w:val="0"/>
      <w:marBottom w:val="0"/>
      <w:divBdr>
        <w:top w:val="none" w:sz="0" w:space="0" w:color="auto"/>
        <w:left w:val="none" w:sz="0" w:space="0" w:color="auto"/>
        <w:bottom w:val="none" w:sz="0" w:space="0" w:color="auto"/>
        <w:right w:val="none" w:sz="0" w:space="0" w:color="auto"/>
      </w:divBdr>
    </w:div>
    <w:div w:id="1633511140">
      <w:bodyDiv w:val="1"/>
      <w:marLeft w:val="0"/>
      <w:marRight w:val="0"/>
      <w:marTop w:val="0"/>
      <w:marBottom w:val="0"/>
      <w:divBdr>
        <w:top w:val="none" w:sz="0" w:space="0" w:color="auto"/>
        <w:left w:val="none" w:sz="0" w:space="0" w:color="auto"/>
        <w:bottom w:val="none" w:sz="0" w:space="0" w:color="auto"/>
        <w:right w:val="none" w:sz="0" w:space="0" w:color="auto"/>
      </w:divBdr>
    </w:div>
    <w:div w:id="1634825285">
      <w:bodyDiv w:val="1"/>
      <w:marLeft w:val="0"/>
      <w:marRight w:val="0"/>
      <w:marTop w:val="0"/>
      <w:marBottom w:val="0"/>
      <w:divBdr>
        <w:top w:val="none" w:sz="0" w:space="0" w:color="auto"/>
        <w:left w:val="none" w:sz="0" w:space="0" w:color="auto"/>
        <w:bottom w:val="none" w:sz="0" w:space="0" w:color="auto"/>
        <w:right w:val="none" w:sz="0" w:space="0" w:color="auto"/>
      </w:divBdr>
    </w:div>
    <w:div w:id="1637182130">
      <w:bodyDiv w:val="1"/>
      <w:marLeft w:val="0"/>
      <w:marRight w:val="0"/>
      <w:marTop w:val="0"/>
      <w:marBottom w:val="0"/>
      <w:divBdr>
        <w:top w:val="none" w:sz="0" w:space="0" w:color="auto"/>
        <w:left w:val="none" w:sz="0" w:space="0" w:color="auto"/>
        <w:bottom w:val="none" w:sz="0" w:space="0" w:color="auto"/>
        <w:right w:val="none" w:sz="0" w:space="0" w:color="auto"/>
      </w:divBdr>
    </w:div>
    <w:div w:id="1638026100">
      <w:bodyDiv w:val="1"/>
      <w:marLeft w:val="0"/>
      <w:marRight w:val="0"/>
      <w:marTop w:val="0"/>
      <w:marBottom w:val="0"/>
      <w:divBdr>
        <w:top w:val="none" w:sz="0" w:space="0" w:color="auto"/>
        <w:left w:val="none" w:sz="0" w:space="0" w:color="auto"/>
        <w:bottom w:val="none" w:sz="0" w:space="0" w:color="auto"/>
        <w:right w:val="none" w:sz="0" w:space="0" w:color="auto"/>
      </w:divBdr>
    </w:div>
    <w:div w:id="1639728464">
      <w:bodyDiv w:val="1"/>
      <w:marLeft w:val="0"/>
      <w:marRight w:val="0"/>
      <w:marTop w:val="0"/>
      <w:marBottom w:val="0"/>
      <w:divBdr>
        <w:top w:val="none" w:sz="0" w:space="0" w:color="auto"/>
        <w:left w:val="none" w:sz="0" w:space="0" w:color="auto"/>
        <w:bottom w:val="none" w:sz="0" w:space="0" w:color="auto"/>
        <w:right w:val="none" w:sz="0" w:space="0" w:color="auto"/>
      </w:divBdr>
    </w:div>
    <w:div w:id="1639994820">
      <w:bodyDiv w:val="1"/>
      <w:marLeft w:val="0"/>
      <w:marRight w:val="0"/>
      <w:marTop w:val="0"/>
      <w:marBottom w:val="0"/>
      <w:divBdr>
        <w:top w:val="none" w:sz="0" w:space="0" w:color="auto"/>
        <w:left w:val="none" w:sz="0" w:space="0" w:color="auto"/>
        <w:bottom w:val="none" w:sz="0" w:space="0" w:color="auto"/>
        <w:right w:val="none" w:sz="0" w:space="0" w:color="auto"/>
      </w:divBdr>
    </w:div>
    <w:div w:id="1644264965">
      <w:bodyDiv w:val="1"/>
      <w:marLeft w:val="0"/>
      <w:marRight w:val="0"/>
      <w:marTop w:val="0"/>
      <w:marBottom w:val="0"/>
      <w:divBdr>
        <w:top w:val="none" w:sz="0" w:space="0" w:color="auto"/>
        <w:left w:val="none" w:sz="0" w:space="0" w:color="auto"/>
        <w:bottom w:val="none" w:sz="0" w:space="0" w:color="auto"/>
        <w:right w:val="none" w:sz="0" w:space="0" w:color="auto"/>
      </w:divBdr>
    </w:div>
    <w:div w:id="1648440843">
      <w:bodyDiv w:val="1"/>
      <w:marLeft w:val="0"/>
      <w:marRight w:val="0"/>
      <w:marTop w:val="0"/>
      <w:marBottom w:val="0"/>
      <w:divBdr>
        <w:top w:val="none" w:sz="0" w:space="0" w:color="auto"/>
        <w:left w:val="none" w:sz="0" w:space="0" w:color="auto"/>
        <w:bottom w:val="none" w:sz="0" w:space="0" w:color="auto"/>
        <w:right w:val="none" w:sz="0" w:space="0" w:color="auto"/>
      </w:divBdr>
    </w:div>
    <w:div w:id="1655181938">
      <w:bodyDiv w:val="1"/>
      <w:marLeft w:val="0"/>
      <w:marRight w:val="0"/>
      <w:marTop w:val="0"/>
      <w:marBottom w:val="0"/>
      <w:divBdr>
        <w:top w:val="none" w:sz="0" w:space="0" w:color="auto"/>
        <w:left w:val="none" w:sz="0" w:space="0" w:color="auto"/>
        <w:bottom w:val="none" w:sz="0" w:space="0" w:color="auto"/>
        <w:right w:val="none" w:sz="0" w:space="0" w:color="auto"/>
      </w:divBdr>
    </w:div>
    <w:div w:id="1657613753">
      <w:bodyDiv w:val="1"/>
      <w:marLeft w:val="0"/>
      <w:marRight w:val="0"/>
      <w:marTop w:val="0"/>
      <w:marBottom w:val="0"/>
      <w:divBdr>
        <w:top w:val="none" w:sz="0" w:space="0" w:color="auto"/>
        <w:left w:val="none" w:sz="0" w:space="0" w:color="auto"/>
        <w:bottom w:val="none" w:sz="0" w:space="0" w:color="auto"/>
        <w:right w:val="none" w:sz="0" w:space="0" w:color="auto"/>
      </w:divBdr>
    </w:div>
    <w:div w:id="1658072230">
      <w:bodyDiv w:val="1"/>
      <w:marLeft w:val="0"/>
      <w:marRight w:val="0"/>
      <w:marTop w:val="0"/>
      <w:marBottom w:val="0"/>
      <w:divBdr>
        <w:top w:val="none" w:sz="0" w:space="0" w:color="auto"/>
        <w:left w:val="none" w:sz="0" w:space="0" w:color="auto"/>
        <w:bottom w:val="none" w:sz="0" w:space="0" w:color="auto"/>
        <w:right w:val="none" w:sz="0" w:space="0" w:color="auto"/>
      </w:divBdr>
    </w:div>
    <w:div w:id="1659191158">
      <w:bodyDiv w:val="1"/>
      <w:marLeft w:val="0"/>
      <w:marRight w:val="0"/>
      <w:marTop w:val="0"/>
      <w:marBottom w:val="0"/>
      <w:divBdr>
        <w:top w:val="none" w:sz="0" w:space="0" w:color="auto"/>
        <w:left w:val="none" w:sz="0" w:space="0" w:color="auto"/>
        <w:bottom w:val="none" w:sz="0" w:space="0" w:color="auto"/>
        <w:right w:val="none" w:sz="0" w:space="0" w:color="auto"/>
      </w:divBdr>
    </w:div>
    <w:div w:id="1665820087">
      <w:bodyDiv w:val="1"/>
      <w:marLeft w:val="0"/>
      <w:marRight w:val="0"/>
      <w:marTop w:val="0"/>
      <w:marBottom w:val="0"/>
      <w:divBdr>
        <w:top w:val="none" w:sz="0" w:space="0" w:color="auto"/>
        <w:left w:val="none" w:sz="0" w:space="0" w:color="auto"/>
        <w:bottom w:val="none" w:sz="0" w:space="0" w:color="auto"/>
        <w:right w:val="none" w:sz="0" w:space="0" w:color="auto"/>
      </w:divBdr>
    </w:div>
    <w:div w:id="1668053991">
      <w:bodyDiv w:val="1"/>
      <w:marLeft w:val="0"/>
      <w:marRight w:val="0"/>
      <w:marTop w:val="0"/>
      <w:marBottom w:val="0"/>
      <w:divBdr>
        <w:top w:val="none" w:sz="0" w:space="0" w:color="auto"/>
        <w:left w:val="none" w:sz="0" w:space="0" w:color="auto"/>
        <w:bottom w:val="none" w:sz="0" w:space="0" w:color="auto"/>
        <w:right w:val="none" w:sz="0" w:space="0" w:color="auto"/>
      </w:divBdr>
    </w:div>
    <w:div w:id="1669021395">
      <w:bodyDiv w:val="1"/>
      <w:marLeft w:val="0"/>
      <w:marRight w:val="0"/>
      <w:marTop w:val="0"/>
      <w:marBottom w:val="0"/>
      <w:divBdr>
        <w:top w:val="none" w:sz="0" w:space="0" w:color="auto"/>
        <w:left w:val="none" w:sz="0" w:space="0" w:color="auto"/>
        <w:bottom w:val="none" w:sz="0" w:space="0" w:color="auto"/>
        <w:right w:val="none" w:sz="0" w:space="0" w:color="auto"/>
      </w:divBdr>
    </w:div>
    <w:div w:id="1671523339">
      <w:bodyDiv w:val="1"/>
      <w:marLeft w:val="0"/>
      <w:marRight w:val="0"/>
      <w:marTop w:val="0"/>
      <w:marBottom w:val="0"/>
      <w:divBdr>
        <w:top w:val="none" w:sz="0" w:space="0" w:color="auto"/>
        <w:left w:val="none" w:sz="0" w:space="0" w:color="auto"/>
        <w:bottom w:val="none" w:sz="0" w:space="0" w:color="auto"/>
        <w:right w:val="none" w:sz="0" w:space="0" w:color="auto"/>
      </w:divBdr>
    </w:div>
    <w:div w:id="1671984794">
      <w:bodyDiv w:val="1"/>
      <w:marLeft w:val="0"/>
      <w:marRight w:val="0"/>
      <w:marTop w:val="0"/>
      <w:marBottom w:val="0"/>
      <w:divBdr>
        <w:top w:val="none" w:sz="0" w:space="0" w:color="auto"/>
        <w:left w:val="none" w:sz="0" w:space="0" w:color="auto"/>
        <w:bottom w:val="none" w:sz="0" w:space="0" w:color="auto"/>
        <w:right w:val="none" w:sz="0" w:space="0" w:color="auto"/>
      </w:divBdr>
    </w:div>
    <w:div w:id="1672365287">
      <w:bodyDiv w:val="1"/>
      <w:marLeft w:val="0"/>
      <w:marRight w:val="0"/>
      <w:marTop w:val="0"/>
      <w:marBottom w:val="0"/>
      <w:divBdr>
        <w:top w:val="none" w:sz="0" w:space="0" w:color="auto"/>
        <w:left w:val="none" w:sz="0" w:space="0" w:color="auto"/>
        <w:bottom w:val="none" w:sz="0" w:space="0" w:color="auto"/>
        <w:right w:val="none" w:sz="0" w:space="0" w:color="auto"/>
      </w:divBdr>
    </w:div>
    <w:div w:id="1672828959">
      <w:bodyDiv w:val="1"/>
      <w:marLeft w:val="0"/>
      <w:marRight w:val="0"/>
      <w:marTop w:val="0"/>
      <w:marBottom w:val="0"/>
      <w:divBdr>
        <w:top w:val="none" w:sz="0" w:space="0" w:color="auto"/>
        <w:left w:val="none" w:sz="0" w:space="0" w:color="auto"/>
        <w:bottom w:val="none" w:sz="0" w:space="0" w:color="auto"/>
        <w:right w:val="none" w:sz="0" w:space="0" w:color="auto"/>
      </w:divBdr>
    </w:div>
    <w:div w:id="1674331802">
      <w:bodyDiv w:val="1"/>
      <w:marLeft w:val="0"/>
      <w:marRight w:val="0"/>
      <w:marTop w:val="0"/>
      <w:marBottom w:val="0"/>
      <w:divBdr>
        <w:top w:val="none" w:sz="0" w:space="0" w:color="auto"/>
        <w:left w:val="none" w:sz="0" w:space="0" w:color="auto"/>
        <w:bottom w:val="none" w:sz="0" w:space="0" w:color="auto"/>
        <w:right w:val="none" w:sz="0" w:space="0" w:color="auto"/>
      </w:divBdr>
    </w:div>
    <w:div w:id="1674407570">
      <w:bodyDiv w:val="1"/>
      <w:marLeft w:val="0"/>
      <w:marRight w:val="0"/>
      <w:marTop w:val="0"/>
      <w:marBottom w:val="0"/>
      <w:divBdr>
        <w:top w:val="none" w:sz="0" w:space="0" w:color="auto"/>
        <w:left w:val="none" w:sz="0" w:space="0" w:color="auto"/>
        <w:bottom w:val="none" w:sz="0" w:space="0" w:color="auto"/>
        <w:right w:val="none" w:sz="0" w:space="0" w:color="auto"/>
      </w:divBdr>
    </w:div>
    <w:div w:id="1675105893">
      <w:bodyDiv w:val="1"/>
      <w:marLeft w:val="0"/>
      <w:marRight w:val="0"/>
      <w:marTop w:val="0"/>
      <w:marBottom w:val="0"/>
      <w:divBdr>
        <w:top w:val="none" w:sz="0" w:space="0" w:color="auto"/>
        <w:left w:val="none" w:sz="0" w:space="0" w:color="auto"/>
        <w:bottom w:val="none" w:sz="0" w:space="0" w:color="auto"/>
        <w:right w:val="none" w:sz="0" w:space="0" w:color="auto"/>
      </w:divBdr>
    </w:div>
    <w:div w:id="1676764732">
      <w:bodyDiv w:val="1"/>
      <w:marLeft w:val="0"/>
      <w:marRight w:val="0"/>
      <w:marTop w:val="0"/>
      <w:marBottom w:val="0"/>
      <w:divBdr>
        <w:top w:val="none" w:sz="0" w:space="0" w:color="auto"/>
        <w:left w:val="none" w:sz="0" w:space="0" w:color="auto"/>
        <w:bottom w:val="none" w:sz="0" w:space="0" w:color="auto"/>
        <w:right w:val="none" w:sz="0" w:space="0" w:color="auto"/>
      </w:divBdr>
    </w:div>
    <w:div w:id="1677347342">
      <w:bodyDiv w:val="1"/>
      <w:marLeft w:val="0"/>
      <w:marRight w:val="0"/>
      <w:marTop w:val="0"/>
      <w:marBottom w:val="0"/>
      <w:divBdr>
        <w:top w:val="none" w:sz="0" w:space="0" w:color="auto"/>
        <w:left w:val="none" w:sz="0" w:space="0" w:color="auto"/>
        <w:bottom w:val="none" w:sz="0" w:space="0" w:color="auto"/>
        <w:right w:val="none" w:sz="0" w:space="0" w:color="auto"/>
      </w:divBdr>
    </w:div>
    <w:div w:id="1685782869">
      <w:bodyDiv w:val="1"/>
      <w:marLeft w:val="0"/>
      <w:marRight w:val="0"/>
      <w:marTop w:val="0"/>
      <w:marBottom w:val="0"/>
      <w:divBdr>
        <w:top w:val="none" w:sz="0" w:space="0" w:color="auto"/>
        <w:left w:val="none" w:sz="0" w:space="0" w:color="auto"/>
        <w:bottom w:val="none" w:sz="0" w:space="0" w:color="auto"/>
        <w:right w:val="none" w:sz="0" w:space="0" w:color="auto"/>
      </w:divBdr>
    </w:div>
    <w:div w:id="1691105334">
      <w:bodyDiv w:val="1"/>
      <w:marLeft w:val="0"/>
      <w:marRight w:val="0"/>
      <w:marTop w:val="0"/>
      <w:marBottom w:val="0"/>
      <w:divBdr>
        <w:top w:val="none" w:sz="0" w:space="0" w:color="auto"/>
        <w:left w:val="none" w:sz="0" w:space="0" w:color="auto"/>
        <w:bottom w:val="none" w:sz="0" w:space="0" w:color="auto"/>
        <w:right w:val="none" w:sz="0" w:space="0" w:color="auto"/>
      </w:divBdr>
    </w:div>
    <w:div w:id="1692803305">
      <w:bodyDiv w:val="1"/>
      <w:marLeft w:val="0"/>
      <w:marRight w:val="0"/>
      <w:marTop w:val="0"/>
      <w:marBottom w:val="0"/>
      <w:divBdr>
        <w:top w:val="none" w:sz="0" w:space="0" w:color="auto"/>
        <w:left w:val="none" w:sz="0" w:space="0" w:color="auto"/>
        <w:bottom w:val="none" w:sz="0" w:space="0" w:color="auto"/>
        <w:right w:val="none" w:sz="0" w:space="0" w:color="auto"/>
      </w:divBdr>
    </w:div>
    <w:div w:id="1693452039">
      <w:bodyDiv w:val="1"/>
      <w:marLeft w:val="0"/>
      <w:marRight w:val="0"/>
      <w:marTop w:val="0"/>
      <w:marBottom w:val="0"/>
      <w:divBdr>
        <w:top w:val="none" w:sz="0" w:space="0" w:color="auto"/>
        <w:left w:val="none" w:sz="0" w:space="0" w:color="auto"/>
        <w:bottom w:val="none" w:sz="0" w:space="0" w:color="auto"/>
        <w:right w:val="none" w:sz="0" w:space="0" w:color="auto"/>
      </w:divBdr>
    </w:div>
    <w:div w:id="1696465704">
      <w:bodyDiv w:val="1"/>
      <w:marLeft w:val="0"/>
      <w:marRight w:val="0"/>
      <w:marTop w:val="0"/>
      <w:marBottom w:val="0"/>
      <w:divBdr>
        <w:top w:val="none" w:sz="0" w:space="0" w:color="auto"/>
        <w:left w:val="none" w:sz="0" w:space="0" w:color="auto"/>
        <w:bottom w:val="none" w:sz="0" w:space="0" w:color="auto"/>
        <w:right w:val="none" w:sz="0" w:space="0" w:color="auto"/>
      </w:divBdr>
    </w:div>
    <w:div w:id="1698120806">
      <w:bodyDiv w:val="1"/>
      <w:marLeft w:val="0"/>
      <w:marRight w:val="0"/>
      <w:marTop w:val="0"/>
      <w:marBottom w:val="0"/>
      <w:divBdr>
        <w:top w:val="none" w:sz="0" w:space="0" w:color="auto"/>
        <w:left w:val="none" w:sz="0" w:space="0" w:color="auto"/>
        <w:bottom w:val="none" w:sz="0" w:space="0" w:color="auto"/>
        <w:right w:val="none" w:sz="0" w:space="0" w:color="auto"/>
      </w:divBdr>
    </w:div>
    <w:div w:id="1700087078">
      <w:bodyDiv w:val="1"/>
      <w:marLeft w:val="0"/>
      <w:marRight w:val="0"/>
      <w:marTop w:val="0"/>
      <w:marBottom w:val="0"/>
      <w:divBdr>
        <w:top w:val="none" w:sz="0" w:space="0" w:color="auto"/>
        <w:left w:val="none" w:sz="0" w:space="0" w:color="auto"/>
        <w:bottom w:val="none" w:sz="0" w:space="0" w:color="auto"/>
        <w:right w:val="none" w:sz="0" w:space="0" w:color="auto"/>
      </w:divBdr>
    </w:div>
    <w:div w:id="1701472769">
      <w:bodyDiv w:val="1"/>
      <w:marLeft w:val="0"/>
      <w:marRight w:val="0"/>
      <w:marTop w:val="0"/>
      <w:marBottom w:val="0"/>
      <w:divBdr>
        <w:top w:val="none" w:sz="0" w:space="0" w:color="auto"/>
        <w:left w:val="none" w:sz="0" w:space="0" w:color="auto"/>
        <w:bottom w:val="none" w:sz="0" w:space="0" w:color="auto"/>
        <w:right w:val="none" w:sz="0" w:space="0" w:color="auto"/>
      </w:divBdr>
    </w:div>
    <w:div w:id="1701974573">
      <w:bodyDiv w:val="1"/>
      <w:marLeft w:val="0"/>
      <w:marRight w:val="0"/>
      <w:marTop w:val="0"/>
      <w:marBottom w:val="0"/>
      <w:divBdr>
        <w:top w:val="none" w:sz="0" w:space="0" w:color="auto"/>
        <w:left w:val="none" w:sz="0" w:space="0" w:color="auto"/>
        <w:bottom w:val="none" w:sz="0" w:space="0" w:color="auto"/>
        <w:right w:val="none" w:sz="0" w:space="0" w:color="auto"/>
      </w:divBdr>
    </w:div>
    <w:div w:id="1703436762">
      <w:bodyDiv w:val="1"/>
      <w:marLeft w:val="0"/>
      <w:marRight w:val="0"/>
      <w:marTop w:val="0"/>
      <w:marBottom w:val="0"/>
      <w:divBdr>
        <w:top w:val="none" w:sz="0" w:space="0" w:color="auto"/>
        <w:left w:val="none" w:sz="0" w:space="0" w:color="auto"/>
        <w:bottom w:val="none" w:sz="0" w:space="0" w:color="auto"/>
        <w:right w:val="none" w:sz="0" w:space="0" w:color="auto"/>
      </w:divBdr>
    </w:div>
    <w:div w:id="1709834342">
      <w:bodyDiv w:val="1"/>
      <w:marLeft w:val="0"/>
      <w:marRight w:val="0"/>
      <w:marTop w:val="0"/>
      <w:marBottom w:val="0"/>
      <w:divBdr>
        <w:top w:val="none" w:sz="0" w:space="0" w:color="auto"/>
        <w:left w:val="none" w:sz="0" w:space="0" w:color="auto"/>
        <w:bottom w:val="none" w:sz="0" w:space="0" w:color="auto"/>
        <w:right w:val="none" w:sz="0" w:space="0" w:color="auto"/>
      </w:divBdr>
    </w:div>
    <w:div w:id="1715884499">
      <w:bodyDiv w:val="1"/>
      <w:marLeft w:val="0"/>
      <w:marRight w:val="0"/>
      <w:marTop w:val="0"/>
      <w:marBottom w:val="0"/>
      <w:divBdr>
        <w:top w:val="none" w:sz="0" w:space="0" w:color="auto"/>
        <w:left w:val="none" w:sz="0" w:space="0" w:color="auto"/>
        <w:bottom w:val="none" w:sz="0" w:space="0" w:color="auto"/>
        <w:right w:val="none" w:sz="0" w:space="0" w:color="auto"/>
      </w:divBdr>
    </w:div>
    <w:div w:id="1717922711">
      <w:bodyDiv w:val="1"/>
      <w:marLeft w:val="0"/>
      <w:marRight w:val="0"/>
      <w:marTop w:val="0"/>
      <w:marBottom w:val="0"/>
      <w:divBdr>
        <w:top w:val="none" w:sz="0" w:space="0" w:color="auto"/>
        <w:left w:val="none" w:sz="0" w:space="0" w:color="auto"/>
        <w:bottom w:val="none" w:sz="0" w:space="0" w:color="auto"/>
        <w:right w:val="none" w:sz="0" w:space="0" w:color="auto"/>
      </w:divBdr>
    </w:div>
    <w:div w:id="1719014850">
      <w:bodyDiv w:val="1"/>
      <w:marLeft w:val="0"/>
      <w:marRight w:val="0"/>
      <w:marTop w:val="0"/>
      <w:marBottom w:val="0"/>
      <w:divBdr>
        <w:top w:val="none" w:sz="0" w:space="0" w:color="auto"/>
        <w:left w:val="none" w:sz="0" w:space="0" w:color="auto"/>
        <w:bottom w:val="none" w:sz="0" w:space="0" w:color="auto"/>
        <w:right w:val="none" w:sz="0" w:space="0" w:color="auto"/>
      </w:divBdr>
    </w:div>
    <w:div w:id="1720975976">
      <w:bodyDiv w:val="1"/>
      <w:marLeft w:val="0"/>
      <w:marRight w:val="0"/>
      <w:marTop w:val="0"/>
      <w:marBottom w:val="0"/>
      <w:divBdr>
        <w:top w:val="none" w:sz="0" w:space="0" w:color="auto"/>
        <w:left w:val="none" w:sz="0" w:space="0" w:color="auto"/>
        <w:bottom w:val="none" w:sz="0" w:space="0" w:color="auto"/>
        <w:right w:val="none" w:sz="0" w:space="0" w:color="auto"/>
      </w:divBdr>
    </w:div>
    <w:div w:id="1721902500">
      <w:bodyDiv w:val="1"/>
      <w:marLeft w:val="0"/>
      <w:marRight w:val="0"/>
      <w:marTop w:val="0"/>
      <w:marBottom w:val="0"/>
      <w:divBdr>
        <w:top w:val="none" w:sz="0" w:space="0" w:color="auto"/>
        <w:left w:val="none" w:sz="0" w:space="0" w:color="auto"/>
        <w:bottom w:val="none" w:sz="0" w:space="0" w:color="auto"/>
        <w:right w:val="none" w:sz="0" w:space="0" w:color="auto"/>
      </w:divBdr>
    </w:div>
    <w:div w:id="1724022741">
      <w:bodyDiv w:val="1"/>
      <w:marLeft w:val="0"/>
      <w:marRight w:val="0"/>
      <w:marTop w:val="0"/>
      <w:marBottom w:val="0"/>
      <w:divBdr>
        <w:top w:val="none" w:sz="0" w:space="0" w:color="auto"/>
        <w:left w:val="none" w:sz="0" w:space="0" w:color="auto"/>
        <w:bottom w:val="none" w:sz="0" w:space="0" w:color="auto"/>
        <w:right w:val="none" w:sz="0" w:space="0" w:color="auto"/>
      </w:divBdr>
    </w:div>
    <w:div w:id="1724595678">
      <w:bodyDiv w:val="1"/>
      <w:marLeft w:val="0"/>
      <w:marRight w:val="0"/>
      <w:marTop w:val="0"/>
      <w:marBottom w:val="0"/>
      <w:divBdr>
        <w:top w:val="none" w:sz="0" w:space="0" w:color="auto"/>
        <w:left w:val="none" w:sz="0" w:space="0" w:color="auto"/>
        <w:bottom w:val="none" w:sz="0" w:space="0" w:color="auto"/>
        <w:right w:val="none" w:sz="0" w:space="0" w:color="auto"/>
      </w:divBdr>
    </w:div>
    <w:div w:id="1725179375">
      <w:bodyDiv w:val="1"/>
      <w:marLeft w:val="0"/>
      <w:marRight w:val="0"/>
      <w:marTop w:val="0"/>
      <w:marBottom w:val="0"/>
      <w:divBdr>
        <w:top w:val="none" w:sz="0" w:space="0" w:color="auto"/>
        <w:left w:val="none" w:sz="0" w:space="0" w:color="auto"/>
        <w:bottom w:val="none" w:sz="0" w:space="0" w:color="auto"/>
        <w:right w:val="none" w:sz="0" w:space="0" w:color="auto"/>
      </w:divBdr>
    </w:div>
    <w:div w:id="1726683518">
      <w:bodyDiv w:val="1"/>
      <w:marLeft w:val="0"/>
      <w:marRight w:val="0"/>
      <w:marTop w:val="0"/>
      <w:marBottom w:val="0"/>
      <w:divBdr>
        <w:top w:val="none" w:sz="0" w:space="0" w:color="auto"/>
        <w:left w:val="none" w:sz="0" w:space="0" w:color="auto"/>
        <w:bottom w:val="none" w:sz="0" w:space="0" w:color="auto"/>
        <w:right w:val="none" w:sz="0" w:space="0" w:color="auto"/>
      </w:divBdr>
    </w:div>
    <w:div w:id="1728331513">
      <w:bodyDiv w:val="1"/>
      <w:marLeft w:val="0"/>
      <w:marRight w:val="0"/>
      <w:marTop w:val="0"/>
      <w:marBottom w:val="0"/>
      <w:divBdr>
        <w:top w:val="none" w:sz="0" w:space="0" w:color="auto"/>
        <w:left w:val="none" w:sz="0" w:space="0" w:color="auto"/>
        <w:bottom w:val="none" w:sz="0" w:space="0" w:color="auto"/>
        <w:right w:val="none" w:sz="0" w:space="0" w:color="auto"/>
      </w:divBdr>
    </w:div>
    <w:div w:id="1735590226">
      <w:bodyDiv w:val="1"/>
      <w:marLeft w:val="0"/>
      <w:marRight w:val="0"/>
      <w:marTop w:val="0"/>
      <w:marBottom w:val="0"/>
      <w:divBdr>
        <w:top w:val="none" w:sz="0" w:space="0" w:color="auto"/>
        <w:left w:val="none" w:sz="0" w:space="0" w:color="auto"/>
        <w:bottom w:val="none" w:sz="0" w:space="0" w:color="auto"/>
        <w:right w:val="none" w:sz="0" w:space="0" w:color="auto"/>
      </w:divBdr>
    </w:div>
    <w:div w:id="1736315875">
      <w:bodyDiv w:val="1"/>
      <w:marLeft w:val="0"/>
      <w:marRight w:val="0"/>
      <w:marTop w:val="0"/>
      <w:marBottom w:val="0"/>
      <w:divBdr>
        <w:top w:val="none" w:sz="0" w:space="0" w:color="auto"/>
        <w:left w:val="none" w:sz="0" w:space="0" w:color="auto"/>
        <w:bottom w:val="none" w:sz="0" w:space="0" w:color="auto"/>
        <w:right w:val="none" w:sz="0" w:space="0" w:color="auto"/>
      </w:divBdr>
    </w:div>
    <w:div w:id="1738434137">
      <w:bodyDiv w:val="1"/>
      <w:marLeft w:val="0"/>
      <w:marRight w:val="0"/>
      <w:marTop w:val="0"/>
      <w:marBottom w:val="0"/>
      <w:divBdr>
        <w:top w:val="none" w:sz="0" w:space="0" w:color="auto"/>
        <w:left w:val="none" w:sz="0" w:space="0" w:color="auto"/>
        <w:bottom w:val="none" w:sz="0" w:space="0" w:color="auto"/>
        <w:right w:val="none" w:sz="0" w:space="0" w:color="auto"/>
      </w:divBdr>
    </w:div>
    <w:div w:id="1739329293">
      <w:bodyDiv w:val="1"/>
      <w:marLeft w:val="0"/>
      <w:marRight w:val="0"/>
      <w:marTop w:val="0"/>
      <w:marBottom w:val="0"/>
      <w:divBdr>
        <w:top w:val="none" w:sz="0" w:space="0" w:color="auto"/>
        <w:left w:val="none" w:sz="0" w:space="0" w:color="auto"/>
        <w:bottom w:val="none" w:sz="0" w:space="0" w:color="auto"/>
        <w:right w:val="none" w:sz="0" w:space="0" w:color="auto"/>
      </w:divBdr>
    </w:div>
    <w:div w:id="1741246708">
      <w:bodyDiv w:val="1"/>
      <w:marLeft w:val="0"/>
      <w:marRight w:val="0"/>
      <w:marTop w:val="0"/>
      <w:marBottom w:val="0"/>
      <w:divBdr>
        <w:top w:val="none" w:sz="0" w:space="0" w:color="auto"/>
        <w:left w:val="none" w:sz="0" w:space="0" w:color="auto"/>
        <w:bottom w:val="none" w:sz="0" w:space="0" w:color="auto"/>
        <w:right w:val="none" w:sz="0" w:space="0" w:color="auto"/>
      </w:divBdr>
    </w:div>
    <w:div w:id="1743480972">
      <w:bodyDiv w:val="1"/>
      <w:marLeft w:val="0"/>
      <w:marRight w:val="0"/>
      <w:marTop w:val="0"/>
      <w:marBottom w:val="0"/>
      <w:divBdr>
        <w:top w:val="none" w:sz="0" w:space="0" w:color="auto"/>
        <w:left w:val="none" w:sz="0" w:space="0" w:color="auto"/>
        <w:bottom w:val="none" w:sz="0" w:space="0" w:color="auto"/>
        <w:right w:val="none" w:sz="0" w:space="0" w:color="auto"/>
      </w:divBdr>
    </w:div>
    <w:div w:id="1747800850">
      <w:bodyDiv w:val="1"/>
      <w:marLeft w:val="0"/>
      <w:marRight w:val="0"/>
      <w:marTop w:val="0"/>
      <w:marBottom w:val="0"/>
      <w:divBdr>
        <w:top w:val="none" w:sz="0" w:space="0" w:color="auto"/>
        <w:left w:val="none" w:sz="0" w:space="0" w:color="auto"/>
        <w:bottom w:val="none" w:sz="0" w:space="0" w:color="auto"/>
        <w:right w:val="none" w:sz="0" w:space="0" w:color="auto"/>
      </w:divBdr>
    </w:div>
    <w:div w:id="1748067450">
      <w:bodyDiv w:val="1"/>
      <w:marLeft w:val="0"/>
      <w:marRight w:val="0"/>
      <w:marTop w:val="0"/>
      <w:marBottom w:val="0"/>
      <w:divBdr>
        <w:top w:val="none" w:sz="0" w:space="0" w:color="auto"/>
        <w:left w:val="none" w:sz="0" w:space="0" w:color="auto"/>
        <w:bottom w:val="none" w:sz="0" w:space="0" w:color="auto"/>
        <w:right w:val="none" w:sz="0" w:space="0" w:color="auto"/>
      </w:divBdr>
    </w:div>
    <w:div w:id="1749300393">
      <w:bodyDiv w:val="1"/>
      <w:marLeft w:val="0"/>
      <w:marRight w:val="0"/>
      <w:marTop w:val="0"/>
      <w:marBottom w:val="0"/>
      <w:divBdr>
        <w:top w:val="none" w:sz="0" w:space="0" w:color="auto"/>
        <w:left w:val="none" w:sz="0" w:space="0" w:color="auto"/>
        <w:bottom w:val="none" w:sz="0" w:space="0" w:color="auto"/>
        <w:right w:val="none" w:sz="0" w:space="0" w:color="auto"/>
      </w:divBdr>
    </w:div>
    <w:div w:id="1753623008">
      <w:bodyDiv w:val="1"/>
      <w:marLeft w:val="0"/>
      <w:marRight w:val="0"/>
      <w:marTop w:val="0"/>
      <w:marBottom w:val="0"/>
      <w:divBdr>
        <w:top w:val="none" w:sz="0" w:space="0" w:color="auto"/>
        <w:left w:val="none" w:sz="0" w:space="0" w:color="auto"/>
        <w:bottom w:val="none" w:sz="0" w:space="0" w:color="auto"/>
        <w:right w:val="none" w:sz="0" w:space="0" w:color="auto"/>
      </w:divBdr>
    </w:div>
    <w:div w:id="1755084007">
      <w:bodyDiv w:val="1"/>
      <w:marLeft w:val="0"/>
      <w:marRight w:val="0"/>
      <w:marTop w:val="0"/>
      <w:marBottom w:val="0"/>
      <w:divBdr>
        <w:top w:val="none" w:sz="0" w:space="0" w:color="auto"/>
        <w:left w:val="none" w:sz="0" w:space="0" w:color="auto"/>
        <w:bottom w:val="none" w:sz="0" w:space="0" w:color="auto"/>
        <w:right w:val="none" w:sz="0" w:space="0" w:color="auto"/>
      </w:divBdr>
    </w:div>
    <w:div w:id="1755204569">
      <w:bodyDiv w:val="1"/>
      <w:marLeft w:val="0"/>
      <w:marRight w:val="0"/>
      <w:marTop w:val="0"/>
      <w:marBottom w:val="0"/>
      <w:divBdr>
        <w:top w:val="none" w:sz="0" w:space="0" w:color="auto"/>
        <w:left w:val="none" w:sz="0" w:space="0" w:color="auto"/>
        <w:bottom w:val="none" w:sz="0" w:space="0" w:color="auto"/>
        <w:right w:val="none" w:sz="0" w:space="0" w:color="auto"/>
      </w:divBdr>
    </w:div>
    <w:div w:id="1757749053">
      <w:bodyDiv w:val="1"/>
      <w:marLeft w:val="0"/>
      <w:marRight w:val="0"/>
      <w:marTop w:val="0"/>
      <w:marBottom w:val="0"/>
      <w:divBdr>
        <w:top w:val="none" w:sz="0" w:space="0" w:color="auto"/>
        <w:left w:val="none" w:sz="0" w:space="0" w:color="auto"/>
        <w:bottom w:val="none" w:sz="0" w:space="0" w:color="auto"/>
        <w:right w:val="none" w:sz="0" w:space="0" w:color="auto"/>
      </w:divBdr>
    </w:div>
    <w:div w:id="1759709039">
      <w:bodyDiv w:val="1"/>
      <w:marLeft w:val="0"/>
      <w:marRight w:val="0"/>
      <w:marTop w:val="0"/>
      <w:marBottom w:val="0"/>
      <w:divBdr>
        <w:top w:val="none" w:sz="0" w:space="0" w:color="auto"/>
        <w:left w:val="none" w:sz="0" w:space="0" w:color="auto"/>
        <w:bottom w:val="none" w:sz="0" w:space="0" w:color="auto"/>
        <w:right w:val="none" w:sz="0" w:space="0" w:color="auto"/>
      </w:divBdr>
    </w:div>
    <w:div w:id="1764103573">
      <w:bodyDiv w:val="1"/>
      <w:marLeft w:val="0"/>
      <w:marRight w:val="0"/>
      <w:marTop w:val="0"/>
      <w:marBottom w:val="0"/>
      <w:divBdr>
        <w:top w:val="none" w:sz="0" w:space="0" w:color="auto"/>
        <w:left w:val="none" w:sz="0" w:space="0" w:color="auto"/>
        <w:bottom w:val="none" w:sz="0" w:space="0" w:color="auto"/>
        <w:right w:val="none" w:sz="0" w:space="0" w:color="auto"/>
      </w:divBdr>
    </w:div>
    <w:div w:id="1769347660">
      <w:bodyDiv w:val="1"/>
      <w:marLeft w:val="0"/>
      <w:marRight w:val="0"/>
      <w:marTop w:val="0"/>
      <w:marBottom w:val="0"/>
      <w:divBdr>
        <w:top w:val="none" w:sz="0" w:space="0" w:color="auto"/>
        <w:left w:val="none" w:sz="0" w:space="0" w:color="auto"/>
        <w:bottom w:val="none" w:sz="0" w:space="0" w:color="auto"/>
        <w:right w:val="none" w:sz="0" w:space="0" w:color="auto"/>
      </w:divBdr>
    </w:div>
    <w:div w:id="1772317122">
      <w:bodyDiv w:val="1"/>
      <w:marLeft w:val="0"/>
      <w:marRight w:val="0"/>
      <w:marTop w:val="0"/>
      <w:marBottom w:val="0"/>
      <w:divBdr>
        <w:top w:val="none" w:sz="0" w:space="0" w:color="auto"/>
        <w:left w:val="none" w:sz="0" w:space="0" w:color="auto"/>
        <w:bottom w:val="none" w:sz="0" w:space="0" w:color="auto"/>
        <w:right w:val="none" w:sz="0" w:space="0" w:color="auto"/>
      </w:divBdr>
    </w:div>
    <w:div w:id="1772582360">
      <w:bodyDiv w:val="1"/>
      <w:marLeft w:val="0"/>
      <w:marRight w:val="0"/>
      <w:marTop w:val="0"/>
      <w:marBottom w:val="0"/>
      <w:divBdr>
        <w:top w:val="none" w:sz="0" w:space="0" w:color="auto"/>
        <w:left w:val="none" w:sz="0" w:space="0" w:color="auto"/>
        <w:bottom w:val="none" w:sz="0" w:space="0" w:color="auto"/>
        <w:right w:val="none" w:sz="0" w:space="0" w:color="auto"/>
      </w:divBdr>
    </w:div>
    <w:div w:id="1772705109">
      <w:bodyDiv w:val="1"/>
      <w:marLeft w:val="0"/>
      <w:marRight w:val="0"/>
      <w:marTop w:val="0"/>
      <w:marBottom w:val="0"/>
      <w:divBdr>
        <w:top w:val="none" w:sz="0" w:space="0" w:color="auto"/>
        <w:left w:val="none" w:sz="0" w:space="0" w:color="auto"/>
        <w:bottom w:val="none" w:sz="0" w:space="0" w:color="auto"/>
        <w:right w:val="none" w:sz="0" w:space="0" w:color="auto"/>
      </w:divBdr>
    </w:div>
    <w:div w:id="1773745475">
      <w:bodyDiv w:val="1"/>
      <w:marLeft w:val="0"/>
      <w:marRight w:val="0"/>
      <w:marTop w:val="0"/>
      <w:marBottom w:val="0"/>
      <w:divBdr>
        <w:top w:val="none" w:sz="0" w:space="0" w:color="auto"/>
        <w:left w:val="none" w:sz="0" w:space="0" w:color="auto"/>
        <w:bottom w:val="none" w:sz="0" w:space="0" w:color="auto"/>
        <w:right w:val="none" w:sz="0" w:space="0" w:color="auto"/>
      </w:divBdr>
    </w:div>
    <w:div w:id="1774202130">
      <w:bodyDiv w:val="1"/>
      <w:marLeft w:val="0"/>
      <w:marRight w:val="0"/>
      <w:marTop w:val="0"/>
      <w:marBottom w:val="0"/>
      <w:divBdr>
        <w:top w:val="none" w:sz="0" w:space="0" w:color="auto"/>
        <w:left w:val="none" w:sz="0" w:space="0" w:color="auto"/>
        <w:bottom w:val="none" w:sz="0" w:space="0" w:color="auto"/>
        <w:right w:val="none" w:sz="0" w:space="0" w:color="auto"/>
      </w:divBdr>
    </w:div>
    <w:div w:id="1782601321">
      <w:bodyDiv w:val="1"/>
      <w:marLeft w:val="0"/>
      <w:marRight w:val="0"/>
      <w:marTop w:val="0"/>
      <w:marBottom w:val="0"/>
      <w:divBdr>
        <w:top w:val="none" w:sz="0" w:space="0" w:color="auto"/>
        <w:left w:val="none" w:sz="0" w:space="0" w:color="auto"/>
        <w:bottom w:val="none" w:sz="0" w:space="0" w:color="auto"/>
        <w:right w:val="none" w:sz="0" w:space="0" w:color="auto"/>
      </w:divBdr>
    </w:div>
    <w:div w:id="1783300479">
      <w:bodyDiv w:val="1"/>
      <w:marLeft w:val="0"/>
      <w:marRight w:val="0"/>
      <w:marTop w:val="0"/>
      <w:marBottom w:val="0"/>
      <w:divBdr>
        <w:top w:val="none" w:sz="0" w:space="0" w:color="auto"/>
        <w:left w:val="none" w:sz="0" w:space="0" w:color="auto"/>
        <w:bottom w:val="none" w:sz="0" w:space="0" w:color="auto"/>
        <w:right w:val="none" w:sz="0" w:space="0" w:color="auto"/>
      </w:divBdr>
    </w:div>
    <w:div w:id="1785808348">
      <w:bodyDiv w:val="1"/>
      <w:marLeft w:val="0"/>
      <w:marRight w:val="0"/>
      <w:marTop w:val="0"/>
      <w:marBottom w:val="0"/>
      <w:divBdr>
        <w:top w:val="none" w:sz="0" w:space="0" w:color="auto"/>
        <w:left w:val="none" w:sz="0" w:space="0" w:color="auto"/>
        <w:bottom w:val="none" w:sz="0" w:space="0" w:color="auto"/>
        <w:right w:val="none" w:sz="0" w:space="0" w:color="auto"/>
      </w:divBdr>
    </w:div>
    <w:div w:id="1789664024">
      <w:bodyDiv w:val="1"/>
      <w:marLeft w:val="0"/>
      <w:marRight w:val="0"/>
      <w:marTop w:val="0"/>
      <w:marBottom w:val="0"/>
      <w:divBdr>
        <w:top w:val="none" w:sz="0" w:space="0" w:color="auto"/>
        <w:left w:val="none" w:sz="0" w:space="0" w:color="auto"/>
        <w:bottom w:val="none" w:sz="0" w:space="0" w:color="auto"/>
        <w:right w:val="none" w:sz="0" w:space="0" w:color="auto"/>
      </w:divBdr>
    </w:div>
    <w:div w:id="1791584372">
      <w:bodyDiv w:val="1"/>
      <w:marLeft w:val="0"/>
      <w:marRight w:val="0"/>
      <w:marTop w:val="0"/>
      <w:marBottom w:val="0"/>
      <w:divBdr>
        <w:top w:val="none" w:sz="0" w:space="0" w:color="auto"/>
        <w:left w:val="none" w:sz="0" w:space="0" w:color="auto"/>
        <w:bottom w:val="none" w:sz="0" w:space="0" w:color="auto"/>
        <w:right w:val="none" w:sz="0" w:space="0" w:color="auto"/>
      </w:divBdr>
    </w:div>
    <w:div w:id="1795825182">
      <w:bodyDiv w:val="1"/>
      <w:marLeft w:val="0"/>
      <w:marRight w:val="0"/>
      <w:marTop w:val="0"/>
      <w:marBottom w:val="0"/>
      <w:divBdr>
        <w:top w:val="none" w:sz="0" w:space="0" w:color="auto"/>
        <w:left w:val="none" w:sz="0" w:space="0" w:color="auto"/>
        <w:bottom w:val="none" w:sz="0" w:space="0" w:color="auto"/>
        <w:right w:val="none" w:sz="0" w:space="0" w:color="auto"/>
      </w:divBdr>
    </w:div>
    <w:div w:id="1797991666">
      <w:bodyDiv w:val="1"/>
      <w:marLeft w:val="0"/>
      <w:marRight w:val="0"/>
      <w:marTop w:val="0"/>
      <w:marBottom w:val="0"/>
      <w:divBdr>
        <w:top w:val="none" w:sz="0" w:space="0" w:color="auto"/>
        <w:left w:val="none" w:sz="0" w:space="0" w:color="auto"/>
        <w:bottom w:val="none" w:sz="0" w:space="0" w:color="auto"/>
        <w:right w:val="none" w:sz="0" w:space="0" w:color="auto"/>
      </w:divBdr>
    </w:div>
    <w:div w:id="1798140085">
      <w:bodyDiv w:val="1"/>
      <w:marLeft w:val="0"/>
      <w:marRight w:val="0"/>
      <w:marTop w:val="0"/>
      <w:marBottom w:val="0"/>
      <w:divBdr>
        <w:top w:val="none" w:sz="0" w:space="0" w:color="auto"/>
        <w:left w:val="none" w:sz="0" w:space="0" w:color="auto"/>
        <w:bottom w:val="none" w:sz="0" w:space="0" w:color="auto"/>
        <w:right w:val="none" w:sz="0" w:space="0" w:color="auto"/>
      </w:divBdr>
      <w:divsChild>
        <w:div w:id="16657815">
          <w:marLeft w:val="0"/>
          <w:marRight w:val="0"/>
          <w:marTop w:val="0"/>
          <w:marBottom w:val="0"/>
          <w:divBdr>
            <w:top w:val="none" w:sz="0" w:space="0" w:color="auto"/>
            <w:left w:val="none" w:sz="0" w:space="0" w:color="auto"/>
            <w:bottom w:val="none" w:sz="0" w:space="0" w:color="auto"/>
            <w:right w:val="none" w:sz="0" w:space="0" w:color="auto"/>
          </w:divBdr>
          <w:divsChild>
            <w:div w:id="237596763">
              <w:marLeft w:val="0"/>
              <w:marRight w:val="0"/>
              <w:marTop w:val="0"/>
              <w:marBottom w:val="0"/>
              <w:divBdr>
                <w:top w:val="none" w:sz="0" w:space="0" w:color="auto"/>
                <w:left w:val="none" w:sz="0" w:space="0" w:color="auto"/>
                <w:bottom w:val="none" w:sz="0" w:space="0" w:color="auto"/>
                <w:right w:val="none" w:sz="0" w:space="0" w:color="auto"/>
              </w:divBdr>
              <w:divsChild>
                <w:div w:id="107703413">
                  <w:marLeft w:val="0"/>
                  <w:marRight w:val="0"/>
                  <w:marTop w:val="0"/>
                  <w:marBottom w:val="0"/>
                  <w:divBdr>
                    <w:top w:val="none" w:sz="0" w:space="0" w:color="auto"/>
                    <w:left w:val="none" w:sz="0" w:space="0" w:color="auto"/>
                    <w:bottom w:val="none" w:sz="0" w:space="0" w:color="auto"/>
                    <w:right w:val="none" w:sz="0" w:space="0" w:color="auto"/>
                  </w:divBdr>
                </w:div>
                <w:div w:id="110325847">
                  <w:marLeft w:val="0"/>
                  <w:marRight w:val="0"/>
                  <w:marTop w:val="0"/>
                  <w:marBottom w:val="0"/>
                  <w:divBdr>
                    <w:top w:val="none" w:sz="0" w:space="0" w:color="auto"/>
                    <w:left w:val="none" w:sz="0" w:space="0" w:color="auto"/>
                    <w:bottom w:val="none" w:sz="0" w:space="0" w:color="auto"/>
                    <w:right w:val="none" w:sz="0" w:space="0" w:color="auto"/>
                  </w:divBdr>
                </w:div>
                <w:div w:id="185603217">
                  <w:marLeft w:val="0"/>
                  <w:marRight w:val="0"/>
                  <w:marTop w:val="0"/>
                  <w:marBottom w:val="0"/>
                  <w:divBdr>
                    <w:top w:val="none" w:sz="0" w:space="0" w:color="auto"/>
                    <w:left w:val="none" w:sz="0" w:space="0" w:color="auto"/>
                    <w:bottom w:val="none" w:sz="0" w:space="0" w:color="auto"/>
                    <w:right w:val="none" w:sz="0" w:space="0" w:color="auto"/>
                  </w:divBdr>
                </w:div>
                <w:div w:id="310908040">
                  <w:marLeft w:val="0"/>
                  <w:marRight w:val="0"/>
                  <w:marTop w:val="0"/>
                  <w:marBottom w:val="0"/>
                  <w:divBdr>
                    <w:top w:val="none" w:sz="0" w:space="0" w:color="auto"/>
                    <w:left w:val="none" w:sz="0" w:space="0" w:color="auto"/>
                    <w:bottom w:val="none" w:sz="0" w:space="0" w:color="auto"/>
                    <w:right w:val="none" w:sz="0" w:space="0" w:color="auto"/>
                  </w:divBdr>
                </w:div>
                <w:div w:id="378552935">
                  <w:marLeft w:val="0"/>
                  <w:marRight w:val="0"/>
                  <w:marTop w:val="0"/>
                  <w:marBottom w:val="0"/>
                  <w:divBdr>
                    <w:top w:val="none" w:sz="0" w:space="0" w:color="auto"/>
                    <w:left w:val="none" w:sz="0" w:space="0" w:color="auto"/>
                    <w:bottom w:val="none" w:sz="0" w:space="0" w:color="auto"/>
                    <w:right w:val="none" w:sz="0" w:space="0" w:color="auto"/>
                  </w:divBdr>
                </w:div>
                <w:div w:id="430319316">
                  <w:marLeft w:val="0"/>
                  <w:marRight w:val="0"/>
                  <w:marTop w:val="0"/>
                  <w:marBottom w:val="0"/>
                  <w:divBdr>
                    <w:top w:val="none" w:sz="0" w:space="0" w:color="auto"/>
                    <w:left w:val="none" w:sz="0" w:space="0" w:color="auto"/>
                    <w:bottom w:val="none" w:sz="0" w:space="0" w:color="auto"/>
                    <w:right w:val="none" w:sz="0" w:space="0" w:color="auto"/>
                  </w:divBdr>
                </w:div>
                <w:div w:id="524054857">
                  <w:marLeft w:val="0"/>
                  <w:marRight w:val="0"/>
                  <w:marTop w:val="0"/>
                  <w:marBottom w:val="0"/>
                  <w:divBdr>
                    <w:top w:val="none" w:sz="0" w:space="0" w:color="auto"/>
                    <w:left w:val="none" w:sz="0" w:space="0" w:color="auto"/>
                    <w:bottom w:val="none" w:sz="0" w:space="0" w:color="auto"/>
                    <w:right w:val="none" w:sz="0" w:space="0" w:color="auto"/>
                  </w:divBdr>
                </w:div>
                <w:div w:id="587884774">
                  <w:marLeft w:val="0"/>
                  <w:marRight w:val="0"/>
                  <w:marTop w:val="0"/>
                  <w:marBottom w:val="0"/>
                  <w:divBdr>
                    <w:top w:val="none" w:sz="0" w:space="0" w:color="auto"/>
                    <w:left w:val="none" w:sz="0" w:space="0" w:color="auto"/>
                    <w:bottom w:val="none" w:sz="0" w:space="0" w:color="auto"/>
                    <w:right w:val="none" w:sz="0" w:space="0" w:color="auto"/>
                  </w:divBdr>
                </w:div>
                <w:div w:id="588659497">
                  <w:marLeft w:val="0"/>
                  <w:marRight w:val="0"/>
                  <w:marTop w:val="0"/>
                  <w:marBottom w:val="0"/>
                  <w:divBdr>
                    <w:top w:val="none" w:sz="0" w:space="0" w:color="auto"/>
                    <w:left w:val="none" w:sz="0" w:space="0" w:color="auto"/>
                    <w:bottom w:val="none" w:sz="0" w:space="0" w:color="auto"/>
                    <w:right w:val="none" w:sz="0" w:space="0" w:color="auto"/>
                  </w:divBdr>
                </w:div>
                <w:div w:id="618417455">
                  <w:marLeft w:val="0"/>
                  <w:marRight w:val="0"/>
                  <w:marTop w:val="0"/>
                  <w:marBottom w:val="0"/>
                  <w:divBdr>
                    <w:top w:val="none" w:sz="0" w:space="0" w:color="auto"/>
                    <w:left w:val="none" w:sz="0" w:space="0" w:color="auto"/>
                    <w:bottom w:val="none" w:sz="0" w:space="0" w:color="auto"/>
                    <w:right w:val="none" w:sz="0" w:space="0" w:color="auto"/>
                  </w:divBdr>
                </w:div>
                <w:div w:id="665791131">
                  <w:marLeft w:val="0"/>
                  <w:marRight w:val="0"/>
                  <w:marTop w:val="0"/>
                  <w:marBottom w:val="0"/>
                  <w:divBdr>
                    <w:top w:val="none" w:sz="0" w:space="0" w:color="auto"/>
                    <w:left w:val="none" w:sz="0" w:space="0" w:color="auto"/>
                    <w:bottom w:val="none" w:sz="0" w:space="0" w:color="auto"/>
                    <w:right w:val="none" w:sz="0" w:space="0" w:color="auto"/>
                  </w:divBdr>
                </w:div>
                <w:div w:id="671759756">
                  <w:marLeft w:val="0"/>
                  <w:marRight w:val="0"/>
                  <w:marTop w:val="0"/>
                  <w:marBottom w:val="0"/>
                  <w:divBdr>
                    <w:top w:val="none" w:sz="0" w:space="0" w:color="auto"/>
                    <w:left w:val="none" w:sz="0" w:space="0" w:color="auto"/>
                    <w:bottom w:val="none" w:sz="0" w:space="0" w:color="auto"/>
                    <w:right w:val="none" w:sz="0" w:space="0" w:color="auto"/>
                  </w:divBdr>
                </w:div>
                <w:div w:id="672268716">
                  <w:marLeft w:val="0"/>
                  <w:marRight w:val="0"/>
                  <w:marTop w:val="0"/>
                  <w:marBottom w:val="0"/>
                  <w:divBdr>
                    <w:top w:val="none" w:sz="0" w:space="0" w:color="auto"/>
                    <w:left w:val="none" w:sz="0" w:space="0" w:color="auto"/>
                    <w:bottom w:val="none" w:sz="0" w:space="0" w:color="auto"/>
                    <w:right w:val="none" w:sz="0" w:space="0" w:color="auto"/>
                  </w:divBdr>
                </w:div>
                <w:div w:id="718093580">
                  <w:marLeft w:val="0"/>
                  <w:marRight w:val="0"/>
                  <w:marTop w:val="0"/>
                  <w:marBottom w:val="0"/>
                  <w:divBdr>
                    <w:top w:val="none" w:sz="0" w:space="0" w:color="auto"/>
                    <w:left w:val="none" w:sz="0" w:space="0" w:color="auto"/>
                    <w:bottom w:val="none" w:sz="0" w:space="0" w:color="auto"/>
                    <w:right w:val="none" w:sz="0" w:space="0" w:color="auto"/>
                  </w:divBdr>
                </w:div>
                <w:div w:id="838542176">
                  <w:marLeft w:val="0"/>
                  <w:marRight w:val="0"/>
                  <w:marTop w:val="0"/>
                  <w:marBottom w:val="0"/>
                  <w:divBdr>
                    <w:top w:val="none" w:sz="0" w:space="0" w:color="auto"/>
                    <w:left w:val="none" w:sz="0" w:space="0" w:color="auto"/>
                    <w:bottom w:val="none" w:sz="0" w:space="0" w:color="auto"/>
                    <w:right w:val="none" w:sz="0" w:space="0" w:color="auto"/>
                  </w:divBdr>
                </w:div>
                <w:div w:id="899487327">
                  <w:marLeft w:val="0"/>
                  <w:marRight w:val="0"/>
                  <w:marTop w:val="0"/>
                  <w:marBottom w:val="0"/>
                  <w:divBdr>
                    <w:top w:val="none" w:sz="0" w:space="0" w:color="auto"/>
                    <w:left w:val="none" w:sz="0" w:space="0" w:color="auto"/>
                    <w:bottom w:val="none" w:sz="0" w:space="0" w:color="auto"/>
                    <w:right w:val="none" w:sz="0" w:space="0" w:color="auto"/>
                  </w:divBdr>
                </w:div>
                <w:div w:id="922450596">
                  <w:marLeft w:val="0"/>
                  <w:marRight w:val="0"/>
                  <w:marTop w:val="0"/>
                  <w:marBottom w:val="0"/>
                  <w:divBdr>
                    <w:top w:val="none" w:sz="0" w:space="0" w:color="auto"/>
                    <w:left w:val="none" w:sz="0" w:space="0" w:color="auto"/>
                    <w:bottom w:val="none" w:sz="0" w:space="0" w:color="auto"/>
                    <w:right w:val="none" w:sz="0" w:space="0" w:color="auto"/>
                  </w:divBdr>
                </w:div>
                <w:div w:id="952790456">
                  <w:marLeft w:val="0"/>
                  <w:marRight w:val="0"/>
                  <w:marTop w:val="0"/>
                  <w:marBottom w:val="0"/>
                  <w:divBdr>
                    <w:top w:val="none" w:sz="0" w:space="0" w:color="auto"/>
                    <w:left w:val="none" w:sz="0" w:space="0" w:color="auto"/>
                    <w:bottom w:val="none" w:sz="0" w:space="0" w:color="auto"/>
                    <w:right w:val="none" w:sz="0" w:space="0" w:color="auto"/>
                  </w:divBdr>
                </w:div>
                <w:div w:id="1003094454">
                  <w:marLeft w:val="0"/>
                  <w:marRight w:val="0"/>
                  <w:marTop w:val="0"/>
                  <w:marBottom w:val="0"/>
                  <w:divBdr>
                    <w:top w:val="none" w:sz="0" w:space="0" w:color="auto"/>
                    <w:left w:val="none" w:sz="0" w:space="0" w:color="auto"/>
                    <w:bottom w:val="none" w:sz="0" w:space="0" w:color="auto"/>
                    <w:right w:val="none" w:sz="0" w:space="0" w:color="auto"/>
                  </w:divBdr>
                </w:div>
                <w:div w:id="1040007308">
                  <w:marLeft w:val="0"/>
                  <w:marRight w:val="0"/>
                  <w:marTop w:val="0"/>
                  <w:marBottom w:val="0"/>
                  <w:divBdr>
                    <w:top w:val="none" w:sz="0" w:space="0" w:color="auto"/>
                    <w:left w:val="none" w:sz="0" w:space="0" w:color="auto"/>
                    <w:bottom w:val="none" w:sz="0" w:space="0" w:color="auto"/>
                    <w:right w:val="none" w:sz="0" w:space="0" w:color="auto"/>
                  </w:divBdr>
                </w:div>
                <w:div w:id="1142848741">
                  <w:marLeft w:val="0"/>
                  <w:marRight w:val="0"/>
                  <w:marTop w:val="0"/>
                  <w:marBottom w:val="0"/>
                  <w:divBdr>
                    <w:top w:val="none" w:sz="0" w:space="0" w:color="auto"/>
                    <w:left w:val="none" w:sz="0" w:space="0" w:color="auto"/>
                    <w:bottom w:val="none" w:sz="0" w:space="0" w:color="auto"/>
                    <w:right w:val="none" w:sz="0" w:space="0" w:color="auto"/>
                  </w:divBdr>
                </w:div>
                <w:div w:id="1345278523">
                  <w:marLeft w:val="0"/>
                  <w:marRight w:val="0"/>
                  <w:marTop w:val="0"/>
                  <w:marBottom w:val="0"/>
                  <w:divBdr>
                    <w:top w:val="none" w:sz="0" w:space="0" w:color="auto"/>
                    <w:left w:val="none" w:sz="0" w:space="0" w:color="auto"/>
                    <w:bottom w:val="none" w:sz="0" w:space="0" w:color="auto"/>
                    <w:right w:val="none" w:sz="0" w:space="0" w:color="auto"/>
                  </w:divBdr>
                </w:div>
                <w:div w:id="1394234950">
                  <w:marLeft w:val="0"/>
                  <w:marRight w:val="0"/>
                  <w:marTop w:val="0"/>
                  <w:marBottom w:val="0"/>
                  <w:divBdr>
                    <w:top w:val="none" w:sz="0" w:space="0" w:color="auto"/>
                    <w:left w:val="none" w:sz="0" w:space="0" w:color="auto"/>
                    <w:bottom w:val="none" w:sz="0" w:space="0" w:color="auto"/>
                    <w:right w:val="none" w:sz="0" w:space="0" w:color="auto"/>
                  </w:divBdr>
                </w:div>
                <w:div w:id="1425959239">
                  <w:marLeft w:val="0"/>
                  <w:marRight w:val="0"/>
                  <w:marTop w:val="0"/>
                  <w:marBottom w:val="0"/>
                  <w:divBdr>
                    <w:top w:val="none" w:sz="0" w:space="0" w:color="auto"/>
                    <w:left w:val="none" w:sz="0" w:space="0" w:color="auto"/>
                    <w:bottom w:val="none" w:sz="0" w:space="0" w:color="auto"/>
                    <w:right w:val="none" w:sz="0" w:space="0" w:color="auto"/>
                  </w:divBdr>
                </w:div>
                <w:div w:id="1446344666">
                  <w:marLeft w:val="0"/>
                  <w:marRight w:val="0"/>
                  <w:marTop w:val="0"/>
                  <w:marBottom w:val="0"/>
                  <w:divBdr>
                    <w:top w:val="none" w:sz="0" w:space="0" w:color="auto"/>
                    <w:left w:val="none" w:sz="0" w:space="0" w:color="auto"/>
                    <w:bottom w:val="none" w:sz="0" w:space="0" w:color="auto"/>
                    <w:right w:val="none" w:sz="0" w:space="0" w:color="auto"/>
                  </w:divBdr>
                </w:div>
                <w:div w:id="1507473827">
                  <w:marLeft w:val="0"/>
                  <w:marRight w:val="0"/>
                  <w:marTop w:val="0"/>
                  <w:marBottom w:val="0"/>
                  <w:divBdr>
                    <w:top w:val="none" w:sz="0" w:space="0" w:color="auto"/>
                    <w:left w:val="none" w:sz="0" w:space="0" w:color="auto"/>
                    <w:bottom w:val="none" w:sz="0" w:space="0" w:color="auto"/>
                    <w:right w:val="none" w:sz="0" w:space="0" w:color="auto"/>
                  </w:divBdr>
                </w:div>
                <w:div w:id="1593510676">
                  <w:marLeft w:val="0"/>
                  <w:marRight w:val="0"/>
                  <w:marTop w:val="0"/>
                  <w:marBottom w:val="0"/>
                  <w:divBdr>
                    <w:top w:val="none" w:sz="0" w:space="0" w:color="auto"/>
                    <w:left w:val="none" w:sz="0" w:space="0" w:color="auto"/>
                    <w:bottom w:val="none" w:sz="0" w:space="0" w:color="auto"/>
                    <w:right w:val="none" w:sz="0" w:space="0" w:color="auto"/>
                  </w:divBdr>
                </w:div>
                <w:div w:id="1610625178">
                  <w:marLeft w:val="0"/>
                  <w:marRight w:val="0"/>
                  <w:marTop w:val="0"/>
                  <w:marBottom w:val="0"/>
                  <w:divBdr>
                    <w:top w:val="none" w:sz="0" w:space="0" w:color="auto"/>
                    <w:left w:val="none" w:sz="0" w:space="0" w:color="auto"/>
                    <w:bottom w:val="none" w:sz="0" w:space="0" w:color="auto"/>
                    <w:right w:val="none" w:sz="0" w:space="0" w:color="auto"/>
                  </w:divBdr>
                </w:div>
                <w:div w:id="1743135218">
                  <w:marLeft w:val="0"/>
                  <w:marRight w:val="0"/>
                  <w:marTop w:val="0"/>
                  <w:marBottom w:val="0"/>
                  <w:divBdr>
                    <w:top w:val="none" w:sz="0" w:space="0" w:color="auto"/>
                    <w:left w:val="none" w:sz="0" w:space="0" w:color="auto"/>
                    <w:bottom w:val="none" w:sz="0" w:space="0" w:color="auto"/>
                    <w:right w:val="none" w:sz="0" w:space="0" w:color="auto"/>
                  </w:divBdr>
                </w:div>
                <w:div w:id="1755980049">
                  <w:marLeft w:val="0"/>
                  <w:marRight w:val="0"/>
                  <w:marTop w:val="0"/>
                  <w:marBottom w:val="0"/>
                  <w:divBdr>
                    <w:top w:val="none" w:sz="0" w:space="0" w:color="auto"/>
                    <w:left w:val="none" w:sz="0" w:space="0" w:color="auto"/>
                    <w:bottom w:val="none" w:sz="0" w:space="0" w:color="auto"/>
                    <w:right w:val="none" w:sz="0" w:space="0" w:color="auto"/>
                  </w:divBdr>
                </w:div>
                <w:div w:id="1854104251">
                  <w:marLeft w:val="0"/>
                  <w:marRight w:val="0"/>
                  <w:marTop w:val="0"/>
                  <w:marBottom w:val="0"/>
                  <w:divBdr>
                    <w:top w:val="none" w:sz="0" w:space="0" w:color="auto"/>
                    <w:left w:val="none" w:sz="0" w:space="0" w:color="auto"/>
                    <w:bottom w:val="none" w:sz="0" w:space="0" w:color="auto"/>
                    <w:right w:val="none" w:sz="0" w:space="0" w:color="auto"/>
                  </w:divBdr>
                </w:div>
                <w:div w:id="1923097550">
                  <w:marLeft w:val="0"/>
                  <w:marRight w:val="0"/>
                  <w:marTop w:val="0"/>
                  <w:marBottom w:val="0"/>
                  <w:divBdr>
                    <w:top w:val="none" w:sz="0" w:space="0" w:color="auto"/>
                    <w:left w:val="none" w:sz="0" w:space="0" w:color="auto"/>
                    <w:bottom w:val="none" w:sz="0" w:space="0" w:color="auto"/>
                    <w:right w:val="none" w:sz="0" w:space="0" w:color="auto"/>
                  </w:divBdr>
                </w:div>
                <w:div w:id="2033337287">
                  <w:marLeft w:val="0"/>
                  <w:marRight w:val="0"/>
                  <w:marTop w:val="0"/>
                  <w:marBottom w:val="0"/>
                  <w:divBdr>
                    <w:top w:val="none" w:sz="0" w:space="0" w:color="auto"/>
                    <w:left w:val="none" w:sz="0" w:space="0" w:color="auto"/>
                    <w:bottom w:val="none" w:sz="0" w:space="0" w:color="auto"/>
                    <w:right w:val="none" w:sz="0" w:space="0" w:color="auto"/>
                  </w:divBdr>
                </w:div>
                <w:div w:id="208976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492733">
      <w:bodyDiv w:val="1"/>
      <w:marLeft w:val="0"/>
      <w:marRight w:val="0"/>
      <w:marTop w:val="0"/>
      <w:marBottom w:val="0"/>
      <w:divBdr>
        <w:top w:val="none" w:sz="0" w:space="0" w:color="auto"/>
        <w:left w:val="none" w:sz="0" w:space="0" w:color="auto"/>
        <w:bottom w:val="none" w:sz="0" w:space="0" w:color="auto"/>
        <w:right w:val="none" w:sz="0" w:space="0" w:color="auto"/>
      </w:divBdr>
    </w:div>
    <w:div w:id="1799563894">
      <w:bodyDiv w:val="1"/>
      <w:marLeft w:val="0"/>
      <w:marRight w:val="0"/>
      <w:marTop w:val="0"/>
      <w:marBottom w:val="0"/>
      <w:divBdr>
        <w:top w:val="none" w:sz="0" w:space="0" w:color="auto"/>
        <w:left w:val="none" w:sz="0" w:space="0" w:color="auto"/>
        <w:bottom w:val="none" w:sz="0" w:space="0" w:color="auto"/>
        <w:right w:val="none" w:sz="0" w:space="0" w:color="auto"/>
      </w:divBdr>
    </w:div>
    <w:div w:id="1802263314">
      <w:bodyDiv w:val="1"/>
      <w:marLeft w:val="0"/>
      <w:marRight w:val="0"/>
      <w:marTop w:val="0"/>
      <w:marBottom w:val="0"/>
      <w:divBdr>
        <w:top w:val="none" w:sz="0" w:space="0" w:color="auto"/>
        <w:left w:val="none" w:sz="0" w:space="0" w:color="auto"/>
        <w:bottom w:val="none" w:sz="0" w:space="0" w:color="auto"/>
        <w:right w:val="none" w:sz="0" w:space="0" w:color="auto"/>
      </w:divBdr>
    </w:div>
    <w:div w:id="1807356118">
      <w:bodyDiv w:val="1"/>
      <w:marLeft w:val="0"/>
      <w:marRight w:val="0"/>
      <w:marTop w:val="0"/>
      <w:marBottom w:val="0"/>
      <w:divBdr>
        <w:top w:val="none" w:sz="0" w:space="0" w:color="auto"/>
        <w:left w:val="none" w:sz="0" w:space="0" w:color="auto"/>
        <w:bottom w:val="none" w:sz="0" w:space="0" w:color="auto"/>
        <w:right w:val="none" w:sz="0" w:space="0" w:color="auto"/>
      </w:divBdr>
    </w:div>
    <w:div w:id="1809736757">
      <w:bodyDiv w:val="1"/>
      <w:marLeft w:val="0"/>
      <w:marRight w:val="0"/>
      <w:marTop w:val="0"/>
      <w:marBottom w:val="0"/>
      <w:divBdr>
        <w:top w:val="none" w:sz="0" w:space="0" w:color="auto"/>
        <w:left w:val="none" w:sz="0" w:space="0" w:color="auto"/>
        <w:bottom w:val="none" w:sz="0" w:space="0" w:color="auto"/>
        <w:right w:val="none" w:sz="0" w:space="0" w:color="auto"/>
      </w:divBdr>
    </w:div>
    <w:div w:id="1810397661">
      <w:bodyDiv w:val="1"/>
      <w:marLeft w:val="0"/>
      <w:marRight w:val="0"/>
      <w:marTop w:val="0"/>
      <w:marBottom w:val="0"/>
      <w:divBdr>
        <w:top w:val="none" w:sz="0" w:space="0" w:color="auto"/>
        <w:left w:val="none" w:sz="0" w:space="0" w:color="auto"/>
        <w:bottom w:val="none" w:sz="0" w:space="0" w:color="auto"/>
        <w:right w:val="none" w:sz="0" w:space="0" w:color="auto"/>
      </w:divBdr>
    </w:div>
    <w:div w:id="1815678007">
      <w:bodyDiv w:val="1"/>
      <w:marLeft w:val="0"/>
      <w:marRight w:val="0"/>
      <w:marTop w:val="0"/>
      <w:marBottom w:val="0"/>
      <w:divBdr>
        <w:top w:val="none" w:sz="0" w:space="0" w:color="auto"/>
        <w:left w:val="none" w:sz="0" w:space="0" w:color="auto"/>
        <w:bottom w:val="none" w:sz="0" w:space="0" w:color="auto"/>
        <w:right w:val="none" w:sz="0" w:space="0" w:color="auto"/>
      </w:divBdr>
    </w:div>
    <w:div w:id="1817186037">
      <w:bodyDiv w:val="1"/>
      <w:marLeft w:val="0"/>
      <w:marRight w:val="0"/>
      <w:marTop w:val="0"/>
      <w:marBottom w:val="0"/>
      <w:divBdr>
        <w:top w:val="none" w:sz="0" w:space="0" w:color="auto"/>
        <w:left w:val="none" w:sz="0" w:space="0" w:color="auto"/>
        <w:bottom w:val="none" w:sz="0" w:space="0" w:color="auto"/>
        <w:right w:val="none" w:sz="0" w:space="0" w:color="auto"/>
      </w:divBdr>
    </w:div>
    <w:div w:id="1818690200">
      <w:bodyDiv w:val="1"/>
      <w:marLeft w:val="0"/>
      <w:marRight w:val="0"/>
      <w:marTop w:val="0"/>
      <w:marBottom w:val="0"/>
      <w:divBdr>
        <w:top w:val="none" w:sz="0" w:space="0" w:color="auto"/>
        <w:left w:val="none" w:sz="0" w:space="0" w:color="auto"/>
        <w:bottom w:val="none" w:sz="0" w:space="0" w:color="auto"/>
        <w:right w:val="none" w:sz="0" w:space="0" w:color="auto"/>
      </w:divBdr>
    </w:div>
    <w:div w:id="1820223465">
      <w:bodyDiv w:val="1"/>
      <w:marLeft w:val="0"/>
      <w:marRight w:val="0"/>
      <w:marTop w:val="0"/>
      <w:marBottom w:val="0"/>
      <w:divBdr>
        <w:top w:val="none" w:sz="0" w:space="0" w:color="auto"/>
        <w:left w:val="none" w:sz="0" w:space="0" w:color="auto"/>
        <w:bottom w:val="none" w:sz="0" w:space="0" w:color="auto"/>
        <w:right w:val="none" w:sz="0" w:space="0" w:color="auto"/>
      </w:divBdr>
    </w:div>
    <w:div w:id="1827814515">
      <w:bodyDiv w:val="1"/>
      <w:marLeft w:val="0"/>
      <w:marRight w:val="0"/>
      <w:marTop w:val="0"/>
      <w:marBottom w:val="0"/>
      <w:divBdr>
        <w:top w:val="none" w:sz="0" w:space="0" w:color="auto"/>
        <w:left w:val="none" w:sz="0" w:space="0" w:color="auto"/>
        <w:bottom w:val="none" w:sz="0" w:space="0" w:color="auto"/>
        <w:right w:val="none" w:sz="0" w:space="0" w:color="auto"/>
      </w:divBdr>
    </w:div>
    <w:div w:id="1830750008">
      <w:bodyDiv w:val="1"/>
      <w:marLeft w:val="0"/>
      <w:marRight w:val="0"/>
      <w:marTop w:val="0"/>
      <w:marBottom w:val="0"/>
      <w:divBdr>
        <w:top w:val="none" w:sz="0" w:space="0" w:color="auto"/>
        <w:left w:val="none" w:sz="0" w:space="0" w:color="auto"/>
        <w:bottom w:val="none" w:sz="0" w:space="0" w:color="auto"/>
        <w:right w:val="none" w:sz="0" w:space="0" w:color="auto"/>
      </w:divBdr>
    </w:div>
    <w:div w:id="1830780550">
      <w:bodyDiv w:val="1"/>
      <w:marLeft w:val="0"/>
      <w:marRight w:val="0"/>
      <w:marTop w:val="0"/>
      <w:marBottom w:val="0"/>
      <w:divBdr>
        <w:top w:val="none" w:sz="0" w:space="0" w:color="auto"/>
        <w:left w:val="none" w:sz="0" w:space="0" w:color="auto"/>
        <w:bottom w:val="none" w:sz="0" w:space="0" w:color="auto"/>
        <w:right w:val="none" w:sz="0" w:space="0" w:color="auto"/>
      </w:divBdr>
    </w:div>
    <w:div w:id="1833570359">
      <w:bodyDiv w:val="1"/>
      <w:marLeft w:val="0"/>
      <w:marRight w:val="0"/>
      <w:marTop w:val="0"/>
      <w:marBottom w:val="0"/>
      <w:divBdr>
        <w:top w:val="none" w:sz="0" w:space="0" w:color="auto"/>
        <w:left w:val="none" w:sz="0" w:space="0" w:color="auto"/>
        <w:bottom w:val="none" w:sz="0" w:space="0" w:color="auto"/>
        <w:right w:val="none" w:sz="0" w:space="0" w:color="auto"/>
      </w:divBdr>
    </w:div>
    <w:div w:id="1837452443">
      <w:bodyDiv w:val="1"/>
      <w:marLeft w:val="0"/>
      <w:marRight w:val="0"/>
      <w:marTop w:val="0"/>
      <w:marBottom w:val="0"/>
      <w:divBdr>
        <w:top w:val="none" w:sz="0" w:space="0" w:color="auto"/>
        <w:left w:val="none" w:sz="0" w:space="0" w:color="auto"/>
        <w:bottom w:val="none" w:sz="0" w:space="0" w:color="auto"/>
        <w:right w:val="none" w:sz="0" w:space="0" w:color="auto"/>
      </w:divBdr>
    </w:div>
    <w:div w:id="1841383879">
      <w:bodyDiv w:val="1"/>
      <w:marLeft w:val="0"/>
      <w:marRight w:val="0"/>
      <w:marTop w:val="0"/>
      <w:marBottom w:val="0"/>
      <w:divBdr>
        <w:top w:val="none" w:sz="0" w:space="0" w:color="auto"/>
        <w:left w:val="none" w:sz="0" w:space="0" w:color="auto"/>
        <w:bottom w:val="none" w:sz="0" w:space="0" w:color="auto"/>
        <w:right w:val="none" w:sz="0" w:space="0" w:color="auto"/>
      </w:divBdr>
    </w:div>
    <w:div w:id="1842968482">
      <w:bodyDiv w:val="1"/>
      <w:marLeft w:val="0"/>
      <w:marRight w:val="0"/>
      <w:marTop w:val="0"/>
      <w:marBottom w:val="0"/>
      <w:divBdr>
        <w:top w:val="none" w:sz="0" w:space="0" w:color="auto"/>
        <w:left w:val="none" w:sz="0" w:space="0" w:color="auto"/>
        <w:bottom w:val="none" w:sz="0" w:space="0" w:color="auto"/>
        <w:right w:val="none" w:sz="0" w:space="0" w:color="auto"/>
      </w:divBdr>
    </w:div>
    <w:div w:id="1845053158">
      <w:bodyDiv w:val="1"/>
      <w:marLeft w:val="0"/>
      <w:marRight w:val="0"/>
      <w:marTop w:val="0"/>
      <w:marBottom w:val="0"/>
      <w:divBdr>
        <w:top w:val="none" w:sz="0" w:space="0" w:color="auto"/>
        <w:left w:val="none" w:sz="0" w:space="0" w:color="auto"/>
        <w:bottom w:val="none" w:sz="0" w:space="0" w:color="auto"/>
        <w:right w:val="none" w:sz="0" w:space="0" w:color="auto"/>
      </w:divBdr>
    </w:div>
    <w:div w:id="1845315595">
      <w:bodyDiv w:val="1"/>
      <w:marLeft w:val="0"/>
      <w:marRight w:val="0"/>
      <w:marTop w:val="0"/>
      <w:marBottom w:val="0"/>
      <w:divBdr>
        <w:top w:val="none" w:sz="0" w:space="0" w:color="auto"/>
        <w:left w:val="none" w:sz="0" w:space="0" w:color="auto"/>
        <w:bottom w:val="none" w:sz="0" w:space="0" w:color="auto"/>
        <w:right w:val="none" w:sz="0" w:space="0" w:color="auto"/>
      </w:divBdr>
    </w:div>
    <w:div w:id="1846090197">
      <w:bodyDiv w:val="1"/>
      <w:marLeft w:val="0"/>
      <w:marRight w:val="0"/>
      <w:marTop w:val="0"/>
      <w:marBottom w:val="0"/>
      <w:divBdr>
        <w:top w:val="none" w:sz="0" w:space="0" w:color="auto"/>
        <w:left w:val="none" w:sz="0" w:space="0" w:color="auto"/>
        <w:bottom w:val="none" w:sz="0" w:space="0" w:color="auto"/>
        <w:right w:val="none" w:sz="0" w:space="0" w:color="auto"/>
      </w:divBdr>
    </w:div>
    <w:div w:id="1847943246">
      <w:bodyDiv w:val="1"/>
      <w:marLeft w:val="0"/>
      <w:marRight w:val="0"/>
      <w:marTop w:val="0"/>
      <w:marBottom w:val="0"/>
      <w:divBdr>
        <w:top w:val="none" w:sz="0" w:space="0" w:color="auto"/>
        <w:left w:val="none" w:sz="0" w:space="0" w:color="auto"/>
        <w:bottom w:val="none" w:sz="0" w:space="0" w:color="auto"/>
        <w:right w:val="none" w:sz="0" w:space="0" w:color="auto"/>
      </w:divBdr>
    </w:div>
    <w:div w:id="1848516178">
      <w:bodyDiv w:val="1"/>
      <w:marLeft w:val="0"/>
      <w:marRight w:val="0"/>
      <w:marTop w:val="0"/>
      <w:marBottom w:val="0"/>
      <w:divBdr>
        <w:top w:val="none" w:sz="0" w:space="0" w:color="auto"/>
        <w:left w:val="none" w:sz="0" w:space="0" w:color="auto"/>
        <w:bottom w:val="none" w:sz="0" w:space="0" w:color="auto"/>
        <w:right w:val="none" w:sz="0" w:space="0" w:color="auto"/>
      </w:divBdr>
    </w:div>
    <w:div w:id="1853496376">
      <w:bodyDiv w:val="1"/>
      <w:marLeft w:val="0"/>
      <w:marRight w:val="0"/>
      <w:marTop w:val="0"/>
      <w:marBottom w:val="0"/>
      <w:divBdr>
        <w:top w:val="none" w:sz="0" w:space="0" w:color="auto"/>
        <w:left w:val="none" w:sz="0" w:space="0" w:color="auto"/>
        <w:bottom w:val="none" w:sz="0" w:space="0" w:color="auto"/>
        <w:right w:val="none" w:sz="0" w:space="0" w:color="auto"/>
      </w:divBdr>
    </w:div>
    <w:div w:id="1854949055">
      <w:bodyDiv w:val="1"/>
      <w:marLeft w:val="0"/>
      <w:marRight w:val="0"/>
      <w:marTop w:val="0"/>
      <w:marBottom w:val="0"/>
      <w:divBdr>
        <w:top w:val="none" w:sz="0" w:space="0" w:color="auto"/>
        <w:left w:val="none" w:sz="0" w:space="0" w:color="auto"/>
        <w:bottom w:val="none" w:sz="0" w:space="0" w:color="auto"/>
        <w:right w:val="none" w:sz="0" w:space="0" w:color="auto"/>
      </w:divBdr>
    </w:div>
    <w:div w:id="1856766240">
      <w:bodyDiv w:val="1"/>
      <w:marLeft w:val="0"/>
      <w:marRight w:val="0"/>
      <w:marTop w:val="0"/>
      <w:marBottom w:val="0"/>
      <w:divBdr>
        <w:top w:val="none" w:sz="0" w:space="0" w:color="auto"/>
        <w:left w:val="none" w:sz="0" w:space="0" w:color="auto"/>
        <w:bottom w:val="none" w:sz="0" w:space="0" w:color="auto"/>
        <w:right w:val="none" w:sz="0" w:space="0" w:color="auto"/>
      </w:divBdr>
    </w:div>
    <w:div w:id="1858620100">
      <w:bodyDiv w:val="1"/>
      <w:marLeft w:val="0"/>
      <w:marRight w:val="0"/>
      <w:marTop w:val="0"/>
      <w:marBottom w:val="0"/>
      <w:divBdr>
        <w:top w:val="none" w:sz="0" w:space="0" w:color="auto"/>
        <w:left w:val="none" w:sz="0" w:space="0" w:color="auto"/>
        <w:bottom w:val="none" w:sz="0" w:space="0" w:color="auto"/>
        <w:right w:val="none" w:sz="0" w:space="0" w:color="auto"/>
      </w:divBdr>
    </w:div>
    <w:div w:id="1859193437">
      <w:bodyDiv w:val="1"/>
      <w:marLeft w:val="0"/>
      <w:marRight w:val="0"/>
      <w:marTop w:val="0"/>
      <w:marBottom w:val="0"/>
      <w:divBdr>
        <w:top w:val="none" w:sz="0" w:space="0" w:color="auto"/>
        <w:left w:val="none" w:sz="0" w:space="0" w:color="auto"/>
        <w:bottom w:val="none" w:sz="0" w:space="0" w:color="auto"/>
        <w:right w:val="none" w:sz="0" w:space="0" w:color="auto"/>
      </w:divBdr>
    </w:div>
    <w:div w:id="1859855786">
      <w:bodyDiv w:val="1"/>
      <w:marLeft w:val="0"/>
      <w:marRight w:val="0"/>
      <w:marTop w:val="0"/>
      <w:marBottom w:val="0"/>
      <w:divBdr>
        <w:top w:val="none" w:sz="0" w:space="0" w:color="auto"/>
        <w:left w:val="none" w:sz="0" w:space="0" w:color="auto"/>
        <w:bottom w:val="none" w:sz="0" w:space="0" w:color="auto"/>
        <w:right w:val="none" w:sz="0" w:space="0" w:color="auto"/>
      </w:divBdr>
    </w:div>
    <w:div w:id="1864514508">
      <w:bodyDiv w:val="1"/>
      <w:marLeft w:val="0"/>
      <w:marRight w:val="0"/>
      <w:marTop w:val="0"/>
      <w:marBottom w:val="0"/>
      <w:divBdr>
        <w:top w:val="none" w:sz="0" w:space="0" w:color="auto"/>
        <w:left w:val="none" w:sz="0" w:space="0" w:color="auto"/>
        <w:bottom w:val="none" w:sz="0" w:space="0" w:color="auto"/>
        <w:right w:val="none" w:sz="0" w:space="0" w:color="auto"/>
      </w:divBdr>
    </w:div>
    <w:div w:id="1864591573">
      <w:bodyDiv w:val="1"/>
      <w:marLeft w:val="0"/>
      <w:marRight w:val="0"/>
      <w:marTop w:val="0"/>
      <w:marBottom w:val="0"/>
      <w:divBdr>
        <w:top w:val="none" w:sz="0" w:space="0" w:color="auto"/>
        <w:left w:val="none" w:sz="0" w:space="0" w:color="auto"/>
        <w:bottom w:val="none" w:sz="0" w:space="0" w:color="auto"/>
        <w:right w:val="none" w:sz="0" w:space="0" w:color="auto"/>
      </w:divBdr>
    </w:div>
    <w:div w:id="1866825671">
      <w:bodyDiv w:val="1"/>
      <w:marLeft w:val="0"/>
      <w:marRight w:val="0"/>
      <w:marTop w:val="0"/>
      <w:marBottom w:val="0"/>
      <w:divBdr>
        <w:top w:val="none" w:sz="0" w:space="0" w:color="auto"/>
        <w:left w:val="none" w:sz="0" w:space="0" w:color="auto"/>
        <w:bottom w:val="none" w:sz="0" w:space="0" w:color="auto"/>
        <w:right w:val="none" w:sz="0" w:space="0" w:color="auto"/>
      </w:divBdr>
    </w:div>
    <w:div w:id="1868567075">
      <w:bodyDiv w:val="1"/>
      <w:marLeft w:val="0"/>
      <w:marRight w:val="0"/>
      <w:marTop w:val="0"/>
      <w:marBottom w:val="0"/>
      <w:divBdr>
        <w:top w:val="none" w:sz="0" w:space="0" w:color="auto"/>
        <w:left w:val="none" w:sz="0" w:space="0" w:color="auto"/>
        <w:bottom w:val="none" w:sz="0" w:space="0" w:color="auto"/>
        <w:right w:val="none" w:sz="0" w:space="0" w:color="auto"/>
      </w:divBdr>
    </w:div>
    <w:div w:id="1877888842">
      <w:bodyDiv w:val="1"/>
      <w:marLeft w:val="0"/>
      <w:marRight w:val="0"/>
      <w:marTop w:val="0"/>
      <w:marBottom w:val="0"/>
      <w:divBdr>
        <w:top w:val="none" w:sz="0" w:space="0" w:color="auto"/>
        <w:left w:val="none" w:sz="0" w:space="0" w:color="auto"/>
        <w:bottom w:val="none" w:sz="0" w:space="0" w:color="auto"/>
        <w:right w:val="none" w:sz="0" w:space="0" w:color="auto"/>
      </w:divBdr>
    </w:div>
    <w:div w:id="1879394335">
      <w:bodyDiv w:val="1"/>
      <w:marLeft w:val="0"/>
      <w:marRight w:val="0"/>
      <w:marTop w:val="0"/>
      <w:marBottom w:val="0"/>
      <w:divBdr>
        <w:top w:val="none" w:sz="0" w:space="0" w:color="auto"/>
        <w:left w:val="none" w:sz="0" w:space="0" w:color="auto"/>
        <w:bottom w:val="none" w:sz="0" w:space="0" w:color="auto"/>
        <w:right w:val="none" w:sz="0" w:space="0" w:color="auto"/>
      </w:divBdr>
    </w:div>
    <w:div w:id="1881622127">
      <w:bodyDiv w:val="1"/>
      <w:marLeft w:val="0"/>
      <w:marRight w:val="0"/>
      <w:marTop w:val="0"/>
      <w:marBottom w:val="0"/>
      <w:divBdr>
        <w:top w:val="none" w:sz="0" w:space="0" w:color="auto"/>
        <w:left w:val="none" w:sz="0" w:space="0" w:color="auto"/>
        <w:bottom w:val="none" w:sz="0" w:space="0" w:color="auto"/>
        <w:right w:val="none" w:sz="0" w:space="0" w:color="auto"/>
      </w:divBdr>
    </w:div>
    <w:div w:id="1881697893">
      <w:bodyDiv w:val="1"/>
      <w:marLeft w:val="0"/>
      <w:marRight w:val="0"/>
      <w:marTop w:val="0"/>
      <w:marBottom w:val="0"/>
      <w:divBdr>
        <w:top w:val="none" w:sz="0" w:space="0" w:color="auto"/>
        <w:left w:val="none" w:sz="0" w:space="0" w:color="auto"/>
        <w:bottom w:val="none" w:sz="0" w:space="0" w:color="auto"/>
        <w:right w:val="none" w:sz="0" w:space="0" w:color="auto"/>
      </w:divBdr>
    </w:div>
    <w:div w:id="1882203900">
      <w:bodyDiv w:val="1"/>
      <w:marLeft w:val="0"/>
      <w:marRight w:val="0"/>
      <w:marTop w:val="0"/>
      <w:marBottom w:val="0"/>
      <w:divBdr>
        <w:top w:val="none" w:sz="0" w:space="0" w:color="auto"/>
        <w:left w:val="none" w:sz="0" w:space="0" w:color="auto"/>
        <w:bottom w:val="none" w:sz="0" w:space="0" w:color="auto"/>
        <w:right w:val="none" w:sz="0" w:space="0" w:color="auto"/>
      </w:divBdr>
    </w:div>
    <w:div w:id="1886329089">
      <w:bodyDiv w:val="1"/>
      <w:marLeft w:val="0"/>
      <w:marRight w:val="0"/>
      <w:marTop w:val="0"/>
      <w:marBottom w:val="0"/>
      <w:divBdr>
        <w:top w:val="none" w:sz="0" w:space="0" w:color="auto"/>
        <w:left w:val="none" w:sz="0" w:space="0" w:color="auto"/>
        <w:bottom w:val="none" w:sz="0" w:space="0" w:color="auto"/>
        <w:right w:val="none" w:sz="0" w:space="0" w:color="auto"/>
      </w:divBdr>
    </w:div>
    <w:div w:id="1886482690">
      <w:bodyDiv w:val="1"/>
      <w:marLeft w:val="0"/>
      <w:marRight w:val="0"/>
      <w:marTop w:val="0"/>
      <w:marBottom w:val="0"/>
      <w:divBdr>
        <w:top w:val="none" w:sz="0" w:space="0" w:color="auto"/>
        <w:left w:val="none" w:sz="0" w:space="0" w:color="auto"/>
        <w:bottom w:val="none" w:sz="0" w:space="0" w:color="auto"/>
        <w:right w:val="none" w:sz="0" w:space="0" w:color="auto"/>
      </w:divBdr>
    </w:div>
    <w:div w:id="1890680768">
      <w:bodyDiv w:val="1"/>
      <w:marLeft w:val="0"/>
      <w:marRight w:val="0"/>
      <w:marTop w:val="0"/>
      <w:marBottom w:val="0"/>
      <w:divBdr>
        <w:top w:val="none" w:sz="0" w:space="0" w:color="auto"/>
        <w:left w:val="none" w:sz="0" w:space="0" w:color="auto"/>
        <w:bottom w:val="none" w:sz="0" w:space="0" w:color="auto"/>
        <w:right w:val="none" w:sz="0" w:space="0" w:color="auto"/>
      </w:divBdr>
    </w:div>
    <w:div w:id="1895769388">
      <w:bodyDiv w:val="1"/>
      <w:marLeft w:val="0"/>
      <w:marRight w:val="0"/>
      <w:marTop w:val="0"/>
      <w:marBottom w:val="0"/>
      <w:divBdr>
        <w:top w:val="none" w:sz="0" w:space="0" w:color="auto"/>
        <w:left w:val="none" w:sz="0" w:space="0" w:color="auto"/>
        <w:bottom w:val="none" w:sz="0" w:space="0" w:color="auto"/>
        <w:right w:val="none" w:sz="0" w:space="0" w:color="auto"/>
      </w:divBdr>
    </w:div>
    <w:div w:id="1896695038">
      <w:bodyDiv w:val="1"/>
      <w:marLeft w:val="0"/>
      <w:marRight w:val="0"/>
      <w:marTop w:val="0"/>
      <w:marBottom w:val="0"/>
      <w:divBdr>
        <w:top w:val="none" w:sz="0" w:space="0" w:color="auto"/>
        <w:left w:val="none" w:sz="0" w:space="0" w:color="auto"/>
        <w:bottom w:val="none" w:sz="0" w:space="0" w:color="auto"/>
        <w:right w:val="none" w:sz="0" w:space="0" w:color="auto"/>
      </w:divBdr>
    </w:div>
    <w:div w:id="1896967158">
      <w:bodyDiv w:val="1"/>
      <w:marLeft w:val="0"/>
      <w:marRight w:val="0"/>
      <w:marTop w:val="0"/>
      <w:marBottom w:val="0"/>
      <w:divBdr>
        <w:top w:val="none" w:sz="0" w:space="0" w:color="auto"/>
        <w:left w:val="none" w:sz="0" w:space="0" w:color="auto"/>
        <w:bottom w:val="none" w:sz="0" w:space="0" w:color="auto"/>
        <w:right w:val="none" w:sz="0" w:space="0" w:color="auto"/>
      </w:divBdr>
    </w:div>
    <w:div w:id="1902445809">
      <w:bodyDiv w:val="1"/>
      <w:marLeft w:val="0"/>
      <w:marRight w:val="0"/>
      <w:marTop w:val="0"/>
      <w:marBottom w:val="0"/>
      <w:divBdr>
        <w:top w:val="none" w:sz="0" w:space="0" w:color="auto"/>
        <w:left w:val="none" w:sz="0" w:space="0" w:color="auto"/>
        <w:bottom w:val="none" w:sz="0" w:space="0" w:color="auto"/>
        <w:right w:val="none" w:sz="0" w:space="0" w:color="auto"/>
      </w:divBdr>
    </w:div>
    <w:div w:id="1903053905">
      <w:bodyDiv w:val="1"/>
      <w:marLeft w:val="0"/>
      <w:marRight w:val="0"/>
      <w:marTop w:val="0"/>
      <w:marBottom w:val="0"/>
      <w:divBdr>
        <w:top w:val="none" w:sz="0" w:space="0" w:color="auto"/>
        <w:left w:val="none" w:sz="0" w:space="0" w:color="auto"/>
        <w:bottom w:val="none" w:sz="0" w:space="0" w:color="auto"/>
        <w:right w:val="none" w:sz="0" w:space="0" w:color="auto"/>
      </w:divBdr>
    </w:div>
    <w:div w:id="1905069332">
      <w:bodyDiv w:val="1"/>
      <w:marLeft w:val="0"/>
      <w:marRight w:val="0"/>
      <w:marTop w:val="0"/>
      <w:marBottom w:val="0"/>
      <w:divBdr>
        <w:top w:val="none" w:sz="0" w:space="0" w:color="auto"/>
        <w:left w:val="none" w:sz="0" w:space="0" w:color="auto"/>
        <w:bottom w:val="none" w:sz="0" w:space="0" w:color="auto"/>
        <w:right w:val="none" w:sz="0" w:space="0" w:color="auto"/>
      </w:divBdr>
    </w:div>
    <w:div w:id="1913539255">
      <w:bodyDiv w:val="1"/>
      <w:marLeft w:val="0"/>
      <w:marRight w:val="0"/>
      <w:marTop w:val="0"/>
      <w:marBottom w:val="0"/>
      <w:divBdr>
        <w:top w:val="none" w:sz="0" w:space="0" w:color="auto"/>
        <w:left w:val="none" w:sz="0" w:space="0" w:color="auto"/>
        <w:bottom w:val="none" w:sz="0" w:space="0" w:color="auto"/>
        <w:right w:val="none" w:sz="0" w:space="0" w:color="auto"/>
      </w:divBdr>
    </w:div>
    <w:div w:id="1916013267">
      <w:bodyDiv w:val="1"/>
      <w:marLeft w:val="0"/>
      <w:marRight w:val="0"/>
      <w:marTop w:val="0"/>
      <w:marBottom w:val="0"/>
      <w:divBdr>
        <w:top w:val="none" w:sz="0" w:space="0" w:color="auto"/>
        <w:left w:val="none" w:sz="0" w:space="0" w:color="auto"/>
        <w:bottom w:val="none" w:sz="0" w:space="0" w:color="auto"/>
        <w:right w:val="none" w:sz="0" w:space="0" w:color="auto"/>
      </w:divBdr>
    </w:div>
    <w:div w:id="1917086354">
      <w:bodyDiv w:val="1"/>
      <w:marLeft w:val="0"/>
      <w:marRight w:val="0"/>
      <w:marTop w:val="0"/>
      <w:marBottom w:val="0"/>
      <w:divBdr>
        <w:top w:val="none" w:sz="0" w:space="0" w:color="auto"/>
        <w:left w:val="none" w:sz="0" w:space="0" w:color="auto"/>
        <w:bottom w:val="none" w:sz="0" w:space="0" w:color="auto"/>
        <w:right w:val="none" w:sz="0" w:space="0" w:color="auto"/>
      </w:divBdr>
    </w:div>
    <w:div w:id="1928925457">
      <w:bodyDiv w:val="1"/>
      <w:marLeft w:val="0"/>
      <w:marRight w:val="0"/>
      <w:marTop w:val="0"/>
      <w:marBottom w:val="0"/>
      <w:divBdr>
        <w:top w:val="none" w:sz="0" w:space="0" w:color="auto"/>
        <w:left w:val="none" w:sz="0" w:space="0" w:color="auto"/>
        <w:bottom w:val="none" w:sz="0" w:space="0" w:color="auto"/>
        <w:right w:val="none" w:sz="0" w:space="0" w:color="auto"/>
      </w:divBdr>
    </w:div>
    <w:div w:id="1930383223">
      <w:bodyDiv w:val="1"/>
      <w:marLeft w:val="0"/>
      <w:marRight w:val="0"/>
      <w:marTop w:val="0"/>
      <w:marBottom w:val="0"/>
      <w:divBdr>
        <w:top w:val="none" w:sz="0" w:space="0" w:color="auto"/>
        <w:left w:val="none" w:sz="0" w:space="0" w:color="auto"/>
        <w:bottom w:val="none" w:sz="0" w:space="0" w:color="auto"/>
        <w:right w:val="none" w:sz="0" w:space="0" w:color="auto"/>
      </w:divBdr>
    </w:div>
    <w:div w:id="1936744786">
      <w:bodyDiv w:val="1"/>
      <w:marLeft w:val="0"/>
      <w:marRight w:val="0"/>
      <w:marTop w:val="0"/>
      <w:marBottom w:val="0"/>
      <w:divBdr>
        <w:top w:val="none" w:sz="0" w:space="0" w:color="auto"/>
        <w:left w:val="none" w:sz="0" w:space="0" w:color="auto"/>
        <w:bottom w:val="none" w:sz="0" w:space="0" w:color="auto"/>
        <w:right w:val="none" w:sz="0" w:space="0" w:color="auto"/>
      </w:divBdr>
    </w:div>
    <w:div w:id="1939825296">
      <w:bodyDiv w:val="1"/>
      <w:marLeft w:val="0"/>
      <w:marRight w:val="0"/>
      <w:marTop w:val="0"/>
      <w:marBottom w:val="0"/>
      <w:divBdr>
        <w:top w:val="none" w:sz="0" w:space="0" w:color="auto"/>
        <w:left w:val="none" w:sz="0" w:space="0" w:color="auto"/>
        <w:bottom w:val="none" w:sz="0" w:space="0" w:color="auto"/>
        <w:right w:val="none" w:sz="0" w:space="0" w:color="auto"/>
      </w:divBdr>
    </w:div>
    <w:div w:id="1941329596">
      <w:bodyDiv w:val="1"/>
      <w:marLeft w:val="0"/>
      <w:marRight w:val="0"/>
      <w:marTop w:val="0"/>
      <w:marBottom w:val="0"/>
      <w:divBdr>
        <w:top w:val="none" w:sz="0" w:space="0" w:color="auto"/>
        <w:left w:val="none" w:sz="0" w:space="0" w:color="auto"/>
        <w:bottom w:val="none" w:sz="0" w:space="0" w:color="auto"/>
        <w:right w:val="none" w:sz="0" w:space="0" w:color="auto"/>
      </w:divBdr>
    </w:div>
    <w:div w:id="1942563551">
      <w:bodyDiv w:val="1"/>
      <w:marLeft w:val="0"/>
      <w:marRight w:val="0"/>
      <w:marTop w:val="0"/>
      <w:marBottom w:val="0"/>
      <w:divBdr>
        <w:top w:val="none" w:sz="0" w:space="0" w:color="auto"/>
        <w:left w:val="none" w:sz="0" w:space="0" w:color="auto"/>
        <w:bottom w:val="none" w:sz="0" w:space="0" w:color="auto"/>
        <w:right w:val="none" w:sz="0" w:space="0" w:color="auto"/>
      </w:divBdr>
    </w:div>
    <w:div w:id="1945724807">
      <w:bodyDiv w:val="1"/>
      <w:marLeft w:val="0"/>
      <w:marRight w:val="0"/>
      <w:marTop w:val="0"/>
      <w:marBottom w:val="0"/>
      <w:divBdr>
        <w:top w:val="none" w:sz="0" w:space="0" w:color="auto"/>
        <w:left w:val="none" w:sz="0" w:space="0" w:color="auto"/>
        <w:bottom w:val="none" w:sz="0" w:space="0" w:color="auto"/>
        <w:right w:val="none" w:sz="0" w:space="0" w:color="auto"/>
      </w:divBdr>
    </w:div>
    <w:div w:id="1946498509">
      <w:bodyDiv w:val="1"/>
      <w:marLeft w:val="0"/>
      <w:marRight w:val="0"/>
      <w:marTop w:val="0"/>
      <w:marBottom w:val="0"/>
      <w:divBdr>
        <w:top w:val="none" w:sz="0" w:space="0" w:color="auto"/>
        <w:left w:val="none" w:sz="0" w:space="0" w:color="auto"/>
        <w:bottom w:val="none" w:sz="0" w:space="0" w:color="auto"/>
        <w:right w:val="none" w:sz="0" w:space="0" w:color="auto"/>
      </w:divBdr>
    </w:div>
    <w:div w:id="1947808034">
      <w:bodyDiv w:val="1"/>
      <w:marLeft w:val="0"/>
      <w:marRight w:val="0"/>
      <w:marTop w:val="0"/>
      <w:marBottom w:val="0"/>
      <w:divBdr>
        <w:top w:val="none" w:sz="0" w:space="0" w:color="auto"/>
        <w:left w:val="none" w:sz="0" w:space="0" w:color="auto"/>
        <w:bottom w:val="none" w:sz="0" w:space="0" w:color="auto"/>
        <w:right w:val="none" w:sz="0" w:space="0" w:color="auto"/>
      </w:divBdr>
    </w:div>
    <w:div w:id="1949458745">
      <w:bodyDiv w:val="1"/>
      <w:marLeft w:val="0"/>
      <w:marRight w:val="0"/>
      <w:marTop w:val="0"/>
      <w:marBottom w:val="0"/>
      <w:divBdr>
        <w:top w:val="none" w:sz="0" w:space="0" w:color="auto"/>
        <w:left w:val="none" w:sz="0" w:space="0" w:color="auto"/>
        <w:bottom w:val="none" w:sz="0" w:space="0" w:color="auto"/>
        <w:right w:val="none" w:sz="0" w:space="0" w:color="auto"/>
      </w:divBdr>
    </w:div>
    <w:div w:id="1970819424">
      <w:bodyDiv w:val="1"/>
      <w:marLeft w:val="0"/>
      <w:marRight w:val="0"/>
      <w:marTop w:val="0"/>
      <w:marBottom w:val="0"/>
      <w:divBdr>
        <w:top w:val="none" w:sz="0" w:space="0" w:color="auto"/>
        <w:left w:val="none" w:sz="0" w:space="0" w:color="auto"/>
        <w:bottom w:val="none" w:sz="0" w:space="0" w:color="auto"/>
        <w:right w:val="none" w:sz="0" w:space="0" w:color="auto"/>
      </w:divBdr>
    </w:div>
    <w:div w:id="1973246029">
      <w:bodyDiv w:val="1"/>
      <w:marLeft w:val="0"/>
      <w:marRight w:val="0"/>
      <w:marTop w:val="0"/>
      <w:marBottom w:val="0"/>
      <w:divBdr>
        <w:top w:val="none" w:sz="0" w:space="0" w:color="auto"/>
        <w:left w:val="none" w:sz="0" w:space="0" w:color="auto"/>
        <w:bottom w:val="none" w:sz="0" w:space="0" w:color="auto"/>
        <w:right w:val="none" w:sz="0" w:space="0" w:color="auto"/>
      </w:divBdr>
    </w:div>
    <w:div w:id="1974943195">
      <w:bodyDiv w:val="1"/>
      <w:marLeft w:val="0"/>
      <w:marRight w:val="0"/>
      <w:marTop w:val="0"/>
      <w:marBottom w:val="0"/>
      <w:divBdr>
        <w:top w:val="none" w:sz="0" w:space="0" w:color="auto"/>
        <w:left w:val="none" w:sz="0" w:space="0" w:color="auto"/>
        <w:bottom w:val="none" w:sz="0" w:space="0" w:color="auto"/>
        <w:right w:val="none" w:sz="0" w:space="0" w:color="auto"/>
      </w:divBdr>
    </w:div>
    <w:div w:id="1976374672">
      <w:bodyDiv w:val="1"/>
      <w:marLeft w:val="0"/>
      <w:marRight w:val="0"/>
      <w:marTop w:val="0"/>
      <w:marBottom w:val="0"/>
      <w:divBdr>
        <w:top w:val="none" w:sz="0" w:space="0" w:color="auto"/>
        <w:left w:val="none" w:sz="0" w:space="0" w:color="auto"/>
        <w:bottom w:val="none" w:sz="0" w:space="0" w:color="auto"/>
        <w:right w:val="none" w:sz="0" w:space="0" w:color="auto"/>
      </w:divBdr>
    </w:div>
    <w:div w:id="1979988162">
      <w:bodyDiv w:val="1"/>
      <w:marLeft w:val="0"/>
      <w:marRight w:val="0"/>
      <w:marTop w:val="0"/>
      <w:marBottom w:val="0"/>
      <w:divBdr>
        <w:top w:val="none" w:sz="0" w:space="0" w:color="auto"/>
        <w:left w:val="none" w:sz="0" w:space="0" w:color="auto"/>
        <w:bottom w:val="none" w:sz="0" w:space="0" w:color="auto"/>
        <w:right w:val="none" w:sz="0" w:space="0" w:color="auto"/>
      </w:divBdr>
    </w:div>
    <w:div w:id="1983073482">
      <w:bodyDiv w:val="1"/>
      <w:marLeft w:val="0"/>
      <w:marRight w:val="0"/>
      <w:marTop w:val="0"/>
      <w:marBottom w:val="0"/>
      <w:divBdr>
        <w:top w:val="none" w:sz="0" w:space="0" w:color="auto"/>
        <w:left w:val="none" w:sz="0" w:space="0" w:color="auto"/>
        <w:bottom w:val="none" w:sz="0" w:space="0" w:color="auto"/>
        <w:right w:val="none" w:sz="0" w:space="0" w:color="auto"/>
      </w:divBdr>
    </w:div>
    <w:div w:id="1985037422">
      <w:bodyDiv w:val="1"/>
      <w:marLeft w:val="0"/>
      <w:marRight w:val="0"/>
      <w:marTop w:val="0"/>
      <w:marBottom w:val="0"/>
      <w:divBdr>
        <w:top w:val="none" w:sz="0" w:space="0" w:color="auto"/>
        <w:left w:val="none" w:sz="0" w:space="0" w:color="auto"/>
        <w:bottom w:val="none" w:sz="0" w:space="0" w:color="auto"/>
        <w:right w:val="none" w:sz="0" w:space="0" w:color="auto"/>
      </w:divBdr>
    </w:div>
    <w:div w:id="1987081061">
      <w:bodyDiv w:val="1"/>
      <w:marLeft w:val="0"/>
      <w:marRight w:val="0"/>
      <w:marTop w:val="0"/>
      <w:marBottom w:val="0"/>
      <w:divBdr>
        <w:top w:val="none" w:sz="0" w:space="0" w:color="auto"/>
        <w:left w:val="none" w:sz="0" w:space="0" w:color="auto"/>
        <w:bottom w:val="none" w:sz="0" w:space="0" w:color="auto"/>
        <w:right w:val="none" w:sz="0" w:space="0" w:color="auto"/>
      </w:divBdr>
    </w:div>
    <w:div w:id="1989162856">
      <w:bodyDiv w:val="1"/>
      <w:marLeft w:val="0"/>
      <w:marRight w:val="0"/>
      <w:marTop w:val="0"/>
      <w:marBottom w:val="0"/>
      <w:divBdr>
        <w:top w:val="none" w:sz="0" w:space="0" w:color="auto"/>
        <w:left w:val="none" w:sz="0" w:space="0" w:color="auto"/>
        <w:bottom w:val="none" w:sz="0" w:space="0" w:color="auto"/>
        <w:right w:val="none" w:sz="0" w:space="0" w:color="auto"/>
      </w:divBdr>
    </w:div>
    <w:div w:id="1990207063">
      <w:bodyDiv w:val="1"/>
      <w:marLeft w:val="0"/>
      <w:marRight w:val="0"/>
      <w:marTop w:val="0"/>
      <w:marBottom w:val="0"/>
      <w:divBdr>
        <w:top w:val="none" w:sz="0" w:space="0" w:color="auto"/>
        <w:left w:val="none" w:sz="0" w:space="0" w:color="auto"/>
        <w:bottom w:val="none" w:sz="0" w:space="0" w:color="auto"/>
        <w:right w:val="none" w:sz="0" w:space="0" w:color="auto"/>
      </w:divBdr>
    </w:div>
    <w:div w:id="1993098058">
      <w:bodyDiv w:val="1"/>
      <w:marLeft w:val="0"/>
      <w:marRight w:val="0"/>
      <w:marTop w:val="0"/>
      <w:marBottom w:val="0"/>
      <w:divBdr>
        <w:top w:val="none" w:sz="0" w:space="0" w:color="auto"/>
        <w:left w:val="none" w:sz="0" w:space="0" w:color="auto"/>
        <w:bottom w:val="none" w:sz="0" w:space="0" w:color="auto"/>
        <w:right w:val="none" w:sz="0" w:space="0" w:color="auto"/>
      </w:divBdr>
    </w:div>
    <w:div w:id="1996913234">
      <w:bodyDiv w:val="1"/>
      <w:marLeft w:val="0"/>
      <w:marRight w:val="0"/>
      <w:marTop w:val="0"/>
      <w:marBottom w:val="0"/>
      <w:divBdr>
        <w:top w:val="none" w:sz="0" w:space="0" w:color="auto"/>
        <w:left w:val="none" w:sz="0" w:space="0" w:color="auto"/>
        <w:bottom w:val="none" w:sz="0" w:space="0" w:color="auto"/>
        <w:right w:val="none" w:sz="0" w:space="0" w:color="auto"/>
      </w:divBdr>
    </w:div>
    <w:div w:id="2001421966">
      <w:bodyDiv w:val="1"/>
      <w:marLeft w:val="0"/>
      <w:marRight w:val="0"/>
      <w:marTop w:val="0"/>
      <w:marBottom w:val="0"/>
      <w:divBdr>
        <w:top w:val="none" w:sz="0" w:space="0" w:color="auto"/>
        <w:left w:val="none" w:sz="0" w:space="0" w:color="auto"/>
        <w:bottom w:val="none" w:sz="0" w:space="0" w:color="auto"/>
        <w:right w:val="none" w:sz="0" w:space="0" w:color="auto"/>
      </w:divBdr>
    </w:div>
    <w:div w:id="2008626550">
      <w:bodyDiv w:val="1"/>
      <w:marLeft w:val="0"/>
      <w:marRight w:val="0"/>
      <w:marTop w:val="0"/>
      <w:marBottom w:val="0"/>
      <w:divBdr>
        <w:top w:val="none" w:sz="0" w:space="0" w:color="auto"/>
        <w:left w:val="none" w:sz="0" w:space="0" w:color="auto"/>
        <w:bottom w:val="none" w:sz="0" w:space="0" w:color="auto"/>
        <w:right w:val="none" w:sz="0" w:space="0" w:color="auto"/>
      </w:divBdr>
    </w:div>
    <w:div w:id="2014068665">
      <w:bodyDiv w:val="1"/>
      <w:marLeft w:val="0"/>
      <w:marRight w:val="0"/>
      <w:marTop w:val="0"/>
      <w:marBottom w:val="0"/>
      <w:divBdr>
        <w:top w:val="none" w:sz="0" w:space="0" w:color="auto"/>
        <w:left w:val="none" w:sz="0" w:space="0" w:color="auto"/>
        <w:bottom w:val="none" w:sz="0" w:space="0" w:color="auto"/>
        <w:right w:val="none" w:sz="0" w:space="0" w:color="auto"/>
      </w:divBdr>
    </w:div>
    <w:div w:id="2017533097">
      <w:bodyDiv w:val="1"/>
      <w:marLeft w:val="0"/>
      <w:marRight w:val="0"/>
      <w:marTop w:val="0"/>
      <w:marBottom w:val="0"/>
      <w:divBdr>
        <w:top w:val="none" w:sz="0" w:space="0" w:color="auto"/>
        <w:left w:val="none" w:sz="0" w:space="0" w:color="auto"/>
        <w:bottom w:val="none" w:sz="0" w:space="0" w:color="auto"/>
        <w:right w:val="none" w:sz="0" w:space="0" w:color="auto"/>
      </w:divBdr>
    </w:div>
    <w:div w:id="2018379654">
      <w:bodyDiv w:val="1"/>
      <w:marLeft w:val="0"/>
      <w:marRight w:val="0"/>
      <w:marTop w:val="0"/>
      <w:marBottom w:val="0"/>
      <w:divBdr>
        <w:top w:val="none" w:sz="0" w:space="0" w:color="auto"/>
        <w:left w:val="none" w:sz="0" w:space="0" w:color="auto"/>
        <w:bottom w:val="none" w:sz="0" w:space="0" w:color="auto"/>
        <w:right w:val="none" w:sz="0" w:space="0" w:color="auto"/>
      </w:divBdr>
    </w:div>
    <w:div w:id="2019455527">
      <w:bodyDiv w:val="1"/>
      <w:marLeft w:val="0"/>
      <w:marRight w:val="0"/>
      <w:marTop w:val="0"/>
      <w:marBottom w:val="0"/>
      <w:divBdr>
        <w:top w:val="none" w:sz="0" w:space="0" w:color="auto"/>
        <w:left w:val="none" w:sz="0" w:space="0" w:color="auto"/>
        <w:bottom w:val="none" w:sz="0" w:space="0" w:color="auto"/>
        <w:right w:val="none" w:sz="0" w:space="0" w:color="auto"/>
      </w:divBdr>
    </w:div>
    <w:div w:id="2020963403">
      <w:bodyDiv w:val="1"/>
      <w:marLeft w:val="0"/>
      <w:marRight w:val="0"/>
      <w:marTop w:val="0"/>
      <w:marBottom w:val="0"/>
      <w:divBdr>
        <w:top w:val="none" w:sz="0" w:space="0" w:color="auto"/>
        <w:left w:val="none" w:sz="0" w:space="0" w:color="auto"/>
        <w:bottom w:val="none" w:sz="0" w:space="0" w:color="auto"/>
        <w:right w:val="none" w:sz="0" w:space="0" w:color="auto"/>
      </w:divBdr>
    </w:div>
    <w:div w:id="2025594471">
      <w:bodyDiv w:val="1"/>
      <w:marLeft w:val="0"/>
      <w:marRight w:val="0"/>
      <w:marTop w:val="0"/>
      <w:marBottom w:val="0"/>
      <w:divBdr>
        <w:top w:val="none" w:sz="0" w:space="0" w:color="auto"/>
        <w:left w:val="none" w:sz="0" w:space="0" w:color="auto"/>
        <w:bottom w:val="none" w:sz="0" w:space="0" w:color="auto"/>
        <w:right w:val="none" w:sz="0" w:space="0" w:color="auto"/>
      </w:divBdr>
    </w:div>
    <w:div w:id="2026248199">
      <w:bodyDiv w:val="1"/>
      <w:marLeft w:val="0"/>
      <w:marRight w:val="0"/>
      <w:marTop w:val="0"/>
      <w:marBottom w:val="0"/>
      <w:divBdr>
        <w:top w:val="none" w:sz="0" w:space="0" w:color="auto"/>
        <w:left w:val="none" w:sz="0" w:space="0" w:color="auto"/>
        <w:bottom w:val="none" w:sz="0" w:space="0" w:color="auto"/>
        <w:right w:val="none" w:sz="0" w:space="0" w:color="auto"/>
      </w:divBdr>
    </w:div>
    <w:div w:id="2032685525">
      <w:bodyDiv w:val="1"/>
      <w:marLeft w:val="0"/>
      <w:marRight w:val="0"/>
      <w:marTop w:val="0"/>
      <w:marBottom w:val="0"/>
      <w:divBdr>
        <w:top w:val="none" w:sz="0" w:space="0" w:color="auto"/>
        <w:left w:val="none" w:sz="0" w:space="0" w:color="auto"/>
        <w:bottom w:val="none" w:sz="0" w:space="0" w:color="auto"/>
        <w:right w:val="none" w:sz="0" w:space="0" w:color="auto"/>
      </w:divBdr>
    </w:div>
    <w:div w:id="2036223727">
      <w:bodyDiv w:val="1"/>
      <w:marLeft w:val="0"/>
      <w:marRight w:val="0"/>
      <w:marTop w:val="0"/>
      <w:marBottom w:val="0"/>
      <w:divBdr>
        <w:top w:val="none" w:sz="0" w:space="0" w:color="auto"/>
        <w:left w:val="none" w:sz="0" w:space="0" w:color="auto"/>
        <w:bottom w:val="none" w:sz="0" w:space="0" w:color="auto"/>
        <w:right w:val="none" w:sz="0" w:space="0" w:color="auto"/>
      </w:divBdr>
    </w:div>
    <w:div w:id="2036542657">
      <w:bodyDiv w:val="1"/>
      <w:marLeft w:val="0"/>
      <w:marRight w:val="0"/>
      <w:marTop w:val="0"/>
      <w:marBottom w:val="0"/>
      <w:divBdr>
        <w:top w:val="none" w:sz="0" w:space="0" w:color="auto"/>
        <w:left w:val="none" w:sz="0" w:space="0" w:color="auto"/>
        <w:bottom w:val="none" w:sz="0" w:space="0" w:color="auto"/>
        <w:right w:val="none" w:sz="0" w:space="0" w:color="auto"/>
      </w:divBdr>
    </w:div>
    <w:div w:id="2037153121">
      <w:bodyDiv w:val="1"/>
      <w:marLeft w:val="0"/>
      <w:marRight w:val="0"/>
      <w:marTop w:val="0"/>
      <w:marBottom w:val="0"/>
      <w:divBdr>
        <w:top w:val="none" w:sz="0" w:space="0" w:color="auto"/>
        <w:left w:val="none" w:sz="0" w:space="0" w:color="auto"/>
        <w:bottom w:val="none" w:sz="0" w:space="0" w:color="auto"/>
        <w:right w:val="none" w:sz="0" w:space="0" w:color="auto"/>
      </w:divBdr>
    </w:div>
    <w:div w:id="2037344840">
      <w:bodyDiv w:val="1"/>
      <w:marLeft w:val="0"/>
      <w:marRight w:val="0"/>
      <w:marTop w:val="0"/>
      <w:marBottom w:val="0"/>
      <w:divBdr>
        <w:top w:val="none" w:sz="0" w:space="0" w:color="auto"/>
        <w:left w:val="none" w:sz="0" w:space="0" w:color="auto"/>
        <w:bottom w:val="none" w:sz="0" w:space="0" w:color="auto"/>
        <w:right w:val="none" w:sz="0" w:space="0" w:color="auto"/>
      </w:divBdr>
    </w:div>
    <w:div w:id="2037806582">
      <w:bodyDiv w:val="1"/>
      <w:marLeft w:val="0"/>
      <w:marRight w:val="0"/>
      <w:marTop w:val="0"/>
      <w:marBottom w:val="0"/>
      <w:divBdr>
        <w:top w:val="none" w:sz="0" w:space="0" w:color="auto"/>
        <w:left w:val="none" w:sz="0" w:space="0" w:color="auto"/>
        <w:bottom w:val="none" w:sz="0" w:space="0" w:color="auto"/>
        <w:right w:val="none" w:sz="0" w:space="0" w:color="auto"/>
      </w:divBdr>
    </w:div>
    <w:div w:id="2038003007">
      <w:bodyDiv w:val="1"/>
      <w:marLeft w:val="0"/>
      <w:marRight w:val="0"/>
      <w:marTop w:val="0"/>
      <w:marBottom w:val="0"/>
      <w:divBdr>
        <w:top w:val="none" w:sz="0" w:space="0" w:color="auto"/>
        <w:left w:val="none" w:sz="0" w:space="0" w:color="auto"/>
        <w:bottom w:val="none" w:sz="0" w:space="0" w:color="auto"/>
        <w:right w:val="none" w:sz="0" w:space="0" w:color="auto"/>
      </w:divBdr>
    </w:div>
    <w:div w:id="2040231734">
      <w:bodyDiv w:val="1"/>
      <w:marLeft w:val="0"/>
      <w:marRight w:val="0"/>
      <w:marTop w:val="0"/>
      <w:marBottom w:val="0"/>
      <w:divBdr>
        <w:top w:val="none" w:sz="0" w:space="0" w:color="auto"/>
        <w:left w:val="none" w:sz="0" w:space="0" w:color="auto"/>
        <w:bottom w:val="none" w:sz="0" w:space="0" w:color="auto"/>
        <w:right w:val="none" w:sz="0" w:space="0" w:color="auto"/>
      </w:divBdr>
    </w:div>
    <w:div w:id="2042631291">
      <w:bodyDiv w:val="1"/>
      <w:marLeft w:val="0"/>
      <w:marRight w:val="0"/>
      <w:marTop w:val="0"/>
      <w:marBottom w:val="0"/>
      <w:divBdr>
        <w:top w:val="none" w:sz="0" w:space="0" w:color="auto"/>
        <w:left w:val="none" w:sz="0" w:space="0" w:color="auto"/>
        <w:bottom w:val="none" w:sz="0" w:space="0" w:color="auto"/>
        <w:right w:val="none" w:sz="0" w:space="0" w:color="auto"/>
      </w:divBdr>
    </w:div>
    <w:div w:id="2047901554">
      <w:bodyDiv w:val="1"/>
      <w:marLeft w:val="0"/>
      <w:marRight w:val="0"/>
      <w:marTop w:val="0"/>
      <w:marBottom w:val="0"/>
      <w:divBdr>
        <w:top w:val="none" w:sz="0" w:space="0" w:color="auto"/>
        <w:left w:val="none" w:sz="0" w:space="0" w:color="auto"/>
        <w:bottom w:val="none" w:sz="0" w:space="0" w:color="auto"/>
        <w:right w:val="none" w:sz="0" w:space="0" w:color="auto"/>
      </w:divBdr>
    </w:div>
    <w:div w:id="2048262242">
      <w:bodyDiv w:val="1"/>
      <w:marLeft w:val="0"/>
      <w:marRight w:val="0"/>
      <w:marTop w:val="0"/>
      <w:marBottom w:val="0"/>
      <w:divBdr>
        <w:top w:val="none" w:sz="0" w:space="0" w:color="auto"/>
        <w:left w:val="none" w:sz="0" w:space="0" w:color="auto"/>
        <w:bottom w:val="none" w:sz="0" w:space="0" w:color="auto"/>
        <w:right w:val="none" w:sz="0" w:space="0" w:color="auto"/>
      </w:divBdr>
    </w:div>
    <w:div w:id="2054190487">
      <w:bodyDiv w:val="1"/>
      <w:marLeft w:val="0"/>
      <w:marRight w:val="0"/>
      <w:marTop w:val="0"/>
      <w:marBottom w:val="0"/>
      <w:divBdr>
        <w:top w:val="none" w:sz="0" w:space="0" w:color="auto"/>
        <w:left w:val="none" w:sz="0" w:space="0" w:color="auto"/>
        <w:bottom w:val="none" w:sz="0" w:space="0" w:color="auto"/>
        <w:right w:val="none" w:sz="0" w:space="0" w:color="auto"/>
      </w:divBdr>
    </w:div>
    <w:div w:id="2058046639">
      <w:bodyDiv w:val="1"/>
      <w:marLeft w:val="0"/>
      <w:marRight w:val="0"/>
      <w:marTop w:val="0"/>
      <w:marBottom w:val="0"/>
      <w:divBdr>
        <w:top w:val="none" w:sz="0" w:space="0" w:color="auto"/>
        <w:left w:val="none" w:sz="0" w:space="0" w:color="auto"/>
        <w:bottom w:val="none" w:sz="0" w:space="0" w:color="auto"/>
        <w:right w:val="none" w:sz="0" w:space="0" w:color="auto"/>
      </w:divBdr>
    </w:div>
    <w:div w:id="2061588790">
      <w:bodyDiv w:val="1"/>
      <w:marLeft w:val="0"/>
      <w:marRight w:val="0"/>
      <w:marTop w:val="0"/>
      <w:marBottom w:val="0"/>
      <w:divBdr>
        <w:top w:val="none" w:sz="0" w:space="0" w:color="auto"/>
        <w:left w:val="none" w:sz="0" w:space="0" w:color="auto"/>
        <w:bottom w:val="none" w:sz="0" w:space="0" w:color="auto"/>
        <w:right w:val="none" w:sz="0" w:space="0" w:color="auto"/>
      </w:divBdr>
    </w:div>
    <w:div w:id="2062711392">
      <w:bodyDiv w:val="1"/>
      <w:marLeft w:val="0"/>
      <w:marRight w:val="0"/>
      <w:marTop w:val="0"/>
      <w:marBottom w:val="0"/>
      <w:divBdr>
        <w:top w:val="none" w:sz="0" w:space="0" w:color="auto"/>
        <w:left w:val="none" w:sz="0" w:space="0" w:color="auto"/>
        <w:bottom w:val="none" w:sz="0" w:space="0" w:color="auto"/>
        <w:right w:val="none" w:sz="0" w:space="0" w:color="auto"/>
      </w:divBdr>
    </w:div>
    <w:div w:id="2063822089">
      <w:bodyDiv w:val="1"/>
      <w:marLeft w:val="0"/>
      <w:marRight w:val="0"/>
      <w:marTop w:val="0"/>
      <w:marBottom w:val="0"/>
      <w:divBdr>
        <w:top w:val="none" w:sz="0" w:space="0" w:color="auto"/>
        <w:left w:val="none" w:sz="0" w:space="0" w:color="auto"/>
        <w:bottom w:val="none" w:sz="0" w:space="0" w:color="auto"/>
        <w:right w:val="none" w:sz="0" w:space="0" w:color="auto"/>
      </w:divBdr>
    </w:div>
    <w:div w:id="2065792285">
      <w:bodyDiv w:val="1"/>
      <w:marLeft w:val="0"/>
      <w:marRight w:val="0"/>
      <w:marTop w:val="0"/>
      <w:marBottom w:val="0"/>
      <w:divBdr>
        <w:top w:val="none" w:sz="0" w:space="0" w:color="auto"/>
        <w:left w:val="none" w:sz="0" w:space="0" w:color="auto"/>
        <w:bottom w:val="none" w:sz="0" w:space="0" w:color="auto"/>
        <w:right w:val="none" w:sz="0" w:space="0" w:color="auto"/>
      </w:divBdr>
    </w:div>
    <w:div w:id="2067102130">
      <w:bodyDiv w:val="1"/>
      <w:marLeft w:val="0"/>
      <w:marRight w:val="0"/>
      <w:marTop w:val="0"/>
      <w:marBottom w:val="0"/>
      <w:divBdr>
        <w:top w:val="none" w:sz="0" w:space="0" w:color="auto"/>
        <w:left w:val="none" w:sz="0" w:space="0" w:color="auto"/>
        <w:bottom w:val="none" w:sz="0" w:space="0" w:color="auto"/>
        <w:right w:val="none" w:sz="0" w:space="0" w:color="auto"/>
      </w:divBdr>
    </w:div>
    <w:div w:id="2068331219">
      <w:bodyDiv w:val="1"/>
      <w:marLeft w:val="0"/>
      <w:marRight w:val="0"/>
      <w:marTop w:val="0"/>
      <w:marBottom w:val="0"/>
      <w:divBdr>
        <w:top w:val="none" w:sz="0" w:space="0" w:color="auto"/>
        <w:left w:val="none" w:sz="0" w:space="0" w:color="auto"/>
        <w:bottom w:val="none" w:sz="0" w:space="0" w:color="auto"/>
        <w:right w:val="none" w:sz="0" w:space="0" w:color="auto"/>
      </w:divBdr>
    </w:div>
    <w:div w:id="2070614540">
      <w:bodyDiv w:val="1"/>
      <w:marLeft w:val="0"/>
      <w:marRight w:val="0"/>
      <w:marTop w:val="0"/>
      <w:marBottom w:val="0"/>
      <w:divBdr>
        <w:top w:val="none" w:sz="0" w:space="0" w:color="auto"/>
        <w:left w:val="none" w:sz="0" w:space="0" w:color="auto"/>
        <w:bottom w:val="none" w:sz="0" w:space="0" w:color="auto"/>
        <w:right w:val="none" w:sz="0" w:space="0" w:color="auto"/>
      </w:divBdr>
    </w:div>
    <w:div w:id="2071347555">
      <w:bodyDiv w:val="1"/>
      <w:marLeft w:val="0"/>
      <w:marRight w:val="0"/>
      <w:marTop w:val="0"/>
      <w:marBottom w:val="0"/>
      <w:divBdr>
        <w:top w:val="none" w:sz="0" w:space="0" w:color="auto"/>
        <w:left w:val="none" w:sz="0" w:space="0" w:color="auto"/>
        <w:bottom w:val="none" w:sz="0" w:space="0" w:color="auto"/>
        <w:right w:val="none" w:sz="0" w:space="0" w:color="auto"/>
      </w:divBdr>
    </w:div>
    <w:div w:id="2073428800">
      <w:bodyDiv w:val="1"/>
      <w:marLeft w:val="0"/>
      <w:marRight w:val="0"/>
      <w:marTop w:val="0"/>
      <w:marBottom w:val="0"/>
      <w:divBdr>
        <w:top w:val="none" w:sz="0" w:space="0" w:color="auto"/>
        <w:left w:val="none" w:sz="0" w:space="0" w:color="auto"/>
        <w:bottom w:val="none" w:sz="0" w:space="0" w:color="auto"/>
        <w:right w:val="none" w:sz="0" w:space="0" w:color="auto"/>
      </w:divBdr>
    </w:div>
    <w:div w:id="2081514571">
      <w:bodyDiv w:val="1"/>
      <w:marLeft w:val="0"/>
      <w:marRight w:val="0"/>
      <w:marTop w:val="0"/>
      <w:marBottom w:val="0"/>
      <w:divBdr>
        <w:top w:val="none" w:sz="0" w:space="0" w:color="auto"/>
        <w:left w:val="none" w:sz="0" w:space="0" w:color="auto"/>
        <w:bottom w:val="none" w:sz="0" w:space="0" w:color="auto"/>
        <w:right w:val="none" w:sz="0" w:space="0" w:color="auto"/>
      </w:divBdr>
    </w:div>
    <w:div w:id="2089158433">
      <w:bodyDiv w:val="1"/>
      <w:marLeft w:val="0"/>
      <w:marRight w:val="0"/>
      <w:marTop w:val="0"/>
      <w:marBottom w:val="0"/>
      <w:divBdr>
        <w:top w:val="none" w:sz="0" w:space="0" w:color="auto"/>
        <w:left w:val="none" w:sz="0" w:space="0" w:color="auto"/>
        <w:bottom w:val="none" w:sz="0" w:space="0" w:color="auto"/>
        <w:right w:val="none" w:sz="0" w:space="0" w:color="auto"/>
      </w:divBdr>
    </w:div>
    <w:div w:id="2089572210">
      <w:bodyDiv w:val="1"/>
      <w:marLeft w:val="0"/>
      <w:marRight w:val="0"/>
      <w:marTop w:val="0"/>
      <w:marBottom w:val="0"/>
      <w:divBdr>
        <w:top w:val="none" w:sz="0" w:space="0" w:color="auto"/>
        <w:left w:val="none" w:sz="0" w:space="0" w:color="auto"/>
        <w:bottom w:val="none" w:sz="0" w:space="0" w:color="auto"/>
        <w:right w:val="none" w:sz="0" w:space="0" w:color="auto"/>
      </w:divBdr>
    </w:div>
    <w:div w:id="2091846769">
      <w:bodyDiv w:val="1"/>
      <w:marLeft w:val="0"/>
      <w:marRight w:val="0"/>
      <w:marTop w:val="0"/>
      <w:marBottom w:val="0"/>
      <w:divBdr>
        <w:top w:val="none" w:sz="0" w:space="0" w:color="auto"/>
        <w:left w:val="none" w:sz="0" w:space="0" w:color="auto"/>
        <w:bottom w:val="none" w:sz="0" w:space="0" w:color="auto"/>
        <w:right w:val="none" w:sz="0" w:space="0" w:color="auto"/>
      </w:divBdr>
    </w:div>
    <w:div w:id="2092584991">
      <w:bodyDiv w:val="1"/>
      <w:marLeft w:val="0"/>
      <w:marRight w:val="0"/>
      <w:marTop w:val="0"/>
      <w:marBottom w:val="0"/>
      <w:divBdr>
        <w:top w:val="none" w:sz="0" w:space="0" w:color="auto"/>
        <w:left w:val="none" w:sz="0" w:space="0" w:color="auto"/>
        <w:bottom w:val="none" w:sz="0" w:space="0" w:color="auto"/>
        <w:right w:val="none" w:sz="0" w:space="0" w:color="auto"/>
      </w:divBdr>
    </w:div>
    <w:div w:id="2093886533">
      <w:bodyDiv w:val="1"/>
      <w:marLeft w:val="0"/>
      <w:marRight w:val="0"/>
      <w:marTop w:val="0"/>
      <w:marBottom w:val="0"/>
      <w:divBdr>
        <w:top w:val="none" w:sz="0" w:space="0" w:color="auto"/>
        <w:left w:val="none" w:sz="0" w:space="0" w:color="auto"/>
        <w:bottom w:val="none" w:sz="0" w:space="0" w:color="auto"/>
        <w:right w:val="none" w:sz="0" w:space="0" w:color="auto"/>
      </w:divBdr>
    </w:div>
    <w:div w:id="2099520387">
      <w:bodyDiv w:val="1"/>
      <w:marLeft w:val="0"/>
      <w:marRight w:val="0"/>
      <w:marTop w:val="0"/>
      <w:marBottom w:val="0"/>
      <w:divBdr>
        <w:top w:val="none" w:sz="0" w:space="0" w:color="auto"/>
        <w:left w:val="none" w:sz="0" w:space="0" w:color="auto"/>
        <w:bottom w:val="none" w:sz="0" w:space="0" w:color="auto"/>
        <w:right w:val="none" w:sz="0" w:space="0" w:color="auto"/>
      </w:divBdr>
    </w:div>
    <w:div w:id="2100053271">
      <w:bodyDiv w:val="1"/>
      <w:marLeft w:val="0"/>
      <w:marRight w:val="0"/>
      <w:marTop w:val="0"/>
      <w:marBottom w:val="0"/>
      <w:divBdr>
        <w:top w:val="none" w:sz="0" w:space="0" w:color="auto"/>
        <w:left w:val="none" w:sz="0" w:space="0" w:color="auto"/>
        <w:bottom w:val="none" w:sz="0" w:space="0" w:color="auto"/>
        <w:right w:val="none" w:sz="0" w:space="0" w:color="auto"/>
      </w:divBdr>
    </w:div>
    <w:div w:id="2100523761">
      <w:bodyDiv w:val="1"/>
      <w:marLeft w:val="0"/>
      <w:marRight w:val="0"/>
      <w:marTop w:val="0"/>
      <w:marBottom w:val="0"/>
      <w:divBdr>
        <w:top w:val="none" w:sz="0" w:space="0" w:color="auto"/>
        <w:left w:val="none" w:sz="0" w:space="0" w:color="auto"/>
        <w:bottom w:val="none" w:sz="0" w:space="0" w:color="auto"/>
        <w:right w:val="none" w:sz="0" w:space="0" w:color="auto"/>
      </w:divBdr>
    </w:div>
    <w:div w:id="2103065525">
      <w:bodyDiv w:val="1"/>
      <w:marLeft w:val="0"/>
      <w:marRight w:val="0"/>
      <w:marTop w:val="0"/>
      <w:marBottom w:val="0"/>
      <w:divBdr>
        <w:top w:val="none" w:sz="0" w:space="0" w:color="auto"/>
        <w:left w:val="none" w:sz="0" w:space="0" w:color="auto"/>
        <w:bottom w:val="none" w:sz="0" w:space="0" w:color="auto"/>
        <w:right w:val="none" w:sz="0" w:space="0" w:color="auto"/>
      </w:divBdr>
    </w:div>
    <w:div w:id="2103985477">
      <w:bodyDiv w:val="1"/>
      <w:marLeft w:val="0"/>
      <w:marRight w:val="0"/>
      <w:marTop w:val="0"/>
      <w:marBottom w:val="0"/>
      <w:divBdr>
        <w:top w:val="none" w:sz="0" w:space="0" w:color="auto"/>
        <w:left w:val="none" w:sz="0" w:space="0" w:color="auto"/>
        <w:bottom w:val="none" w:sz="0" w:space="0" w:color="auto"/>
        <w:right w:val="none" w:sz="0" w:space="0" w:color="auto"/>
      </w:divBdr>
    </w:div>
    <w:div w:id="2106463238">
      <w:bodyDiv w:val="1"/>
      <w:marLeft w:val="0"/>
      <w:marRight w:val="0"/>
      <w:marTop w:val="0"/>
      <w:marBottom w:val="0"/>
      <w:divBdr>
        <w:top w:val="none" w:sz="0" w:space="0" w:color="auto"/>
        <w:left w:val="none" w:sz="0" w:space="0" w:color="auto"/>
        <w:bottom w:val="none" w:sz="0" w:space="0" w:color="auto"/>
        <w:right w:val="none" w:sz="0" w:space="0" w:color="auto"/>
      </w:divBdr>
    </w:div>
    <w:div w:id="2106997366">
      <w:bodyDiv w:val="1"/>
      <w:marLeft w:val="0"/>
      <w:marRight w:val="0"/>
      <w:marTop w:val="0"/>
      <w:marBottom w:val="0"/>
      <w:divBdr>
        <w:top w:val="none" w:sz="0" w:space="0" w:color="auto"/>
        <w:left w:val="none" w:sz="0" w:space="0" w:color="auto"/>
        <w:bottom w:val="none" w:sz="0" w:space="0" w:color="auto"/>
        <w:right w:val="none" w:sz="0" w:space="0" w:color="auto"/>
      </w:divBdr>
    </w:div>
    <w:div w:id="2107072471">
      <w:bodyDiv w:val="1"/>
      <w:marLeft w:val="0"/>
      <w:marRight w:val="0"/>
      <w:marTop w:val="0"/>
      <w:marBottom w:val="0"/>
      <w:divBdr>
        <w:top w:val="none" w:sz="0" w:space="0" w:color="auto"/>
        <w:left w:val="none" w:sz="0" w:space="0" w:color="auto"/>
        <w:bottom w:val="none" w:sz="0" w:space="0" w:color="auto"/>
        <w:right w:val="none" w:sz="0" w:space="0" w:color="auto"/>
      </w:divBdr>
    </w:div>
    <w:div w:id="2107770442">
      <w:bodyDiv w:val="1"/>
      <w:marLeft w:val="0"/>
      <w:marRight w:val="0"/>
      <w:marTop w:val="0"/>
      <w:marBottom w:val="0"/>
      <w:divBdr>
        <w:top w:val="none" w:sz="0" w:space="0" w:color="auto"/>
        <w:left w:val="none" w:sz="0" w:space="0" w:color="auto"/>
        <w:bottom w:val="none" w:sz="0" w:space="0" w:color="auto"/>
        <w:right w:val="none" w:sz="0" w:space="0" w:color="auto"/>
      </w:divBdr>
    </w:div>
    <w:div w:id="2109301626">
      <w:bodyDiv w:val="1"/>
      <w:marLeft w:val="0"/>
      <w:marRight w:val="0"/>
      <w:marTop w:val="0"/>
      <w:marBottom w:val="0"/>
      <w:divBdr>
        <w:top w:val="none" w:sz="0" w:space="0" w:color="auto"/>
        <w:left w:val="none" w:sz="0" w:space="0" w:color="auto"/>
        <w:bottom w:val="none" w:sz="0" w:space="0" w:color="auto"/>
        <w:right w:val="none" w:sz="0" w:space="0" w:color="auto"/>
      </w:divBdr>
    </w:div>
    <w:div w:id="2114399619">
      <w:bodyDiv w:val="1"/>
      <w:marLeft w:val="0"/>
      <w:marRight w:val="0"/>
      <w:marTop w:val="0"/>
      <w:marBottom w:val="0"/>
      <w:divBdr>
        <w:top w:val="none" w:sz="0" w:space="0" w:color="auto"/>
        <w:left w:val="none" w:sz="0" w:space="0" w:color="auto"/>
        <w:bottom w:val="none" w:sz="0" w:space="0" w:color="auto"/>
        <w:right w:val="none" w:sz="0" w:space="0" w:color="auto"/>
      </w:divBdr>
    </w:div>
    <w:div w:id="2118284783">
      <w:bodyDiv w:val="1"/>
      <w:marLeft w:val="0"/>
      <w:marRight w:val="0"/>
      <w:marTop w:val="0"/>
      <w:marBottom w:val="0"/>
      <w:divBdr>
        <w:top w:val="none" w:sz="0" w:space="0" w:color="auto"/>
        <w:left w:val="none" w:sz="0" w:space="0" w:color="auto"/>
        <w:bottom w:val="none" w:sz="0" w:space="0" w:color="auto"/>
        <w:right w:val="none" w:sz="0" w:space="0" w:color="auto"/>
      </w:divBdr>
    </w:div>
    <w:div w:id="2121948000">
      <w:bodyDiv w:val="1"/>
      <w:marLeft w:val="0"/>
      <w:marRight w:val="0"/>
      <w:marTop w:val="0"/>
      <w:marBottom w:val="0"/>
      <w:divBdr>
        <w:top w:val="none" w:sz="0" w:space="0" w:color="auto"/>
        <w:left w:val="none" w:sz="0" w:space="0" w:color="auto"/>
        <w:bottom w:val="none" w:sz="0" w:space="0" w:color="auto"/>
        <w:right w:val="none" w:sz="0" w:space="0" w:color="auto"/>
      </w:divBdr>
    </w:div>
    <w:div w:id="2122533567">
      <w:bodyDiv w:val="1"/>
      <w:marLeft w:val="0"/>
      <w:marRight w:val="0"/>
      <w:marTop w:val="0"/>
      <w:marBottom w:val="0"/>
      <w:divBdr>
        <w:top w:val="none" w:sz="0" w:space="0" w:color="auto"/>
        <w:left w:val="none" w:sz="0" w:space="0" w:color="auto"/>
        <w:bottom w:val="none" w:sz="0" w:space="0" w:color="auto"/>
        <w:right w:val="none" w:sz="0" w:space="0" w:color="auto"/>
      </w:divBdr>
    </w:div>
    <w:div w:id="2126078685">
      <w:bodyDiv w:val="1"/>
      <w:marLeft w:val="0"/>
      <w:marRight w:val="0"/>
      <w:marTop w:val="0"/>
      <w:marBottom w:val="0"/>
      <w:divBdr>
        <w:top w:val="none" w:sz="0" w:space="0" w:color="auto"/>
        <w:left w:val="none" w:sz="0" w:space="0" w:color="auto"/>
        <w:bottom w:val="none" w:sz="0" w:space="0" w:color="auto"/>
        <w:right w:val="none" w:sz="0" w:space="0" w:color="auto"/>
      </w:divBdr>
    </w:div>
    <w:div w:id="2127697254">
      <w:bodyDiv w:val="1"/>
      <w:marLeft w:val="0"/>
      <w:marRight w:val="0"/>
      <w:marTop w:val="0"/>
      <w:marBottom w:val="0"/>
      <w:divBdr>
        <w:top w:val="none" w:sz="0" w:space="0" w:color="auto"/>
        <w:left w:val="none" w:sz="0" w:space="0" w:color="auto"/>
        <w:bottom w:val="none" w:sz="0" w:space="0" w:color="auto"/>
        <w:right w:val="none" w:sz="0" w:space="0" w:color="auto"/>
      </w:divBdr>
    </w:div>
    <w:div w:id="2128766952">
      <w:bodyDiv w:val="1"/>
      <w:marLeft w:val="0"/>
      <w:marRight w:val="0"/>
      <w:marTop w:val="0"/>
      <w:marBottom w:val="0"/>
      <w:divBdr>
        <w:top w:val="none" w:sz="0" w:space="0" w:color="auto"/>
        <w:left w:val="none" w:sz="0" w:space="0" w:color="auto"/>
        <w:bottom w:val="none" w:sz="0" w:space="0" w:color="auto"/>
        <w:right w:val="none" w:sz="0" w:space="0" w:color="auto"/>
      </w:divBdr>
    </w:div>
    <w:div w:id="2132161105">
      <w:bodyDiv w:val="1"/>
      <w:marLeft w:val="0"/>
      <w:marRight w:val="0"/>
      <w:marTop w:val="0"/>
      <w:marBottom w:val="0"/>
      <w:divBdr>
        <w:top w:val="none" w:sz="0" w:space="0" w:color="auto"/>
        <w:left w:val="none" w:sz="0" w:space="0" w:color="auto"/>
        <w:bottom w:val="none" w:sz="0" w:space="0" w:color="auto"/>
        <w:right w:val="none" w:sz="0" w:space="0" w:color="auto"/>
      </w:divBdr>
    </w:div>
    <w:div w:id="2133093295">
      <w:bodyDiv w:val="1"/>
      <w:marLeft w:val="0"/>
      <w:marRight w:val="0"/>
      <w:marTop w:val="0"/>
      <w:marBottom w:val="0"/>
      <w:divBdr>
        <w:top w:val="none" w:sz="0" w:space="0" w:color="auto"/>
        <w:left w:val="none" w:sz="0" w:space="0" w:color="auto"/>
        <w:bottom w:val="none" w:sz="0" w:space="0" w:color="auto"/>
        <w:right w:val="none" w:sz="0" w:space="0" w:color="auto"/>
      </w:divBdr>
    </w:div>
    <w:div w:id="2134130469">
      <w:bodyDiv w:val="1"/>
      <w:marLeft w:val="0"/>
      <w:marRight w:val="0"/>
      <w:marTop w:val="0"/>
      <w:marBottom w:val="0"/>
      <w:divBdr>
        <w:top w:val="none" w:sz="0" w:space="0" w:color="auto"/>
        <w:left w:val="none" w:sz="0" w:space="0" w:color="auto"/>
        <w:bottom w:val="none" w:sz="0" w:space="0" w:color="auto"/>
        <w:right w:val="none" w:sz="0" w:space="0" w:color="auto"/>
      </w:divBdr>
    </w:div>
    <w:div w:id="2138525728">
      <w:bodyDiv w:val="1"/>
      <w:marLeft w:val="0"/>
      <w:marRight w:val="0"/>
      <w:marTop w:val="0"/>
      <w:marBottom w:val="0"/>
      <w:divBdr>
        <w:top w:val="none" w:sz="0" w:space="0" w:color="auto"/>
        <w:left w:val="none" w:sz="0" w:space="0" w:color="auto"/>
        <w:bottom w:val="none" w:sz="0" w:space="0" w:color="auto"/>
        <w:right w:val="none" w:sz="0" w:space="0" w:color="auto"/>
      </w:divBdr>
    </w:div>
    <w:div w:id="2138793474">
      <w:bodyDiv w:val="1"/>
      <w:marLeft w:val="0"/>
      <w:marRight w:val="0"/>
      <w:marTop w:val="0"/>
      <w:marBottom w:val="0"/>
      <w:divBdr>
        <w:top w:val="none" w:sz="0" w:space="0" w:color="auto"/>
        <w:left w:val="none" w:sz="0" w:space="0" w:color="auto"/>
        <w:bottom w:val="none" w:sz="0" w:space="0" w:color="auto"/>
        <w:right w:val="none" w:sz="0" w:space="0" w:color="auto"/>
      </w:divBdr>
    </w:div>
    <w:div w:id="2141335950">
      <w:bodyDiv w:val="1"/>
      <w:marLeft w:val="0"/>
      <w:marRight w:val="0"/>
      <w:marTop w:val="0"/>
      <w:marBottom w:val="0"/>
      <w:divBdr>
        <w:top w:val="none" w:sz="0" w:space="0" w:color="auto"/>
        <w:left w:val="none" w:sz="0" w:space="0" w:color="auto"/>
        <w:bottom w:val="none" w:sz="0" w:space="0" w:color="auto"/>
        <w:right w:val="none" w:sz="0" w:space="0" w:color="auto"/>
      </w:divBdr>
    </w:div>
    <w:div w:id="2142116421">
      <w:bodyDiv w:val="1"/>
      <w:marLeft w:val="0"/>
      <w:marRight w:val="0"/>
      <w:marTop w:val="0"/>
      <w:marBottom w:val="0"/>
      <w:divBdr>
        <w:top w:val="none" w:sz="0" w:space="0" w:color="auto"/>
        <w:left w:val="none" w:sz="0" w:space="0" w:color="auto"/>
        <w:bottom w:val="none" w:sz="0" w:space="0" w:color="auto"/>
        <w:right w:val="none" w:sz="0" w:space="0" w:color="auto"/>
      </w:divBdr>
    </w:div>
    <w:div w:id="2144275379">
      <w:bodyDiv w:val="1"/>
      <w:marLeft w:val="0"/>
      <w:marRight w:val="0"/>
      <w:marTop w:val="0"/>
      <w:marBottom w:val="0"/>
      <w:divBdr>
        <w:top w:val="none" w:sz="0" w:space="0" w:color="auto"/>
        <w:left w:val="none" w:sz="0" w:space="0" w:color="auto"/>
        <w:bottom w:val="none" w:sz="0" w:space="0" w:color="auto"/>
        <w:right w:val="none" w:sz="0" w:space="0" w:color="auto"/>
      </w:divBdr>
    </w:div>
    <w:div w:id="2144299414">
      <w:bodyDiv w:val="1"/>
      <w:marLeft w:val="0"/>
      <w:marRight w:val="0"/>
      <w:marTop w:val="0"/>
      <w:marBottom w:val="0"/>
      <w:divBdr>
        <w:top w:val="none" w:sz="0" w:space="0" w:color="auto"/>
        <w:left w:val="none" w:sz="0" w:space="0" w:color="auto"/>
        <w:bottom w:val="none" w:sz="0" w:space="0" w:color="auto"/>
        <w:right w:val="none" w:sz="0" w:space="0" w:color="auto"/>
      </w:divBdr>
    </w:div>
    <w:div w:id="2145464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emf"/><Relationship Id="rId21" Type="http://schemas.openxmlformats.org/officeDocument/2006/relationships/image" Target="media/image9.jpeg"/><Relationship Id="rId42" Type="http://schemas.openxmlformats.org/officeDocument/2006/relationships/image" Target="media/image30.jpeg"/><Relationship Id="rId63" Type="http://schemas.openxmlformats.org/officeDocument/2006/relationships/hyperlink" Target="https://ru.wikipedia.org/wiki/%D0%90%D0%B4%D0%BC%D0%B8%D0%BD%D0%B8%D1%81%D1%82%D1%80%D0%B0%D1%82%D0%B8%D0%B2%D0%BD%D0%BE-%D1%82%D0%B5%D1%80%D1%80%D0%B8%D1%82%D0%BE%D1%80%D0%B8%D0%B0%D0%BB%D1%8C%D0%BD%D0%BE%D0%B5_%D0%B4%D0%B5%D0%BB%D0%B5%D0%BD%D0%B8%D0%B5_%D0%A0%D0%BE%D1%81%D1%81%D0%B8%D0%B8" TargetMode="External"/><Relationship Id="rId84" Type="http://schemas.openxmlformats.org/officeDocument/2006/relationships/image" Target="media/image57.jpeg"/><Relationship Id="rId138" Type="http://schemas.openxmlformats.org/officeDocument/2006/relationships/image" Target="media/image106.png"/><Relationship Id="rId159" Type="http://schemas.openxmlformats.org/officeDocument/2006/relationships/image" Target="media/image127.png"/><Relationship Id="rId170" Type="http://schemas.openxmlformats.org/officeDocument/2006/relationships/image" Target="media/image138.png"/><Relationship Id="rId191" Type="http://schemas.openxmlformats.org/officeDocument/2006/relationships/image" Target="media/image159.png"/><Relationship Id="rId205" Type="http://schemas.openxmlformats.org/officeDocument/2006/relationships/image" Target="media/image173.jpeg"/><Relationship Id="rId107" Type="http://schemas.openxmlformats.org/officeDocument/2006/relationships/image" Target="media/image80.png"/><Relationship Id="rId11" Type="http://schemas.openxmlformats.org/officeDocument/2006/relationships/image" Target="media/image2.png"/><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image" Target="media/image51.png"/><Relationship Id="rId128" Type="http://schemas.openxmlformats.org/officeDocument/2006/relationships/image" Target="media/image101.wmf"/><Relationship Id="rId149" Type="http://schemas.openxmlformats.org/officeDocument/2006/relationships/image" Target="media/image117.png"/><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8.png"/><Relationship Id="rId160" Type="http://schemas.openxmlformats.org/officeDocument/2006/relationships/image" Target="media/image128.png"/><Relationship Id="rId165" Type="http://schemas.openxmlformats.org/officeDocument/2006/relationships/image" Target="media/image133.png"/><Relationship Id="rId181" Type="http://schemas.openxmlformats.org/officeDocument/2006/relationships/image" Target="media/image149.png"/><Relationship Id="rId186" Type="http://schemas.openxmlformats.org/officeDocument/2006/relationships/image" Target="media/image154.png"/><Relationship Id="rId216" Type="http://schemas.openxmlformats.org/officeDocument/2006/relationships/image" Target="media/image184.jpeg"/><Relationship Id="rId211" Type="http://schemas.openxmlformats.org/officeDocument/2006/relationships/image" Target="media/image179.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hyperlink" Target="https://ru.wikipedia.org/wiki/%D0%A0%D0%BE%D1%81%D1%81%D0%B8%D0%B9%D1%81%D0%BA%D0%B0%D1%8F_%D0%A4%D0%B5%D0%B4%D0%B5%D1%80%D0%B0%D1%86%D0%B8%D1%8F" TargetMode="External"/><Relationship Id="rId69" Type="http://schemas.openxmlformats.org/officeDocument/2006/relationships/hyperlink" Target="https://ru.wikipedia.org/wiki/%D0%93%D1%83%D0%B1%D0%BA%D0%B8%D0%BD_%28%D0%B3%D0%BE%D1%80%D0%BE%D0%B4%29" TargetMode="External"/><Relationship Id="rId113" Type="http://schemas.openxmlformats.org/officeDocument/2006/relationships/image" Target="media/image86.png"/><Relationship Id="rId118" Type="http://schemas.openxmlformats.org/officeDocument/2006/relationships/image" Target="media/image91.png"/><Relationship Id="rId134" Type="http://schemas.openxmlformats.org/officeDocument/2006/relationships/oleObject" Target="embeddings/oleObject5.bin"/><Relationship Id="rId139" Type="http://schemas.openxmlformats.org/officeDocument/2006/relationships/image" Target="media/image107.png"/><Relationship Id="rId80" Type="http://schemas.openxmlformats.org/officeDocument/2006/relationships/image" Target="media/image55.png"/><Relationship Id="rId85" Type="http://schemas.openxmlformats.org/officeDocument/2006/relationships/image" Target="media/image58.gif"/><Relationship Id="rId150" Type="http://schemas.openxmlformats.org/officeDocument/2006/relationships/image" Target="media/image118.png"/><Relationship Id="rId155" Type="http://schemas.openxmlformats.org/officeDocument/2006/relationships/image" Target="media/image123.png"/><Relationship Id="rId171" Type="http://schemas.openxmlformats.org/officeDocument/2006/relationships/image" Target="media/image139.png"/><Relationship Id="rId176" Type="http://schemas.openxmlformats.org/officeDocument/2006/relationships/image" Target="media/image144.png"/><Relationship Id="rId192" Type="http://schemas.openxmlformats.org/officeDocument/2006/relationships/image" Target="media/image160.png"/><Relationship Id="rId197" Type="http://schemas.openxmlformats.org/officeDocument/2006/relationships/image" Target="media/image165.jpeg"/><Relationship Id="rId206" Type="http://schemas.openxmlformats.org/officeDocument/2006/relationships/image" Target="media/image174.jpeg"/><Relationship Id="rId201" Type="http://schemas.openxmlformats.org/officeDocument/2006/relationships/image" Target="media/image169.jpeg"/><Relationship Id="rId12" Type="http://schemas.openxmlformats.org/officeDocument/2006/relationships/hyperlink" Target="http://www.labrate.ru/laws/20070720_prikaz_mert_256_fso-1_appraisal-approaches.htm" TargetMode="Externa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png"/><Relationship Id="rId103" Type="http://schemas.openxmlformats.org/officeDocument/2006/relationships/image" Target="media/image76.png"/><Relationship Id="rId108" Type="http://schemas.openxmlformats.org/officeDocument/2006/relationships/image" Target="media/image81.png"/><Relationship Id="rId124" Type="http://schemas.openxmlformats.org/officeDocument/2006/relationships/image" Target="media/image97.png"/><Relationship Id="rId129" Type="http://schemas.openxmlformats.org/officeDocument/2006/relationships/oleObject" Target="embeddings/oleObject1.bin"/><Relationship Id="rId54" Type="http://schemas.openxmlformats.org/officeDocument/2006/relationships/image" Target="media/image42.jpeg"/><Relationship Id="rId70" Type="http://schemas.openxmlformats.org/officeDocument/2006/relationships/hyperlink" Target="https://ru.wikipedia.org/wiki/6_%D1%8F%D0%BD%D0%B2%D0%B0%D1%80%D1%8F" TargetMode="External"/><Relationship Id="rId75" Type="http://schemas.openxmlformats.org/officeDocument/2006/relationships/chart" Target="charts/chart1.xml"/><Relationship Id="rId91" Type="http://schemas.openxmlformats.org/officeDocument/2006/relationships/image" Target="media/image64.png"/><Relationship Id="rId96" Type="http://schemas.openxmlformats.org/officeDocument/2006/relationships/image" Target="media/image69.png"/><Relationship Id="rId140" Type="http://schemas.openxmlformats.org/officeDocument/2006/relationships/image" Target="media/image108.png"/><Relationship Id="rId145" Type="http://schemas.openxmlformats.org/officeDocument/2006/relationships/image" Target="media/image113.png"/><Relationship Id="rId161" Type="http://schemas.openxmlformats.org/officeDocument/2006/relationships/image" Target="media/image129.png"/><Relationship Id="rId166" Type="http://schemas.openxmlformats.org/officeDocument/2006/relationships/image" Target="media/image134.png"/><Relationship Id="rId182" Type="http://schemas.openxmlformats.org/officeDocument/2006/relationships/image" Target="media/image150.png"/><Relationship Id="rId187" Type="http://schemas.openxmlformats.org/officeDocument/2006/relationships/image" Target="media/image155.png"/><Relationship Id="rId217" Type="http://schemas.openxmlformats.org/officeDocument/2006/relationships/image" Target="media/image185.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0.jpeg"/><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87.png"/><Relationship Id="rId119" Type="http://schemas.openxmlformats.org/officeDocument/2006/relationships/image" Target="media/image92.emf"/><Relationship Id="rId44" Type="http://schemas.openxmlformats.org/officeDocument/2006/relationships/image" Target="media/image32.jpeg"/><Relationship Id="rId60" Type="http://schemas.openxmlformats.org/officeDocument/2006/relationships/image" Target="media/image48.png"/><Relationship Id="rId65" Type="http://schemas.openxmlformats.org/officeDocument/2006/relationships/hyperlink" Target="https://ru.wikipedia.org/wiki/%D0%9C%D0%BE%D1%81%D0%BA%D0%B2%D0%B0" TargetMode="External"/><Relationship Id="rId81" Type="http://schemas.openxmlformats.org/officeDocument/2006/relationships/image" Target="media/image56.png"/><Relationship Id="rId86" Type="http://schemas.openxmlformats.org/officeDocument/2006/relationships/image" Target="media/image59.gif"/><Relationship Id="rId130" Type="http://schemas.openxmlformats.org/officeDocument/2006/relationships/image" Target="media/image102.wmf"/><Relationship Id="rId135" Type="http://schemas.openxmlformats.org/officeDocument/2006/relationships/image" Target="media/image103.jpeg"/><Relationship Id="rId151" Type="http://schemas.openxmlformats.org/officeDocument/2006/relationships/image" Target="media/image119.png"/><Relationship Id="rId156" Type="http://schemas.openxmlformats.org/officeDocument/2006/relationships/image" Target="media/image124.png"/><Relationship Id="rId177" Type="http://schemas.openxmlformats.org/officeDocument/2006/relationships/image" Target="media/image145.png"/><Relationship Id="rId198" Type="http://schemas.openxmlformats.org/officeDocument/2006/relationships/image" Target="media/image166.jpeg"/><Relationship Id="rId172" Type="http://schemas.openxmlformats.org/officeDocument/2006/relationships/image" Target="media/image140.png"/><Relationship Id="rId193" Type="http://schemas.openxmlformats.org/officeDocument/2006/relationships/image" Target="media/image161.jpeg"/><Relationship Id="rId202" Type="http://schemas.openxmlformats.org/officeDocument/2006/relationships/image" Target="media/image170.jpeg"/><Relationship Id="rId207" Type="http://schemas.openxmlformats.org/officeDocument/2006/relationships/image" Target="media/image175.jpeg"/><Relationship Id="rId13" Type="http://schemas.openxmlformats.org/officeDocument/2006/relationships/hyperlink" Target="http://www.labrate.ru/laws/20070720_prikaz_mert_255_fso-2_valuation-purposes.htm" TargetMode="External"/><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82.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hyperlink" Target="https://rosrealt.ru/Belgorod/kommercheskaja" TargetMode="External"/><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3.emf"/><Relationship Id="rId125" Type="http://schemas.openxmlformats.org/officeDocument/2006/relationships/image" Target="media/image98.png"/><Relationship Id="rId141" Type="http://schemas.openxmlformats.org/officeDocument/2006/relationships/image" Target="media/image109.png"/><Relationship Id="rId146" Type="http://schemas.openxmlformats.org/officeDocument/2006/relationships/image" Target="media/image114.png"/><Relationship Id="rId167" Type="http://schemas.openxmlformats.org/officeDocument/2006/relationships/image" Target="media/image135.png"/><Relationship Id="rId188" Type="http://schemas.openxmlformats.org/officeDocument/2006/relationships/image" Target="media/image156.png"/><Relationship Id="rId7" Type="http://schemas.openxmlformats.org/officeDocument/2006/relationships/endnotes" Target="endnotes.xml"/><Relationship Id="rId71" Type="http://schemas.openxmlformats.org/officeDocument/2006/relationships/hyperlink" Target="https://ru.wikipedia.org/wiki/1954_%D0%B3%D0%BE%D0%B4" TargetMode="External"/><Relationship Id="rId92" Type="http://schemas.openxmlformats.org/officeDocument/2006/relationships/image" Target="media/image65.png"/><Relationship Id="rId162" Type="http://schemas.openxmlformats.org/officeDocument/2006/relationships/image" Target="media/image130.png"/><Relationship Id="rId183" Type="http://schemas.openxmlformats.org/officeDocument/2006/relationships/image" Target="media/image151.png"/><Relationship Id="rId213" Type="http://schemas.openxmlformats.org/officeDocument/2006/relationships/image" Target="media/image181.jpeg"/><Relationship Id="rId21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hyperlink" Target="https://ru.wikipedia.org/wiki/%D0%A3%D0%BA%D1%80%D0%B0%D0%B8%D0%BD%D0%B0" TargetMode="External"/><Relationship Id="rId87" Type="http://schemas.openxmlformats.org/officeDocument/2006/relationships/image" Target="media/image60.pn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oleObject" Target="embeddings/oleObject2.bin"/><Relationship Id="rId136" Type="http://schemas.openxmlformats.org/officeDocument/2006/relationships/image" Target="media/image104.jpeg"/><Relationship Id="rId157" Type="http://schemas.openxmlformats.org/officeDocument/2006/relationships/image" Target="media/image125.png"/><Relationship Id="rId178" Type="http://schemas.openxmlformats.org/officeDocument/2006/relationships/image" Target="media/image146.png"/><Relationship Id="rId61" Type="http://schemas.openxmlformats.org/officeDocument/2006/relationships/hyperlink" Target="http://www.ereport.ru" TargetMode="External"/><Relationship Id="rId82" Type="http://schemas.openxmlformats.org/officeDocument/2006/relationships/hyperlink" Target="https://regionalrealty.ru/belgorod/stats/commercial/" TargetMode="External"/><Relationship Id="rId152" Type="http://schemas.openxmlformats.org/officeDocument/2006/relationships/image" Target="media/image120.png"/><Relationship Id="rId173" Type="http://schemas.openxmlformats.org/officeDocument/2006/relationships/image" Target="media/image141.png"/><Relationship Id="rId194" Type="http://schemas.openxmlformats.org/officeDocument/2006/relationships/image" Target="media/image162.jpeg"/><Relationship Id="rId199" Type="http://schemas.openxmlformats.org/officeDocument/2006/relationships/image" Target="media/image167.jpeg"/><Relationship Id="rId203" Type="http://schemas.openxmlformats.org/officeDocument/2006/relationships/image" Target="media/image171.jpeg"/><Relationship Id="rId208" Type="http://schemas.openxmlformats.org/officeDocument/2006/relationships/image" Target="media/image176.jpeg"/><Relationship Id="rId19" Type="http://schemas.openxmlformats.org/officeDocument/2006/relationships/image" Target="media/image7.jpeg"/><Relationship Id="rId14" Type="http://schemas.openxmlformats.org/officeDocument/2006/relationships/hyperlink" Target="http://www.labrate.ru/laws/20070720_prikaz_mert_254_fso-3_appraisal-report.htm" TargetMode="External"/><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52.wmf"/><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9.jpeg"/><Relationship Id="rId147" Type="http://schemas.openxmlformats.org/officeDocument/2006/relationships/image" Target="media/image115.png"/><Relationship Id="rId168" Type="http://schemas.openxmlformats.org/officeDocument/2006/relationships/image" Target="media/image136.pn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hyperlink" Target="http://geocentr-msk.ru/images/stories/Belgorod/image001.jpg" TargetMode="External"/><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4.png"/><Relationship Id="rId142" Type="http://schemas.openxmlformats.org/officeDocument/2006/relationships/image" Target="media/image110.png"/><Relationship Id="rId163" Type="http://schemas.openxmlformats.org/officeDocument/2006/relationships/image" Target="media/image131.png"/><Relationship Id="rId184" Type="http://schemas.openxmlformats.org/officeDocument/2006/relationships/image" Target="media/image152.png"/><Relationship Id="rId189" Type="http://schemas.openxmlformats.org/officeDocument/2006/relationships/image" Target="media/image157.png"/><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182.jpeg"/><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hyperlink" Target="https://ru.wikipedia.org/wiki/%D0%91%D0%B5%D0%BB%D0%B3%D0%BE%D1%80%D0%BE%D0%B4" TargetMode="External"/><Relationship Id="rId116" Type="http://schemas.openxmlformats.org/officeDocument/2006/relationships/image" Target="media/image89.png"/><Relationship Id="rId137" Type="http://schemas.openxmlformats.org/officeDocument/2006/relationships/image" Target="media/image105.png"/><Relationship Id="rId158" Type="http://schemas.openxmlformats.org/officeDocument/2006/relationships/image" Target="media/image126.pn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49.png"/><Relationship Id="rId83" Type="http://schemas.openxmlformats.org/officeDocument/2006/relationships/hyperlink" Target="http://www.zdanie.info/city/%D0%91%D0%B5%D0%BB%D0%B3%D0%BE%D1%80%D0%BE%D0%B4/%D0%B0%D1%80%D0%B5%D0%BD%D0%B4%D0%B0_%D0%BC%D0%B0%D0%B3%D0%B0%D0%B7%D0%B8%D0%BD%D0%BE%D0%B2" TargetMode="External"/><Relationship Id="rId88" Type="http://schemas.openxmlformats.org/officeDocument/2006/relationships/image" Target="media/image61.png"/><Relationship Id="rId111" Type="http://schemas.openxmlformats.org/officeDocument/2006/relationships/image" Target="media/image84.jpeg"/><Relationship Id="rId132" Type="http://schemas.openxmlformats.org/officeDocument/2006/relationships/oleObject" Target="embeddings/oleObject3.bin"/><Relationship Id="rId153" Type="http://schemas.openxmlformats.org/officeDocument/2006/relationships/image" Target="media/image121.png"/><Relationship Id="rId174" Type="http://schemas.openxmlformats.org/officeDocument/2006/relationships/image" Target="media/image142.png"/><Relationship Id="rId179" Type="http://schemas.openxmlformats.org/officeDocument/2006/relationships/image" Target="media/image147.png"/><Relationship Id="rId195" Type="http://schemas.openxmlformats.org/officeDocument/2006/relationships/image" Target="media/image163.jpeg"/><Relationship Id="rId209" Type="http://schemas.openxmlformats.org/officeDocument/2006/relationships/image" Target="media/image177.jpeg"/><Relationship Id="rId190" Type="http://schemas.openxmlformats.org/officeDocument/2006/relationships/image" Target="media/image158.png"/><Relationship Id="rId204" Type="http://schemas.openxmlformats.org/officeDocument/2006/relationships/image" Target="media/image172.jpeg"/><Relationship Id="rId15" Type="http://schemas.openxmlformats.org/officeDocument/2006/relationships/image" Target="media/image3.jpeg"/><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79.png"/><Relationship Id="rId127" Type="http://schemas.openxmlformats.org/officeDocument/2006/relationships/image" Target="media/image100.png"/><Relationship Id="rId10" Type="http://schemas.openxmlformats.org/officeDocument/2006/relationships/footer" Target="footer2.xml"/><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50.jpeg"/><Relationship Id="rId78" Type="http://schemas.openxmlformats.org/officeDocument/2006/relationships/image" Target="media/image53.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5.png"/><Relationship Id="rId143" Type="http://schemas.openxmlformats.org/officeDocument/2006/relationships/image" Target="media/image111.png"/><Relationship Id="rId148" Type="http://schemas.openxmlformats.org/officeDocument/2006/relationships/image" Target="media/image116.png"/><Relationship Id="rId164" Type="http://schemas.openxmlformats.org/officeDocument/2006/relationships/image" Target="media/image132.png"/><Relationship Id="rId169" Type="http://schemas.openxmlformats.org/officeDocument/2006/relationships/image" Target="media/image137.png"/><Relationship Id="rId185" Type="http://schemas.openxmlformats.org/officeDocument/2006/relationships/image" Target="media/image153.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48.png"/><Relationship Id="rId210" Type="http://schemas.openxmlformats.org/officeDocument/2006/relationships/image" Target="media/image178.jpeg"/><Relationship Id="rId215" Type="http://schemas.openxmlformats.org/officeDocument/2006/relationships/image" Target="media/image183.jpeg"/><Relationship Id="rId26" Type="http://schemas.openxmlformats.org/officeDocument/2006/relationships/image" Target="media/image14.jpeg"/><Relationship Id="rId47" Type="http://schemas.openxmlformats.org/officeDocument/2006/relationships/image" Target="media/image35.jpeg"/><Relationship Id="rId68" Type="http://schemas.openxmlformats.org/officeDocument/2006/relationships/hyperlink" Target="https://ru.wikipedia.org/wiki/%D0%A1%D1%82%D0%B0%D1%80%D1%8B%D0%B9_%D0%9E%D1%81%D0%BA%D0%BE%D0%BB" TargetMode="External"/><Relationship Id="rId89" Type="http://schemas.openxmlformats.org/officeDocument/2006/relationships/image" Target="media/image62.jpeg"/><Relationship Id="rId112" Type="http://schemas.openxmlformats.org/officeDocument/2006/relationships/image" Target="media/image85.jpeg"/><Relationship Id="rId133" Type="http://schemas.openxmlformats.org/officeDocument/2006/relationships/oleObject" Target="embeddings/oleObject4.bin"/><Relationship Id="rId154" Type="http://schemas.openxmlformats.org/officeDocument/2006/relationships/image" Target="media/image122.png"/><Relationship Id="rId175" Type="http://schemas.openxmlformats.org/officeDocument/2006/relationships/image" Target="media/image143.png"/><Relationship Id="rId196" Type="http://schemas.openxmlformats.org/officeDocument/2006/relationships/image" Target="media/image164.jpeg"/><Relationship Id="rId200" Type="http://schemas.openxmlformats.org/officeDocument/2006/relationships/image" Target="media/image168.jpeg"/><Relationship Id="rId16" Type="http://schemas.openxmlformats.org/officeDocument/2006/relationships/image" Target="media/image4.jpe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54.png"/><Relationship Id="rId102" Type="http://schemas.openxmlformats.org/officeDocument/2006/relationships/image" Target="media/image75.png"/><Relationship Id="rId123" Type="http://schemas.openxmlformats.org/officeDocument/2006/relationships/image" Target="media/image96.png"/><Relationship Id="rId144" Type="http://schemas.openxmlformats.org/officeDocument/2006/relationships/image" Target="media/image112.png"/></Relationships>
</file>

<file path=word/_rels/footnotes.xml.rels><?xml version="1.0" encoding="UTF-8" standalone="yes"?>
<Relationships xmlns="http://schemas.openxmlformats.org/package/2006/relationships"><Relationship Id="rId1" Type="http://schemas.openxmlformats.org/officeDocument/2006/relationships/hyperlink" Target="http://www.glossary.ru/cgi-bin/gl_des2.cgi?qqvbjkg"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Documents%20and%20Settings\User\&#1056;&#1072;&#1073;&#1086;&#1095;&#1080;&#1081;%20&#1089;&#1090;&#1086;&#1083;\&#1051;&#1080;&#1089;&#1090;%20Microsoft%20Office%20Excel.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scatterChart>
        <c:scatterStyle val="smoothMarker"/>
        <c:varyColors val="0"/>
        <c:ser>
          <c:idx val="0"/>
          <c:order val="0"/>
          <c:tx>
            <c:v>Цикличность рынка недвижимости</c:v>
          </c:tx>
          <c:xVal>
            <c:strRef>
              <c:f>Лист1!$B$2:$B$9</c:f>
              <c:strCache>
                <c:ptCount val="6"/>
                <c:pt idx="2">
                  <c:v>1-ая четверть периода</c:v>
                </c:pt>
                <c:pt idx="3">
                  <c:v>2-ая четверть периода</c:v>
                </c:pt>
                <c:pt idx="4">
                  <c:v>3-я четверть периода</c:v>
                </c:pt>
                <c:pt idx="5">
                  <c:v>4-ая четверть периода</c:v>
                </c:pt>
              </c:strCache>
            </c:strRef>
          </c:xVal>
          <c:yVal>
            <c:numRef>
              <c:f>Лист1!$A$3:$A$8</c:f>
              <c:numCache>
                <c:formatCode>General</c:formatCode>
                <c:ptCount val="6"/>
                <c:pt idx="0">
                  <c:v>10</c:v>
                </c:pt>
                <c:pt idx="1">
                  <c:v>15</c:v>
                </c:pt>
                <c:pt idx="2">
                  <c:v>20</c:v>
                </c:pt>
                <c:pt idx="3">
                  <c:v>20</c:v>
                </c:pt>
                <c:pt idx="4">
                  <c:v>15</c:v>
                </c:pt>
                <c:pt idx="5">
                  <c:v>10</c:v>
                </c:pt>
              </c:numCache>
            </c:numRef>
          </c:yVal>
          <c:smooth val="1"/>
        </c:ser>
        <c:dLbls>
          <c:showLegendKey val="0"/>
          <c:showVal val="0"/>
          <c:showCatName val="0"/>
          <c:showSerName val="0"/>
          <c:showPercent val="0"/>
          <c:showBubbleSize val="0"/>
        </c:dLbls>
        <c:axId val="651547904"/>
        <c:axId val="429794728"/>
      </c:scatterChart>
      <c:valAx>
        <c:axId val="651547904"/>
        <c:scaling>
          <c:orientation val="minMax"/>
        </c:scaling>
        <c:delete val="1"/>
        <c:axPos val="b"/>
        <c:majorGridlines/>
        <c:minorGridlines/>
        <c:title>
          <c:tx>
            <c:rich>
              <a:bodyPr/>
              <a:lstStyle/>
              <a:p>
                <a:pPr>
                  <a:defRPr/>
                </a:pPr>
                <a:r>
                  <a:rPr lang="ru-RU"/>
                  <a:t>1-ая  -  4-ая четверть периода</a:t>
                </a:r>
              </a:p>
            </c:rich>
          </c:tx>
          <c:overlay val="0"/>
        </c:title>
        <c:numFmt formatCode="General" sourceLinked="1"/>
        <c:majorTickMark val="none"/>
        <c:minorTickMark val="none"/>
        <c:tickLblPos val="none"/>
        <c:crossAx val="429794728"/>
        <c:crosses val="autoZero"/>
        <c:crossBetween val="midCat"/>
      </c:valAx>
      <c:valAx>
        <c:axId val="429794728"/>
        <c:scaling>
          <c:orientation val="minMax"/>
        </c:scaling>
        <c:delete val="1"/>
        <c:axPos val="l"/>
        <c:majorGridlines/>
        <c:title>
          <c:tx>
            <c:rich>
              <a:bodyPr/>
              <a:lstStyle/>
              <a:p>
                <a:pPr>
                  <a:defRPr/>
                </a:pPr>
                <a:r>
                  <a:rPr lang="ru-RU"/>
                  <a:t>Объем рынка, цены</a:t>
                </a:r>
              </a:p>
            </c:rich>
          </c:tx>
          <c:overlay val="0"/>
        </c:title>
        <c:numFmt formatCode="General" sourceLinked="1"/>
        <c:majorTickMark val="none"/>
        <c:minorTickMark val="none"/>
        <c:tickLblPos val="none"/>
        <c:crossAx val="651547904"/>
        <c:crosses val="autoZero"/>
        <c:crossBetween val="midCat"/>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EE6B2C-4CBA-4E02-9278-DC8B38EFAA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191</Pages>
  <Words>38613</Words>
  <Characters>220097</Characters>
  <Application>Microsoft Office Word</Application>
  <DocSecurity>0</DocSecurity>
  <Lines>1834</Lines>
  <Paragraphs>516</Paragraphs>
  <ScaleCrop>false</ScaleCrop>
  <HeadingPairs>
    <vt:vector size="2" baseType="variant">
      <vt:variant>
        <vt:lpstr>Название</vt:lpstr>
      </vt:variant>
      <vt:variant>
        <vt:i4>1</vt:i4>
      </vt:variant>
    </vt:vector>
  </HeadingPairs>
  <TitlesOfParts>
    <vt:vector size="1" baseType="lpstr">
      <vt:lpstr>Отчет об оценке рыночной стоимости</vt:lpstr>
    </vt:vector>
  </TitlesOfParts>
  <Company>Grizli777</Company>
  <LinksUpToDate>false</LinksUpToDate>
  <CharactersWithSpaces>258194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Отчет об оценке рыночной стоимости</dc:title>
  <dc:creator>uriy</dc:creator>
  <cp:lastModifiedBy>User</cp:lastModifiedBy>
  <cp:revision>2</cp:revision>
  <cp:lastPrinted>2017-08-29T06:50:00Z</cp:lastPrinted>
  <dcterms:created xsi:type="dcterms:W3CDTF">2017-11-17T10:33:00Z</dcterms:created>
  <dcterms:modified xsi:type="dcterms:W3CDTF">2017-11-17T10:33:00Z</dcterms:modified>
</cp:coreProperties>
</file>